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0"/>
        <w:jc w:val="center"/>
      </w:pPr>
      <w:r>
        <w:rPr>
          <w:b/>
          <w:bCs/>
          <w:color w:val="1F3864"/>
          <w:sz w:val="76"/>
          <w:szCs w:val="76"/>
        </w:rPr>
        <w:t xml:space="preserve">Pentest Engagement</w:t>
      </w:r>
    </w:p>
    <w:p>
      <w:pPr>
        <w:spacing w:after="220"/>
        <w:jc w:val="center"/>
      </w:pPr>
      <w:r>
        <w:rPr>
          <w:b/>
          <w:bCs/>
          <w:color w:val="1F3864"/>
          <w:sz w:val="76"/>
          <w:szCs w:val="76"/>
        </w:rPr>
        <w:t xml:space="preserve">Management Platform</w:t>
      </w:r>
    </w:p>
    <w:p>
      <w:pPr>
        <w:spacing w:after="40"/>
        <w:jc w:val="center"/>
      </w:pPr>
      <w:r>
        <w:rPr>
          <w:color w:val="2E5496"/>
          <w:sz w:val="36"/>
          <w:szCs w:val="36"/>
        </w:rPr>
        <w:t xml:space="preserve">Software Requirements Specification</w:t>
      </w:r>
    </w:p>
    <w:p>
      <w:pPr>
        <w:spacing w:after="600"/>
        <w:jc w:val="center"/>
      </w:pPr>
      <w:r>
        <w:rPr>
          <w:color w:val="2E75B6"/>
          <w:sz w:val="26"/>
          <w:szCs w:val="26"/>
        </w:rPr>
        <w:t xml:space="preserve">Master Document</w:t>
      </w:r>
    </w:p>
    <w:p>
      <w:pPr>
        <w:spacing w:after="600"/>
        <w:jc w:val="center"/>
      </w:pPr>
      <w:r>
        <w:rPr>
          <w:color w:val="BBBBBB"/>
          <w:sz w:val="24"/>
          <w:szCs w:val="24"/>
        </w:rPr>
        <w:t xml:space="preserve">———</w:t>
      </w:r>
    </w:p>
    <w:p>
      <w:pPr>
        <w:spacing w:after="60"/>
        <w:jc w:val="center"/>
      </w:pPr>
      <w:r>
        <w:rPr>
          <w:b/>
          <w:bCs/>
          <w:sz w:val="24"/>
          <w:szCs w:val="24"/>
        </w:rPr>
        <w:t xml:space="preserve">Version 1.0  —  Released Baseline</w:t>
      </w:r>
    </w:p>
    <w:p>
      <w:pPr>
        <w:spacing w:after="40"/>
        <w:jc w:val="center"/>
      </w:pPr>
      <w:r>
        <w:rPr>
          <w:color w:val="666666"/>
          <w:sz w:val="22"/>
          <w:szCs w:val="22"/>
        </w:rPr>
        <w:t xml:space="preserve">Date: 28 June 2026</w:t>
      </w:r>
    </w:p>
    <w:p>
      <w:pPr>
        <w:spacing w:after="40"/>
        <w:jc w:val="center"/>
      </w:pPr>
      <w:r>
        <w:rPr>
          <w:color w:val="666666"/>
          <w:sz w:val="22"/>
          <w:szCs w:val="22"/>
        </w:rPr>
        <w:t xml:space="preserve">Prepared by: Muhammad, CloudKonsult Limited</w:t>
      </w:r>
    </w:p>
    <w:p>
      <w:pPr>
        <w:spacing w:after="40"/>
        <w:jc w:val="center"/>
      </w:pPr>
      <w:r>
        <w:rPr>
          <w:color w:val="666666"/>
          <w:sz w:val="22"/>
          <w:szCs w:val="22"/>
        </w:rPr>
        <w:t xml:space="preserve">For: Acme — Cyber Assurance</w:t>
      </w:r>
    </w:p>
    <w:p>
      <w:pPr>
        <w:spacing w:after="40"/>
        <w:jc w:val="center"/>
      </w:pPr>
      <w:r>
        <w:rPr>
          <w:b/>
          <w:bCs/>
          <w:color w:val="7F1D1D"/>
          <w:sz w:val="22"/>
          <w:szCs w:val="22"/>
        </w:rPr>
        <w:t xml:space="preserve">Classification: INTERNAL</w:t>
      </w:r>
    </w:p>
    <w:p>
      <w:r>
        <w:br w:type="page"/>
      </w:r>
    </w:p>
    <w:p>
      <w:pPr>
        <w:pStyle w:val="Heading1"/>
        <w:pBdr>
          <w:bottom w:val="single" w:color="2E75B6" w:sz="6" w:space="4"/>
        </w:pBdr>
      </w:pPr>
      <w:r>
        <w:t xml:space="preserve">Table of Contents</w:t>
      </w:r>
    </w:p>
    <w:p>
      <w:pPr>
        <w:spacing w:after="120"/>
      </w:pPr>
      <w:r>
        <w:rPr>
          <w:i/>
          <w:iCs/>
          <w:color w:val="666666"/>
          <w:sz w:val="18"/>
          <w:szCs w:val="18"/>
        </w:rPr>
        <w:t xml:space="preserve">(Open in Word, then right-click the list below → Update Field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pPr>
      <w:r>
        <w:t xml:space="preserve">Document Control</w:t>
      </w:r>
    </w:p>
    <w:p>
      <w:pPr>
        <w:pStyle w:val="Heading2"/>
      </w:pPr>
      <w: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1500"/>
        <w:gridCol w:w="3226"/>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Version</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Date</w:t>
            </w:r>
          </w:p>
        </w:tc>
        <w:tc>
          <w:tcPr>
            <w:tcW w:type="dxa" w:w="1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Author</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Status</w:t>
            </w:r>
          </w:p>
        </w:tc>
        <w:tc>
          <w:tcPr>
            <w:tcW w:type="dxa" w:w="32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Notes</w:t>
            </w:r>
          </w:p>
        </w:tc>
      </w:tr>
      <w:tr>
        <w:tc>
          <w:tcPr>
            <w:tcW w:type="dxa" w:w="11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0.1</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26 Jun 2026</w:t>
            </w:r>
          </w:p>
        </w:tc>
        <w:tc>
          <w:tcPr>
            <w:tcW w:type="dxa" w:w="1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M. (CloudKonsult)</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Draft</w:t>
            </w:r>
          </w:p>
        </w:tc>
        <w:tc>
          <w:tcPr>
            <w:tcW w:type="dxa" w:w="32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Initial requirements baseline for review.</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1.0</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28 Jun 2026</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M. (CloudKonsult)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Released</w:t>
            </w:r>
          </w:p>
        </w:tc>
        <w:tc>
          <w:tcPr>
            <w:tcW w:type="dxa" w:w="3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Key decisions confirmed (identity, stakeholders, stack); reviewed and issued as the master baseline.</w:t>
            </w:r>
          </w:p>
        </w:tc>
      </w:tr>
    </w:tbl>
    <w:p>
      <w:pPr>
        <w:spacing w:after="80"/>
      </w:pPr>
    </w:p>
    <w:p>
      <w:pPr>
        <w:pStyle w:val="Heading2"/>
      </w:pPr>
      <w:r>
        <w:t xml:space="preserve">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326"/>
        <w:gridCol w:w="200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Role</w:t>
            </w:r>
          </w:p>
        </w:tc>
        <w:tc>
          <w:tcPr>
            <w:tcW w:type="dxa" w:w="43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Name / Entity</w:t>
            </w:r>
          </w:p>
        </w:tc>
        <w:tc>
          <w:tcPr>
            <w:tcW w:type="dxa" w:w="2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Date</w:t>
            </w:r>
          </w:p>
        </w:tc>
      </w:tr>
      <w:tr>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Prepared by</w:t>
            </w:r>
          </w:p>
        </w:tc>
        <w:tc>
          <w:tcPr>
            <w:tcW w:type="dxa" w:w="43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Muhammad — CloudKonsult Limited</w:t>
            </w:r>
          </w:p>
        </w:tc>
        <w:tc>
          <w:tcPr>
            <w:tcW w:type="dxa" w:w="2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28 Jun 2026</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Reviewed &amp; released by</w:t>
            </w:r>
          </w:p>
        </w:tc>
        <w:tc>
          <w:tcPr>
            <w:tcW w:type="dxa" w:w="43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CloudKonsult Limited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28 Jun 2026</w:t>
            </w:r>
          </w:p>
        </w:tc>
      </w:tr>
      <w:tr>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Accepted by</w:t>
            </w:r>
          </w:p>
        </w:tc>
        <w:tc>
          <w:tcPr>
            <w:tcW w:type="dxa" w:w="43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Acme — Cyber Assurance</w:t>
            </w:r>
          </w:p>
        </w:tc>
        <w:tc>
          <w:tcPr>
            <w:tcW w:type="dxa" w:w="2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Pending sign-off</w:t>
            </w:r>
          </w:p>
        </w:tc>
      </w:tr>
    </w:tbl>
    <w:p>
      <w:pPr>
        <w:spacing w:after="80"/>
      </w:pPr>
    </w:p>
    <w:p>
      <w:pPr>
        <w:pStyle w:val="Heading2"/>
      </w:pPr>
      <w:r>
        <w:t xml:space="preserve">Distribution &amp; Classification</w:t>
      </w:r>
    </w:p>
    <w:p>
      <w:pPr>
        <w:spacing w:after="120"/>
      </w:pPr>
      <w:r>
        <w:t xml:space="preserve">This document is classified INTERNAL. It describes a platform that will hold live, unremediated vulnerability data and test credentials for client applications; circulation is restricted to named recipients within Acme Cyber Assurance and CloudKonsult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Field</w:t>
            </w:r>
          </w:p>
        </w:tc>
        <w:tc>
          <w:tcPr>
            <w:tcW w:type="dxa" w:w="63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Value</w:t>
            </w:r>
          </w:p>
        </w:tc>
      </w:tr>
      <w:tr>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Product</w:t>
            </w:r>
          </w:p>
        </w:tc>
        <w:tc>
          <w:tcPr>
            <w:tcW w:type="dxa" w:w="63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Pentest Engagement Management Platform (PEMP)</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Owning entity</w:t>
            </w:r>
          </w:p>
        </w:tc>
        <w:tc>
          <w:tcPr>
            <w:tcW w:type="dxa" w:w="63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CloudKonsult Limited</w:t>
            </w:r>
          </w:p>
        </w:tc>
      </w:tr>
      <w:tr>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Primary client</w:t>
            </w:r>
          </w:p>
        </w:tc>
        <w:tc>
          <w:tcPr>
            <w:tcW w:type="dxa" w:w="63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Acme — Cyber Assurance</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Target platform</w:t>
            </w:r>
          </w:p>
        </w:tc>
        <w:tc>
          <w:tcPr>
            <w:tcW w:type="dxa" w:w="63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Azure-native .NET, within Acme’s Microsoft Entra ID tenant (UK region).</w:t>
            </w:r>
          </w:p>
        </w:tc>
      </w:tr>
      <w:tr>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Relationship to CSS</w:t>
            </w:r>
          </w:p>
        </w:tc>
        <w:tc>
          <w:tcPr>
            <w:tcW w:type="dxa" w:w="63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Standalone application and data plane; no shared tenancy or data with CloudShieldSecure.</w:t>
            </w:r>
          </w:p>
        </w:tc>
      </w:tr>
      <w:tr>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Status</w:t>
            </w:r>
          </w:p>
        </w:tc>
        <w:tc>
          <w:tcPr>
            <w:tcW w:type="dxa" w:w="63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Released master baseline (v1.0).</w:t>
            </w:r>
          </w:p>
        </w:tc>
      </w:tr>
    </w:tbl>
    <w:p>
      <w:r>
        <w:br w:type="page"/>
      </w:r>
    </w:p>
    <w:p>
      <w:pPr>
        <w:pStyle w:val="Heading1"/>
        <w:pBdr>
          <w:bottom w:val="single" w:color="2E75B6" w:sz="6" w:space="4"/>
        </w:pBdr>
      </w:pPr>
      <w:r>
        <w:t xml:space="preserve">Executive Summary</w:t>
      </w:r>
    </w:p>
    <w:p>
      <w:pPr>
        <w:spacing w:after="120"/>
      </w:pPr>
      <w:r>
        <w:t xml:space="preserve">The Pentest Engagement Management Platform (PEMP) is a secure web application that runs the complete penetration-test engagement lifecycle for Acme Cyber Assurance, the penetration testers, the contractor delivery management that assigns them, and the application stakeholders whose systems are tested. It replaces today’s mix of email, spreadsheets, manually drafted documents, and a shared evidence folder with a single, guarded system of record.</w:t>
      </w:r>
    </w:p>
    <w:p>
      <w:pPr>
        <w:spacing w:after="120"/>
      </w:pPr>
      <w:r>
        <w:t xml:space="preserve">PEMP’s distinguishing characteristic is enforcement: an engagement cannot advance past a stage until that stage’s preconditions are met — for example, testing cannot begin without a signed Statement of Work and verified access. Combined with a live vulnerability register and built-in process and security exception reporting, this turns an informal, person-dependent process into one that is auditable and repeatable.</w:t>
      </w:r>
    </w:p>
    <w:p>
      <w:pPr>
        <w:spacing w:after="120"/>
      </w:pPr>
      <w:r>
        <w:t xml:space="preserve">The platform is delivered as an Azure-native .NET application within Acme’s Microsoft Entra ID tenant, with enforced multi-factor authentication and a security architecture appropriate to a system that concentrates test credentials, evidence, and live vulnerabilities for client applications. Because PEMP holds exactly the data an attacker would most want, its requirements treat security and auditability as first-order concerns, not features.</w:t>
      </w:r>
    </w:p>
    <w:p>
      <w:pPr>
        <w:spacing w:after="120"/>
      </w:pPr>
      <w:r>
        <w:t xml:space="preserve">This document is the released requirements baseline (v1.0). The key delivery decisions have been confirmed (Section 9) and it is issued as the controlled input to Phase 2 (Design).</w:t>
      </w:r>
    </w:p>
    <w:p>
      <w:pPr>
        <w:pStyle w:val="Heading3"/>
      </w:pPr>
      <w:r>
        <w:t xml:space="preserve">At a Glance</w:t>
      </w:r>
    </w:p>
    <w:p>
      <w:pPr>
        <w:pStyle w:val="ListParagraph"/>
        <w:numPr>
          <w:ilvl w:val="0"/>
          <w:numId w:val="2"/>
        </w:numPr>
        <w:spacing w:after="40"/>
      </w:pPr>
      <w:r>
        <w:t xml:space="preserve">Users: Acme Cyber Assurance officers, the contractor Delivery Manager, penetration testers, application stakeholders, and administrators.</w:t>
      </w:r>
    </w:p>
    <w:p>
      <w:pPr>
        <w:pStyle w:val="ListParagraph"/>
        <w:numPr>
          <w:ilvl w:val="0"/>
          <w:numId w:val="2"/>
        </w:numPr>
        <w:spacing w:after="40"/>
      </w:pPr>
      <w:r>
        <w:t xml:space="preserve">Platform: Azure-native .NET, within Acme’s Microsoft Entra ID tenant, UK data residency.</w:t>
      </w:r>
    </w:p>
    <w:p>
      <w:pPr>
        <w:pStyle w:val="ListParagraph"/>
        <w:numPr>
          <w:ilvl w:val="0"/>
          <w:numId w:val="2"/>
        </w:numPr>
        <w:spacing w:after="40"/>
      </w:pPr>
      <w:r>
        <w:t xml:space="preserve">Scope: the full BAU and Project penetration-test lifecycle, including retests.</w:t>
      </w:r>
    </w:p>
    <w:p>
      <w:pPr>
        <w:pStyle w:val="ListParagraph"/>
        <w:numPr>
          <w:ilvl w:val="0"/>
          <w:numId w:val="2"/>
        </w:numPr>
        <w:spacing w:after="40"/>
      </w:pPr>
      <w:r>
        <w:t xml:space="preserve">Security: enforced 2FA, strict object-level authorization, credential vaulting, evidence protection, and a tamper-evident audit trail.</w:t>
      </w:r>
    </w:p>
    <w:p>
      <w:r>
        <w:br w:type="page"/>
      </w:r>
    </w:p>
    <w:p>
      <w:pPr>
        <w:pStyle w:val="Heading1"/>
        <w:pBdr>
          <w:bottom w:val="single" w:color="2E75B6" w:sz="6" w:space="4"/>
        </w:pBdr>
      </w:pPr>
      <w:r>
        <w:t xml:space="preserve">1.  Introduction</w:t>
      </w:r>
    </w:p>
    <w:p>
      <w:pPr>
        <w:pStyle w:val="Heading2"/>
      </w:pPr>
      <w:r>
        <w:t xml:space="preserve">1.1  Purpose</w:t>
      </w:r>
    </w:p>
    <w:p>
      <w:pPr>
        <w:spacing w:after="120"/>
      </w:pPr>
      <w:r>
        <w:t xml:space="preserve">This Software Requirements Specification (SRS) defines the requirements for the Pentest Engagement Management Platform (PEMP): a secure web application that runs the end-to-end penetration-test engagement lifecycle for Acme Cyber Assurance, the penetration testers, the contractor delivery management that assigns and oversees them, and the application stakeholders whose systems are tested. It is the controlled output of Phase 1 (Requirements) and the baseline against which design, build, and acceptance are measured.</w:t>
      </w:r>
    </w:p>
    <w:p>
      <w:pPr>
        <w:pStyle w:val="Heading2"/>
      </w:pPr>
      <w:r>
        <w:t xml:space="preserve">1.2  Background &amp; Problem Statement</w:t>
      </w:r>
    </w:p>
    <w:p>
      <w:pPr>
        <w:spacing w:after="120"/>
      </w:pPr>
      <w:r>
        <w:t xml:space="preserve">Today the engagement process runs across email, spreadsheets (tester availability), Teams calls, manually drafted documents, and a shared server folder for evidence and reports. This is slow, hard to audit, dependent on individuals remembering each step, and — critically for a security function — stores sensitive material (test credentials, evidence, unremediated findings) in weakly controlled locations.</w:t>
      </w:r>
    </w:p>
    <w:p>
      <w:pPr>
        <w:spacing w:after="120"/>
      </w:pPr>
      <w:r>
        <w:t xml:space="preserve">PEMP replaces this with a single guarded system of record. Its value over a spreadsheet is enforcement: the workflow physically cannot advance past a stage until its preconditions are met (for example, an engagement cannot enter Testing without a signed Statement of Work and verified access). That guard logic, together with a live vulnerability register and built-in exception reporting, is the core of the product.</w:t>
      </w:r>
    </w:p>
    <w:p>
      <w:pPr>
        <w:pStyle w:val="Heading2"/>
      </w:pPr>
      <w:r>
        <w:t xml:space="preserve">1.3  Scope (In Scope for v1)</w:t>
      </w:r>
    </w:p>
    <w:p>
      <w:pPr>
        <w:pStyle w:val="ListParagraph"/>
        <w:numPr>
          <w:ilvl w:val="0"/>
          <w:numId w:val="2"/>
        </w:numPr>
        <w:spacing w:after="40"/>
      </w:pPr>
      <w:r>
        <w:t xml:space="preserve">The full engagement lifecycle for BAU and Project penetration tests, from request through final report, register, and retest.</w:t>
      </w:r>
    </w:p>
    <w:p>
      <w:pPr>
        <w:pStyle w:val="ListParagraph"/>
        <w:numPr>
          <w:ilvl w:val="0"/>
          <w:numId w:val="2"/>
        </w:numPr>
        <w:spacing w:after="40"/>
      </w:pPr>
      <w:r>
        <w:t xml:space="preserve">Role-based access for Acme Cyber Assurance, the contractor Delivery Manager, penetration testers, application stakeholders, and administrators.</w:t>
      </w:r>
    </w:p>
    <w:p>
      <w:pPr>
        <w:pStyle w:val="ListParagraph"/>
        <w:numPr>
          <w:ilvl w:val="0"/>
          <w:numId w:val="2"/>
        </w:numPr>
        <w:spacing w:after="40"/>
      </w:pPr>
      <w:r>
        <w:t xml:space="preserve">Identity via Acme’s Microsoft Entra ID tenant with enforced multi-factor authentication, hosted on Microsoft Azure (UK region).</w:t>
      </w:r>
    </w:p>
    <w:p>
      <w:pPr>
        <w:pStyle w:val="ListParagraph"/>
        <w:numPr>
          <w:ilvl w:val="0"/>
          <w:numId w:val="2"/>
        </w:numPr>
        <w:spacing w:after="40"/>
      </w:pPr>
      <w:r>
        <w:t xml:space="preserve">Assessment forms, Statement of Work generation and sign-off, access/prerequisite tracking, structured findings and a live vulnerability register, report generation, and the retest lifecycle.</w:t>
      </w:r>
    </w:p>
    <w:p>
      <w:pPr>
        <w:pStyle w:val="ListParagraph"/>
        <w:numPr>
          <w:ilvl w:val="0"/>
          <w:numId w:val="2"/>
        </w:numPr>
        <w:spacing w:after="40"/>
      </w:pPr>
      <w:r>
        <w:t xml:space="preserve">Automated engagement communications (Incident Response notices, end-of-test notice, findings summary) with a full audit trail.</w:t>
      </w:r>
    </w:p>
    <w:p>
      <w:pPr>
        <w:pStyle w:val="ListParagraph"/>
        <w:numPr>
          <w:ilvl w:val="0"/>
          <w:numId w:val="2"/>
        </w:numPr>
        <w:spacing w:after="40"/>
      </w:pPr>
      <w:r>
        <w:t xml:space="preserve">A secure document and evidence store that replaces the shared server folder.</w:t>
      </w:r>
    </w:p>
    <w:p>
      <w:pPr>
        <w:pStyle w:val="ListParagraph"/>
        <w:numPr>
          <w:ilvl w:val="0"/>
          <w:numId w:val="2"/>
        </w:numPr>
        <w:spacing w:after="40"/>
      </w:pPr>
      <w:r>
        <w:t xml:space="preserve">Process SLA / exception reporting and portfolio security analytics.</w:t>
      </w:r>
    </w:p>
    <w:p>
      <w:pPr>
        <w:pStyle w:val="Heading2"/>
      </w:pPr>
      <w:r>
        <w:t xml:space="preserve">1.4  Out of Scope (v1)</w:t>
      </w:r>
    </w:p>
    <w:p>
      <w:pPr>
        <w:pStyle w:val="ListParagraph"/>
        <w:numPr>
          <w:ilvl w:val="0"/>
          <w:numId w:val="2"/>
        </w:numPr>
        <w:spacing w:after="40"/>
      </w:pPr>
      <w:r>
        <w:t xml:space="preserve">Performing or automating the penetration testing itself — PEMP manages the engagement, it is not a scanning or exploitation tool.</w:t>
      </w:r>
    </w:p>
    <w:p>
      <w:pPr>
        <w:pStyle w:val="ListParagraph"/>
        <w:numPr>
          <w:ilvl w:val="0"/>
          <w:numId w:val="2"/>
        </w:numPr>
        <w:spacing w:after="40"/>
      </w:pPr>
      <w:r>
        <w:t xml:space="preserve">Replacing Acme’s service-management system; PEMP integrates with it for access tracking rather than replacing it.</w:t>
      </w:r>
    </w:p>
    <w:p>
      <w:pPr>
        <w:pStyle w:val="ListParagraph"/>
        <w:numPr>
          <w:ilvl w:val="0"/>
          <w:numId w:val="2"/>
        </w:numPr>
        <w:spacing w:after="40"/>
      </w:pPr>
      <w:r>
        <w:t xml:space="preserve">Finance, billing, and contract management beyond capturing engagement effort for capacity planning.</w:t>
      </w:r>
    </w:p>
    <w:p>
      <w:pPr>
        <w:pStyle w:val="ListParagraph"/>
        <w:numPr>
          <w:ilvl w:val="0"/>
          <w:numId w:val="2"/>
        </w:numPr>
        <w:spacing w:after="40"/>
      </w:pPr>
      <w:r>
        <w:t xml:space="preserve">Any shared functionality or data with CloudShieldSecure (CSS).</w:t>
      </w:r>
    </w:p>
    <w:p>
      <w:pPr>
        <w:pStyle w:val="Heading2"/>
      </w:pPr>
      <w:r>
        <w:t xml:space="preserve">1.5  Definitions &amp;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Term</w:t>
            </w:r>
          </w:p>
        </w:tc>
        <w:tc>
          <w:tcPr>
            <w:tcW w:type="dxa" w:w="68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Meaning</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BAU pentest</w:t>
            </w:r>
          </w:p>
        </w:tc>
        <w:tc>
          <w:tcPr>
            <w:tcW w:type="dxa" w:w="68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Business-as-usual / routine recurring penetration test.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Project pentest</w:t>
            </w:r>
          </w:p>
        </w:tc>
        <w:tc>
          <w:tcPr>
            <w:tcW w:type="dxa" w:w="68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Penetration test tied to a specific project or release, requiring formal sign-off.</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SoW</w:t>
            </w:r>
          </w:p>
        </w:tc>
        <w:tc>
          <w:tcPr>
            <w:tcW w:type="dxa" w:w="68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Statement of Work — the agreed scope, methodology, dates, and prerequisites for an engagement.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Assessment form</w:t>
            </w:r>
          </w:p>
        </w:tc>
        <w:tc>
          <w:tcPr>
            <w:tcW w:type="dxa" w:w="68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Structured questionnaire about the target application, completed during scoping.</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IR</w:t>
            </w:r>
          </w:p>
        </w:tc>
        <w:tc>
          <w:tcPr>
            <w:tcW w:type="dxa" w:w="68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Incident Response — notified before testing starts and when it ends.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Cyber Assurance (CA)</w:t>
            </w:r>
          </w:p>
        </w:tc>
        <w:tc>
          <w:tcPr>
            <w:tcW w:type="dxa" w:w="68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The Acme team that requests, tracks, and signs off penetration tests.</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Entra ID</w:t>
            </w:r>
          </w:p>
        </w:tc>
        <w:tc>
          <w:tcPr>
            <w:tcW w:type="dxa" w:w="68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Microsoft Entra ID (formerly Azure Active Directory) — the identity provider (Acme tenant).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B2B guest</w:t>
            </w:r>
          </w:p>
        </w:tc>
        <w:tc>
          <w:tcPr>
            <w:tcW w:type="dxa" w:w="68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An external user (e.g. a contractor tester) granted scoped access to Acme’s Entra tenant.</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MFA / 2FA</w:t>
            </w:r>
          </w:p>
        </w:tc>
        <w:tc>
          <w:tcPr>
            <w:tcW w:type="dxa" w:w="68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Multi-factor / two-factor authentication.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RBAC</w:t>
            </w:r>
          </w:p>
        </w:tc>
        <w:tc>
          <w:tcPr>
            <w:tcW w:type="dxa" w:w="68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Role-Based Access Control.</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BOLA / IDOR</w:t>
            </w:r>
          </w:p>
        </w:tc>
        <w:tc>
          <w:tcPr>
            <w:tcW w:type="dxa" w:w="68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Broken Object-Level Authorization / Insecure Direct Object Reference — the dominant risk for this class of app.</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CVSS</w:t>
            </w:r>
          </w:p>
        </w:tc>
        <w:tc>
          <w:tcPr>
            <w:tcW w:type="dxa" w:w="68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Common Vulnerability Scoring System.</w:t>
            </w:r>
          </w:p>
        </w:tc>
      </w:tr>
      <w:tr>
        <w:tc>
          <w:tcPr>
            <w:tcW w:type="dxa" w:w="22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Vulnerability register</w:t>
            </w:r>
          </w:p>
        </w:tc>
        <w:tc>
          <w:tcPr>
            <w:tcW w:type="dxa" w:w="68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The consolidated, live record of findings across engagements.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SLA</w:t>
            </w:r>
          </w:p>
        </w:tc>
        <w:tc>
          <w:tcPr>
            <w:tcW w:type="dxa" w:w="68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Service-Level Agreement / target time for a process step.</w:t>
            </w:r>
          </w:p>
        </w:tc>
      </w:tr>
    </w:tbl>
    <w:p>
      <w:r>
        <w:br w:type="page"/>
      </w:r>
    </w:p>
    <w:p>
      <w:pPr>
        <w:pStyle w:val="Heading1"/>
        <w:pBdr>
          <w:bottom w:val="single" w:color="2E75B6" w:sz="6" w:space="4"/>
        </w:pBdr>
      </w:pPr>
      <w:r>
        <w:t xml:space="preserve">2.  Project Approach &amp; Delivery Phases</w:t>
      </w:r>
    </w:p>
    <w:p>
      <w:pPr>
        <w:spacing w:after="120"/>
      </w:pPr>
      <w:r>
        <w:t xml:space="preserve">PEMP will be delivered through a conventional, documented engineering lifecycle, run iteratively within each phase. For a regulated insurer this balances the rigour Acme expects (signed-off requirements and design, a documented security architecture) with practical, incremental delivery. The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Phase</w:t>
            </w:r>
          </w:p>
        </w:tc>
        <w:tc>
          <w:tcPr>
            <w:tcW w:type="dxa" w:w="3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Name</w:t>
            </w:r>
          </w:p>
        </w:tc>
        <w:tc>
          <w:tcPr>
            <w:tcW w:type="dxa" w:w="4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Primary Outputs</w:t>
            </w:r>
          </w:p>
        </w:tc>
      </w:tr>
      <w:tr>
        <w:tc>
          <w:tcPr>
            <w:tcW w:type="dxa" w:w="14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1</w:t>
            </w:r>
          </w:p>
        </w:tc>
        <w:tc>
          <w:tcPr>
            <w:tcW w:type="dxa" w:w="3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Requirements (this document)</w:t>
            </w:r>
          </w:p>
        </w:tc>
        <w:tc>
          <w:tcPr>
            <w:tcW w:type="dxa" w:w="4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SRS: scope, roles, functional and non-functional requirements, security requirements, traceability.</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Design</w:t>
            </w:r>
          </w:p>
        </w:tc>
        <w:tc>
          <w:tcPr>
            <w:tcW w:type="dxa" w:w="4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Solution architecture and Azure topology, data model / ERD, engagement state machine, API contract, security architecture, and wireframes for the simplified tabbed flow.</w:t>
            </w:r>
          </w:p>
        </w:tc>
      </w:tr>
      <w:tr>
        <w:tc>
          <w:tcPr>
            <w:tcW w:type="dxa" w:w="14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3</w:t>
            </w:r>
          </w:p>
        </w:tc>
        <w:tc>
          <w:tcPr>
            <w:tcW w:type="dxa" w:w="3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Implementation</w:t>
            </w:r>
          </w:p>
        </w:tc>
        <w:tc>
          <w:tcPr>
            <w:tcW w:type="dxa" w:w="4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Iterative build in sprints: identity → intake &amp; assignment → scoping &amp; SoW → access &amp; execution → findings &amp; register → reporting &amp; retest → analytics &amp; exceptions → hardening.</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4</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Testing</w:t>
            </w:r>
          </w:p>
        </w:tc>
        <w:tc>
          <w:tcPr>
            <w:tcW w:type="dxa" w:w="4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Functional, integration, and security testing (the platform is itself penetration-tested), plus Acme user-acceptance testing.</w:t>
            </w:r>
          </w:p>
        </w:tc>
      </w:tr>
      <w:tr>
        <w:tc>
          <w:tcPr>
            <w:tcW w:type="dxa" w:w="14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5</w:t>
            </w:r>
          </w:p>
        </w:tc>
        <w:tc>
          <w:tcPr>
            <w:tcW w:type="dxa" w:w="3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Deployment</w:t>
            </w:r>
          </w:p>
        </w:tc>
        <w:tc>
          <w:tcPr>
            <w:tcW w:type="dxa" w:w="4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Infrastructure-as-Code, CI/CD pipeline, Azure environments (dev/test/prod), and controlled go-live.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Operations &amp; Maintenance</w:t>
            </w:r>
          </w:p>
        </w:tc>
        <w:tc>
          <w:tcPr>
            <w:tcW w:type="dxa" w:w="4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Monitoring, exception reporting, support, and ongoing iteration.</w:t>
            </w:r>
          </w:p>
        </w:tc>
      </w:tr>
    </w:tbl>
    <w:p>
      <w:pPr>
        <w:spacing w:after="80"/>
      </w:pPr>
    </w:p>
    <w:p>
      <w:pPr>
        <w:spacing w:after="120"/>
      </w:pPr>
      <w:r>
        <w:t xml:space="preserve">This SRS is the deliverable for Phase 1. Sign-off on it is the entry gate to Phase 2 (Design).</w:t>
      </w:r>
    </w:p>
    <w:p>
      <w:r>
        <w:br w:type="page"/>
      </w:r>
    </w:p>
    <w:p>
      <w:pPr>
        <w:pStyle w:val="Heading1"/>
        <w:pBdr>
          <w:bottom w:val="single" w:color="2E75B6" w:sz="6" w:space="4"/>
        </w:pBdr>
      </w:pPr>
      <w:r>
        <w:t xml:space="preserve">3.  Stakeholders, Roles &amp; Navigation</w:t>
      </w:r>
    </w:p>
    <w:p>
      <w:pPr>
        <w:pStyle w:val="Heading2"/>
      </w:pPr>
      <w:r>
        <w:t xml:space="preserve">3.1  Roles &amp;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226"/>
        <w:gridCol w:w="270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Role</w:t>
            </w:r>
          </w:p>
        </w:tc>
        <w:tc>
          <w:tcPr>
            <w:tcW w:type="dxa" w:w="42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Responsibilities</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Primary Tabs</w:t>
            </w:r>
          </w:p>
        </w:tc>
      </w:tr>
      <w:tr>
        <w:tc>
          <w:tcPr>
            <w:tcW w:type="dxa" w:w="21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Acme Cyber Assurance Officer</w:t>
            </w:r>
          </w:p>
        </w:tc>
        <w:tc>
          <w:tcPr>
            <w:tcW w:type="dxa" w:w="42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Raises pentest requests, tracks progress, chases access/tickets, signs off SoWs, receives summaries and final reports.</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Home, New Request, Engagements, Approvals, Reports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Delivery Manager (Contractor)</w:t>
            </w:r>
          </w:p>
        </w:tc>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Receives requests, assigns testers from the capacity board, reviews Project SoWs, oversees all engagements.</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Home, Requests, Assignments, Capacity, Engagements, Approvals</w:t>
            </w:r>
          </w:p>
        </w:tc>
      </w:tr>
      <w:tr>
        <w:tc>
          <w:tcPr>
            <w:tcW w:type="dxa" w:w="21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Penetration Tester</w:t>
            </w:r>
          </w:p>
        </w:tc>
        <w:tc>
          <w:tcPr>
            <w:tcW w:type="dxa" w:w="42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Runs scoping, completes the assessment, drafts the SoW, verifies access, records findings, produces reports, performs retests.</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My Work, Assessment, SoW, Access, Findings, Reports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Application Stakeholder</w:t>
            </w:r>
          </w:p>
        </w:tc>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Dev/business contact: provides assessment input, views findings for their own application, requests retests.</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My Assessment, Findings, Retests</w:t>
            </w:r>
          </w:p>
        </w:tc>
      </w:tr>
      <w:tr>
        <w:tc>
          <w:tcPr>
            <w:tcW w:type="dxa" w:w="21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System Administrator</w:t>
            </w:r>
          </w:p>
        </w:tc>
        <w:tc>
          <w:tcPr>
            <w:tcW w:type="dxa" w:w="42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Manages users/roles (via Entra groups), templates and configuration, integrations, and reviews the audit log.</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Users, Configuration, Audit, Integrations</w:t>
            </w:r>
          </w:p>
        </w:tc>
      </w:tr>
    </w:tbl>
    <w:p>
      <w:pPr>
        <w:spacing w:after="80"/>
      </w:pPr>
    </w:p>
    <w:p>
      <w:pPr>
        <w:spacing w:after="120"/>
      </w:pPr>
      <w:r>
        <w:t xml:space="preserve">All users authenticate through Acme’s Entra ID tenant. Acme staff (Cyber Assurance officers, application stakeholders, administrators) are native identities; CloudKonsult delivery staff (the Delivery Manager and penetration testers) and any external application stakeholders are onboarded as Entra B2B guests with scoped, least-privilege access.</w:t>
      </w:r>
    </w:p>
    <w:p>
      <w:pPr>
        <w:pStyle w:val="Heading2"/>
      </w:pPr>
      <w:r>
        <w:t xml:space="preserve">3.2  Simplified Navigation — the “Flow Story”</w:t>
      </w:r>
    </w:p>
    <w:p>
      <w:pPr>
        <w:spacing w:after="120"/>
      </w:pPr>
      <w:r>
        <w:t xml:space="preserve">A core usability principle: each role sees only a small, focused set of tabs (target of six or fewer), and every engagement carries a single guided “flow” view — a stage indicator across the lifecycle that always highlights the current stage, who owns the next action, and what that action is. The same engagement therefore tells a consistent story to every role, while exposing each role only to the controls relevant to them. This keeps the interface simple despite the depth of the underlying process.</w:t>
      </w:r>
    </w:p>
    <w:p>
      <w:r>
        <w:br w:type="page"/>
      </w:r>
    </w:p>
    <w:p>
      <w:pPr>
        <w:pStyle w:val="Heading1"/>
        <w:pBdr>
          <w:bottom w:val="single" w:color="2E75B6" w:sz="6" w:space="4"/>
        </w:pBdr>
      </w:pPr>
      <w:r>
        <w:t xml:space="preserve">4.  Functional Requirements</w:t>
      </w:r>
    </w:p>
    <w:p>
      <w:pPr>
        <w:spacing w:after="120"/>
      </w:pPr>
      <w:r>
        <w:t xml:space="preserve">Requirements are grouped by capability and prioritised Must / Should / Could. Section 8 maps these back to the 15-step engagement lifecycle.</w:t>
      </w:r>
    </w:p>
    <w:p>
      <w:pPr>
        <w:pStyle w:val="Heading2"/>
      </w:pPr>
      <w:r>
        <w:t xml:space="preserve">4.1  Authentication &amp; Access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FR-AUTH-01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Single sign-on via Acme’s Microsoft Entra ID tenant (OIDC); no local password store.</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FR-AUTH-02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Enforce MFA/2FA for all users via Entra Conditional Access.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FR-AUTH-03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Support Conditional Access policies (device compliance, location, sign-in risk).</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FR-AUTH-04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Role-based access control mapped to Entra security groups.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FR-AUTH-05</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Scope each session to the user’s assigned engagements (least privilege).</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FR-AUTH-06</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Idle timeout, session lock, and re-authentication for sensitive actions (credential view, report download).</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FR-AUTH-07</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Support Entra B2B guest identities for contractor staff (Delivery Manager, testers) and external stakeholders, with scoped access.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4.2  Request Intake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FR-REQ-01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Acme CA officer raises a request specifying type (BAU/Project), target app(s), business unit, and desired window.</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FR-REQ-02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Capture criticality, environment, and points of contact (dev/business).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FR-REQ-03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Route the request to the Delivery Manager queue and notify.</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FR-REQ-04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Auto-generate a unique engagement reference.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FR-REQ-05</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Link the request to prior engagements for the same application.</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4.3  Tester Assignment &amp;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FR-ASG-01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Live tester capacity board: availability, current load, skills/certifications.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FR-ASG-02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Recommend available testers matched to required skills (web / API / cloud / mobile).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FR-ASG-03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Assign one or more testers; reflect allocation on the capacity board.</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FR-ASG-04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Record planned effort (days) and warn on over-allocation.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FR-ASG-05</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Reassign testers with a full audit trail.</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4.4  Scoping &amp;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FR-SCO-01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Structured assessment form with conditional questions by application type.</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FR-SCO-02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Stakeholders complete the form asynchronously before the scoping call.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FR-SCO-03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Completeness indicator; tester completes any remaining items during the call.</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FR-SCO-04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Versioned form; pre-populate from the prior engagement for retests/recurring tests.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FR-SCO-05</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Record scoping-call date, attendees, and notes.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4.5  Statement of Work &amp;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FR-SOW-01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Auto-draft the SoW from the completed assessment (scope, methodology, dates, prerequisites).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FR-SOW-02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Maintain SoW version history with an editable draft.</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FR-SOW-03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Project path: route SoW to Delivery Manager review, then Acme sign-off.</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FR-SOW-04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BAU path: tester issues the SoW directly to Acme Cyber Assurance.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FR-SOW-05</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Capture electronic sign-off with identity, timestamp, and an immutable record.</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FR-SOW-06</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Block progression to execution until the SoW is signed.</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4.6  Access &amp;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FR-ACC-01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Define prerequisites and test-account / user-access requirements per engagement.</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FR-ACC-02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Track access-request tickets and their chase status.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FR-ACC-03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Store test credentials with vault-backed encryption; masked display.</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FR-ACC-04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Tester verifies access before the start date; record the verification outcome.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FR-ACC-05</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Time-box credential validity and flag for revocation after the engagement.</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4.7  Engagement Execution &amp; Communications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FR-EXE-01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Tester sends the Incident Response advance notice on/before the start day (auto-drafted).</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FR-EXE-02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Record the test window (start/end); optional daily progress.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FR-EXE-03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Tester sends the end-of-test notice on the final day (auto-drafted).</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FR-EXE-04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Tester sends the findings summary to Acme CA the same day (auto-drafted from the register).</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FR-EXE-05</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Log all communications (content, recipient, timestamp) for audit.</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4.8  Findings &amp; Vulnerability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FR-FND-01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Enter each finding once: severity, CVSS vector/score, affected asset, evidence, remediation.</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FR-FND-02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Attach evidence (screenshots, requests/responses, logs) securely.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FR-FND-03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Findings flow automatically into the live vulnerability register.</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FR-FND-04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Track finding status: open, remediated, accepted-risk, retest-pending, closed.</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FR-FND-05</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Provide a standardised CVSS calculation aid.</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FR-FND-06</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Link/deduplicate recurring vulnerability classes across engagements.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Could</w:t>
            </w:r>
          </w:p>
        </w:tc>
      </w:tr>
    </w:tbl>
    <w:p>
      <w:pPr>
        <w:spacing w:after="80"/>
      </w:pPr>
    </w:p>
    <w:p>
      <w:pPr>
        <w:pStyle w:val="Heading2"/>
      </w:pPr>
      <w:r>
        <w:t xml:space="preserve">4.9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FR-REP-01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Generate the draft report from engagement and findings data.</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FR-REP-02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Peer-review / QA gate before a draft is released.</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FR-REP-03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Schedule and record the post-test call (attendees, notes, actions).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FR-REP-04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Produce the final report and the vulnerability register artifacts.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FR-REP-05</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Export to Word/PDF using approved templates and styling.</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FR-REP-06</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Store report versions (draft / final / retest) under access control.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4.10  Retest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FR-RET-01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Stakeholder/Acme requests a retest against specific remediated findings.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FR-RET-02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Spawn a child engagement linked to the original, inheriting scope and findings.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FR-RET-03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Tester re-verifies only the in-scope findings; capture pass/fail per finding.</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FR-RET-04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Generate a retest report with a before/after status diff.</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4.11  Document &amp; Evidence 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FR-DOC-01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Central, access-controlled artifact store that replaces the shared server folder.</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FR-DOC-02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Versioning, with immutable final artifacts.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FR-DOC-03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Per-engagement and per-role access scoping.</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FR-DOC-04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Enforce retention and secure-deletion policy.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4.12  Notifications &amp; Reminders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FR-NOT-01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Event-driven notifications on state transitions (assignment, sign-off, access verified, report ready).</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FR-NOT-02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Email and in-app notifications; optional Teams integration.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FR-NOT-03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Reminders for pending owner actions.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4.13  Exception &amp; SLA Reporting +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FR-ANL-01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Process SLA tracking: time-in-state per engagement against thresholds.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FR-ANL-02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Process exception report: stalled sign-offs, unprovisioned access, overdue drafts/retests — with owner and age.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FR-ANL-03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Security-event exceptions: out-of-scope access, bulk exports, off-hours or credential-access spikes, authorization failures.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FR-ANL-04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Portfolio analytics: recurring vulnerability classes, mean-time-to-remediate, severity distribution, per-app risk trend.</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FR-ANL-05</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Role-based dashboards and exportable management reports.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4.14  Audit &amp; Non-repudiation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FR-AUD-01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Immutable, append-only, tamper-evident (hash-chained) audit log of all material actions.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FR-AUD-02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Capture actor identity, action, before/after state, timestamp, and source.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FR-AUD-03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Audit search and export for compliance and investigations.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4.15  Administration &amp;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FR-ADM-01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User/role management synchronised with Entra groups.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FR-ADM-02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Configurable templates (assessment form, SoW, email) and SLA thresholds.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FR-ADM-03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Integration configuration (Entra, mail/Teams, ticketing).</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FR-ADM-04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Environment/feature configuration without code change.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Could</w:t>
            </w:r>
          </w:p>
        </w:tc>
      </w:tr>
    </w:tbl>
    <w:p>
      <w:r>
        <w:br w:type="page"/>
      </w:r>
    </w:p>
    <w:p>
      <w:pPr>
        <w:pStyle w:val="Heading1"/>
        <w:pBdr>
          <w:bottom w:val="single" w:color="2E75B6" w:sz="6" w:space="4"/>
        </w:pBdr>
      </w:pPr>
      <w:r>
        <w:t xml:space="preserve">5.  Non-Functional Requirements</w:t>
      </w:r>
    </w:p>
    <w:p>
      <w:pPr>
        <w:pStyle w:val="Heading2"/>
      </w:pPr>
      <w:r>
        <w:t xml:space="preserve">5.1  Security</w:t>
      </w:r>
    </w:p>
    <w:p>
      <w:pPr>
        <w:spacing w:after="120"/>
      </w:pPr>
      <w:r>
        <w:t xml:space="preserve">Security is the defining non-functional concern for this platform and is specified in full in Section 6. In summary, PEMP must protect identity, enforce strict authorization and isolation, vault test credentials, protect evidence and reports, maintain a tamper-evident audit trail, and be built and operated under a secure SDLC on hardened Azure infrastructure.</w:t>
      </w:r>
    </w:p>
    <w:p>
      <w:pPr>
        <w:pStyle w:val="Heading2"/>
      </w:pPr>
      <w:r>
        <w:t xml:space="preserve">5.2  Performance &amp;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NFR-PER-01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Standard interactions respond within ~2 seconds at the 95th percentile under expected load.</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NFR-PER-02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Support the concurrent Acme and contractor user base with headroom for growth.</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NFR-PER-03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Run report/document generation and notifications asynchronously.</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5.3  Availability &amp; Disaster Recovery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NFR-AVL-01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Target availability of at least 99.5% during business hours.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NFR-AVL-02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Automated backups with defined RPO/RTO and a documented DR runbook.</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5.4  Usability &amp;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NFR-USA-01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Role-based simplified navigation — around six or fewer primary tabs per role.</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NFR-USA-02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Guided engagement flow view showing the current stage and the next owner/action.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NFR-USA-03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Meet WCAG 2.1 AA accessibility.</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NFR-USA-04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Responsive layout, optimised for desktop as the primary surface.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5.5  Compliance &amp; Data Residency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NFR-CMP-01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Host and store all data within a UK Azure region; no egress outside the approved boundary.</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NFR-CMP-02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Align with UK GDPR — data minimisation, DPIA support, subject-rights handling.</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NFR-CMP-03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Align with Acme security standards and relevant ISO/IEC 27001 controls.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5.6  Maintainability &amp; Observability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NFR-MNT-01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Modular, layered architecture with documented APIs.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NFR-MNT-02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Centralised logging, metrics, and tracing to Azure Monitor / Application Insights with alerting.</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NFR-MNT-03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Infrastructure-as-Code for reproducible environments.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bl>
    <w:p>
      <w:r>
        <w:br w:type="page"/>
      </w:r>
    </w:p>
    <w:p>
      <w:pPr>
        <w:pStyle w:val="Heading1"/>
        <w:pBdr>
          <w:bottom w:val="single" w:color="2E75B6" w:sz="6" w:space="4"/>
        </w:pBdr>
      </w:pPr>
      <w:r>
        <w:t xml:space="preserve">6.  Security Requirements</w:t>
      </w:r>
    </w:p>
    <w:p>
      <w:pPr>
        <w:spacing w:after="120"/>
      </w:pPr>
      <w:r>
        <w:t xml:space="preserve">This platform is a high-value target: it concentrates test credentials, evidence, and </w:t>
      </w:r>
      <w:r>
        <w:rPr>
          <w:i/>
          <w:iCs/>
        </w:rPr>
        <w:t xml:space="preserve">live, unremediated</w:t>
      </w:r>
      <w:r>
        <w:t xml:space="preserve"> vulnerabilities for client applications. An insecure pentest-management tool is the worst possible outcome for a security vendor, so these requirements are mandatory and drive the design.</w:t>
      </w:r>
    </w:p>
    <w:p>
      <w:pPr>
        <w:pStyle w:val="Heading2"/>
      </w:pPr>
      <w:r>
        <w:t xml:space="preserve">6.1  Identity &amp;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SEC-IAM-01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Entra ID SSO via Acme’s tenant (OIDC); no local credential store.</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SEC-IAM-02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Enforced MFA/2FA for every user.</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SEC-IAM-03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Conditional Access (device compliance, geo, sign-in risk).</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SEC-IAM-04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Re-authentication for privileged actions (credential view, report download, admin).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6.2  Authorization &amp; Isolation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SEC-AZN-01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Server-side RBAC enforced on every endpoint.</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SEC-AZN-02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Object-level authorization on every record access (anti-BOLA/IDOR).</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SEC-AZN-03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Engagement/tenant isolation enforced at the data layer.</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SEC-AZN-04</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Field-level access control (e.g. credentials vs IR-contact visibility).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6.3  Test-Credential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SEC-CRD-01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Vault-backed storage (Azure Key Vault) or envelope encryption (AES-256-GCM with KMS-managed keys).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SEC-CRD-02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Masked in the UI; never written to logs.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SEC-CRD-03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Time-boxed validity with automatic flag/revocation after the engagement.</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6.4  Data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SEC-DAT-01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TLS 1.2+ for all data in transit.</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SEC-DAT-02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Encryption at rest (Azure storage-service / transparent data encryption) for database, storage, and backups.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SEC-DAT-03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Secrets in Azure Key Vault; managed identities; no secrets in code or config.</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6.5  Evidence &amp; Report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SEC-EVD-01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Private object storage (Azure Blob), server-side encrypted, with no public access.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SEC-EVD-02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Signed, short-lived download URLs; every download logged.</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SEC-EVD-03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Re-authentication gate on sensitive-artifact download.</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bl>
    <w:p>
      <w:pPr>
        <w:spacing w:after="80"/>
      </w:pPr>
    </w:p>
    <w:p>
      <w:pPr>
        <w:pStyle w:val="Heading2"/>
      </w:pPr>
      <w:r>
        <w:t xml:space="preserve">6.6  Audit &amp; Non-repudiation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SEC-AUD-01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Append-only, tamper-evident (hash-chained) audit log.</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SEC-AUD-02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Protected from modification by application and administrator roles alike.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6.7  Network &amp;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SEC-NET-01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Private networking (VNet, Private Endpoints) for data services.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SEC-NET-02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Web Application Firewall (App Gateway / Front Door) plus DDoS protection.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SEC-NET-03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Hardened, patched, minimal-surface managed hosting (PaaS/containers).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6.8  Secure SDLC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SEC-SDL-01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SAST, DAST, dependency, and container scanning in CI as a quality gate.</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SEC-SDL-02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Dogfood internal tooling (RedForce AI / Nuclei / Trivy) against the platform.</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SEC-SDL-03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Maintain a threat model from design through release.</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6.9  Insider-Threat &amp;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SEC-INS-01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Least privilege — testers see only their assigned engagements.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SEC-INS-02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Alert on bulk export, anomalous access, and off-hours credential access.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SEC-INS-03</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Security logging to Azure Monitor / Sentinel with alerting.</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Must</w:t>
            </w:r>
          </w:p>
        </w:tc>
      </w:tr>
    </w:tbl>
    <w:p>
      <w:pPr>
        <w:spacing w:after="80"/>
      </w:pPr>
    </w:p>
    <w:p>
      <w:pPr>
        <w:pStyle w:val="Heading2"/>
      </w:pPr>
      <w:r>
        <w:t xml:space="preserve">6.10  Data Lifecycle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6376"/>
        <w:gridCol w:w="1500"/>
      </w:tblGrid>
      <w:tr>
        <w:trPr>
          <w:tblHeader/>
        </w:trPr>
        <w:tc>
          <w:tcPr>
            <w:tcW w:type="dxa" w:w="115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637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Priority</w:t>
            </w:r>
          </w:p>
        </w:tc>
      </w:tr>
      <w:tr>
        <w:tc>
          <w:tcPr>
            <w:tcW w:type="dxa" w:w="115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SEC-LIF-01</w:t>
            </w:r>
          </w:p>
        </w:tc>
        <w:tc>
          <w:tcPr>
            <w:tcW w:type="dxa" w:w="637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Defined retention per data class.</w:t>
            </w:r>
          </w:p>
        </w:tc>
        <w:tc>
          <w:tcPr>
            <w:tcW w:type="dxa" w:w="15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pPr>
              <w:jc w:val="center"/>
            </w:pPr>
            <w:r>
              <w:rPr>
                <w:b w:val="false"/>
                <w:bCs w:val="false"/>
              </w:rPr>
              <w:t xml:space="preserve">Should</w:t>
            </w:r>
          </w:p>
        </w:tc>
      </w:tr>
      <w:tr>
        <w:tc>
          <w:tcPr>
            <w:tcW w:type="dxa" w:w="1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SEC-LIF-02</w:t>
            </w:r>
          </w:p>
        </w:tc>
        <w:tc>
          <w:tcPr>
            <w:tcW w:type="dxa" w:w="63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Secure deletion / crypto-shred on expiry.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jc w:val="center"/>
            </w:pPr>
            <w:r>
              <w:rPr>
                <w:b w:val="false"/>
                <w:bCs w:val="false"/>
              </w:rPr>
              <w:t xml:space="preserve">Should</w:t>
            </w:r>
          </w:p>
        </w:tc>
      </w:tr>
    </w:tbl>
    <w:p>
      <w:r>
        <w:br w:type="page"/>
      </w:r>
    </w:p>
    <w:p>
      <w:pPr>
        <w:pStyle w:val="Heading1"/>
        <w:pBdr>
          <w:bottom w:val="single" w:color="2E75B6" w:sz="6" w:space="4"/>
        </w:pBdr>
      </w:pPr>
      <w:r>
        <w:t xml:space="preserve">7.  Constraints, Assumptions &amp; Target Platform</w:t>
      </w:r>
    </w:p>
    <w:p>
      <w:pPr>
        <w:pStyle w:val="Heading2"/>
      </w:pPr>
      <w:r>
        <w:t xml:space="preserve">7.1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7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Constraint</w:t>
            </w:r>
          </w:p>
        </w:tc>
      </w:tr>
      <w:tr>
        <w:tc>
          <w:tcPr>
            <w:tcW w:type="dxa" w:w="14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CON-01</w:t>
            </w:r>
          </w:p>
        </w:tc>
        <w:tc>
          <w:tcPr>
            <w:tcW w:type="dxa" w:w="7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Hosted on Microsoft Azure (UK region) per Acme requirements.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CON-02</w:t>
            </w:r>
          </w:p>
        </w:tc>
        <w:tc>
          <w:tcPr>
            <w:tcW w:type="dxa" w:w="7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Identity is provided by Acme’s Microsoft Entra ID tenant; Acme staff are native identities and contractor/external users are B2B guests.</w:t>
            </w:r>
          </w:p>
        </w:tc>
      </w:tr>
      <w:tr>
        <w:tc>
          <w:tcPr>
            <w:tcW w:type="dxa" w:w="14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CON-03</w:t>
            </w:r>
          </w:p>
        </w:tc>
        <w:tc>
          <w:tcPr>
            <w:tcW w:type="dxa" w:w="7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Separate application and data plane from CloudShieldSecure (CSS): no shared tenancy or data.</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CON-04</w:t>
            </w:r>
          </w:p>
        </w:tc>
        <w:tc>
          <w:tcPr>
            <w:tcW w:type="dxa" w:w="7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The client is a regulated insurer; security and compliance requirements take precedence over convenience.</w:t>
            </w:r>
          </w:p>
        </w:tc>
      </w:tr>
      <w:tr>
        <w:tc>
          <w:tcPr>
            <w:tcW w:type="dxa" w:w="14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CON-05</w:t>
            </w:r>
          </w:p>
        </w:tc>
        <w:tc>
          <w:tcPr>
            <w:tcW w:type="dxa" w:w="7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Access-ticket tracking integrates with Acme’s existing IT service-management system; the specific system is confirmed during design.</w:t>
            </w:r>
          </w:p>
        </w:tc>
      </w:tr>
    </w:tbl>
    <w:p>
      <w:pPr>
        <w:spacing w:after="80"/>
      </w:pPr>
    </w:p>
    <w:p>
      <w:pPr>
        <w:pStyle w:val="Heading2"/>
      </w:pPr>
      <w:r>
        <w:t xml:space="preserve">7.2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ID</w:t>
            </w:r>
          </w:p>
        </w:tc>
        <w:tc>
          <w:tcPr>
            <w:tcW w:type="dxa" w:w="7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Assumption</w:t>
            </w:r>
          </w:p>
        </w:tc>
      </w:tr>
      <w:tr>
        <w:tc>
          <w:tcPr>
            <w:tcW w:type="dxa" w:w="14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ASM-01</w:t>
            </w:r>
          </w:p>
        </w:tc>
        <w:tc>
          <w:tcPr>
            <w:tcW w:type="dxa" w:w="7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The target platform is Azure-native .NET (see 7.3). The front-end approach (Blazor or a SPA) is finalised in design.</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ASM-02</w:t>
            </w:r>
          </w:p>
        </w:tc>
        <w:tc>
          <w:tcPr>
            <w:tcW w:type="dxa" w:w="7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Mail/Teams and a service-management system are available within the Acme tenant for integration.</w:t>
            </w:r>
          </w:p>
        </w:tc>
      </w:tr>
      <w:tr>
        <w:tc>
          <w:tcPr>
            <w:tcW w:type="dxa" w:w="14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ASM-03</w:t>
            </w:r>
          </w:p>
        </w:tc>
        <w:tc>
          <w:tcPr>
            <w:tcW w:type="dxa" w:w="7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Application stakeholders are users within PEMP; Acme-internal stakeholders are native identities and any external dev-team stakeholders are B2B guests.</w:t>
            </w:r>
          </w:p>
        </w:tc>
      </w:tr>
    </w:tbl>
    <w:p>
      <w:pPr>
        <w:spacing w:after="80"/>
      </w:pPr>
    </w:p>
    <w:p>
      <w:pPr>
        <w:pStyle w:val="Heading2"/>
      </w:pPr>
      <w:r>
        <w:t xml:space="preserve">7.3  Target Platform Summary</w:t>
      </w:r>
    </w:p>
    <w:p>
      <w:pPr>
        <w:spacing w:after="120"/>
      </w:pPr>
      <w:r>
        <w:t xml:space="preserve">The indicative target platform below reflects the confirmed delivery decisions. The detailed architecture is produced in Phase 2 (Design). A .NET / Entra / Azure SQL stack is the native fit for an application that lives inside Acme’s Microsoft Entra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Layer</w:t>
            </w:r>
          </w:p>
        </w:tc>
        <w:tc>
          <w:tcPr>
            <w:tcW w:type="dxa" w:w="60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Indicative Technology</w:t>
            </w:r>
          </w:p>
        </w:tc>
      </w:tr>
      <w:tr>
        <w:tc>
          <w:tcPr>
            <w:tcW w:type="dxa" w:w="3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Application / API</w:t>
            </w:r>
          </w:p>
        </w:tc>
        <w:tc>
          <w:tcPr>
            <w:tcW w:type="dxa" w:w="60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ASP.NET Core (C#)</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Front end</w:t>
            </w:r>
          </w:p>
        </w:tc>
        <w:tc>
          <w:tcPr>
            <w:tcW w:type="dxa" w:w="60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Blazor or a SPA front end (confirmed in design)</w:t>
            </w:r>
          </w:p>
        </w:tc>
      </w:tr>
      <w:tr>
        <w:tc>
          <w:tcPr>
            <w:tcW w:type="dxa" w:w="3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Data</w:t>
            </w:r>
          </w:p>
        </w:tc>
        <w:tc>
          <w:tcPr>
            <w:tcW w:type="dxa" w:w="60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Azure SQL Database with Entity Framework Core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Identity</w:t>
            </w:r>
          </w:p>
        </w:tc>
        <w:tc>
          <w:tcPr>
            <w:tcW w:type="dxa" w:w="60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Microsoft Entra ID (Acme tenant) via Microsoft Identity / MSAL</w:t>
            </w:r>
          </w:p>
        </w:tc>
      </w:tr>
      <w:tr>
        <w:tc>
          <w:tcPr>
            <w:tcW w:type="dxa" w:w="3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Secrets &amp; keys</w:t>
            </w:r>
          </w:p>
        </w:tc>
        <w:tc>
          <w:tcPr>
            <w:tcW w:type="dxa" w:w="60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Azure Key Vault with managed identities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Evidence &amp; report storage</w:t>
            </w:r>
          </w:p>
        </w:tc>
        <w:tc>
          <w:tcPr>
            <w:tcW w:type="dxa" w:w="60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Azure Blob Storage (private, server-side encrypted)</w:t>
            </w:r>
          </w:p>
        </w:tc>
      </w:tr>
      <w:tr>
        <w:tc>
          <w:tcPr>
            <w:tcW w:type="dxa" w:w="3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Async processing</w:t>
            </w:r>
          </w:p>
        </w:tc>
        <w:tc>
          <w:tcPr>
            <w:tcW w:type="dxa" w:w="60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Azure Service Bus / Functions or hosted background services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Caching</w:t>
            </w:r>
          </w:p>
        </w:tc>
        <w:tc>
          <w:tcPr>
            <w:tcW w:type="dxa" w:w="60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Azure Cache for Redis</w:t>
            </w:r>
          </w:p>
        </w:tc>
      </w:tr>
      <w:tr>
        <w:tc>
          <w:tcPr>
            <w:tcW w:type="dxa" w:w="3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Hosting</w:t>
            </w:r>
          </w:p>
        </w:tc>
        <w:tc>
          <w:tcPr>
            <w:tcW w:type="dxa" w:w="60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Azure App Service or Azure Container Apps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bCs/>
              </w:rPr>
              <w:t xml:space="preserve">Observability</w:t>
            </w:r>
          </w:p>
        </w:tc>
        <w:tc>
          <w:tcPr>
            <w:tcW w:type="dxa" w:w="60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Azure Monitor with Application Insights</w:t>
            </w:r>
          </w:p>
        </w:tc>
      </w:tr>
      <w:tr>
        <w:tc>
          <w:tcPr>
            <w:tcW w:type="dxa" w:w="30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bCs/>
              </w:rPr>
              <w:t xml:space="preserve">Edge protection</w:t>
            </w:r>
          </w:p>
        </w:tc>
        <w:tc>
          <w:tcPr>
            <w:tcW w:type="dxa" w:w="60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Web Application Firewall (App Gateway / Front Door)</w:t>
            </w:r>
          </w:p>
        </w:tc>
      </w:tr>
    </w:tbl>
    <w:p>
      <w:r>
        <w:br w:type="page"/>
      </w:r>
    </w:p>
    <w:p>
      <w:pPr>
        <w:pStyle w:val="Heading1"/>
        <w:pBdr>
          <w:bottom w:val="single" w:color="2E75B6" w:sz="6" w:space="4"/>
        </w:pBdr>
      </w:pPr>
      <w:r>
        <w:t xml:space="preserve">8.  Lifecycle-to-Requirement Traceability</w:t>
      </w:r>
    </w:p>
    <w:p>
      <w:pPr>
        <w:spacing w:after="120"/>
      </w:pPr>
      <w:r>
        <w:t xml:space="preserve">The table below maps each step of the current 15-step engagement process to the requirement areas that implement it, confirming full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626"/>
        <w:gridCol w:w="2700"/>
      </w:tblGrid>
      <w:tr>
        <w:trPr>
          <w:tblHeader/>
        </w:trPr>
        <w:tc>
          <w:tcPr>
            <w:tcW w:type="dxa" w:w="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Step</w:t>
            </w:r>
          </w:p>
        </w:tc>
        <w:tc>
          <w:tcPr>
            <w:tcW w:type="dxa" w:w="56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Lifecycle Activity</w:t>
            </w:r>
          </w:p>
        </w:tc>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Requirement Areas</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1</w:t>
            </w:r>
          </w:p>
        </w:tc>
        <w:tc>
          <w:tcPr>
            <w:tcW w:type="dxa" w:w="5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CA team identifies a pentest need (BAU or Project).</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FR-REQ</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2</w:t>
            </w:r>
          </w:p>
        </w:tc>
        <w:tc>
          <w:tcPr>
            <w:tcW w:type="dxa" w:w="5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CA asks the contractor manager to assign a tester.</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FR-REQ, FR-NOT</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3</w:t>
            </w:r>
          </w:p>
        </w:tc>
        <w:tc>
          <w:tcPr>
            <w:tcW w:type="dxa" w:w="5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Delivery Manager assigns a free tester from the capacity sheet.</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FR-ASG</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4</w:t>
            </w:r>
          </w:p>
        </w:tc>
        <w:tc>
          <w:tcPr>
            <w:tcW w:type="dxa" w:w="5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Scoping call arranged for an app demo from the dev team.</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FR-SCO</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5</w:t>
            </w:r>
          </w:p>
        </w:tc>
        <w:tc>
          <w:tcPr>
            <w:tcW w:type="dxa" w:w="5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Tester confirms/completes the assessment form.</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FR-SCO</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6</w:t>
            </w:r>
          </w:p>
        </w:tc>
        <w:tc>
          <w:tcPr>
            <w:tcW w:type="dxa" w:w="5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Tester drafts the SoW and prerequisites / test-account access.</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FR-SOW, FR-ACC</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7</w:t>
            </w:r>
          </w:p>
        </w:tc>
        <w:tc>
          <w:tcPr>
            <w:tcW w:type="dxa" w:w="5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SoW reviewed (Project) or issued directly (BAU) for sign-off.</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FR-SOW</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8</w:t>
            </w:r>
          </w:p>
        </w:tc>
        <w:tc>
          <w:tcPr>
            <w:tcW w:type="dxa" w:w="5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Acme chases access/tickets; advance notice and access check before start.</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FR-ACC, FR-EXE, FR-NOT</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9</w:t>
            </w:r>
          </w:p>
        </w:tc>
        <w:tc>
          <w:tcPr>
            <w:tcW w:type="dxa" w:w="5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Tester verifies access and starts the test with an IR advance notice.</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FR-ACC, FR-EXE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10</w:t>
            </w:r>
          </w:p>
        </w:tc>
        <w:tc>
          <w:tcPr>
            <w:tcW w:type="dxa" w:w="5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Testing (typically 7–14 days); evidence collected; end-of-test notice.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FR-EXE, FR-FND, FR-DOC</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11</w:t>
            </w:r>
          </w:p>
        </w:tc>
        <w:tc>
          <w:tcPr>
            <w:tcW w:type="dxa" w:w="5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Findings summary sent to Acme CA the same day.</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FR-EXE, FR-ANL</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12</w:t>
            </w:r>
          </w:p>
        </w:tc>
        <w:tc>
          <w:tcPr>
            <w:tcW w:type="dxa" w:w="5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Draft report completed and shared for sign-off.</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FR-REP</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13</w:t>
            </w:r>
          </w:p>
        </w:tc>
        <w:tc>
          <w:tcPr>
            <w:tcW w:type="dxa" w:w="5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Post-test call with dev/business to discuss and resolve findings.</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FR-REP</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14</w:t>
            </w:r>
          </w:p>
        </w:tc>
        <w:tc>
          <w:tcPr>
            <w:tcW w:type="dxa" w:w="56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Final report and vulnerability register produced and stored.</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FR-REP, FR-FND, FR-DOC</w:t>
            </w:r>
          </w:p>
        </w:tc>
      </w:tr>
      <w:tr>
        <w:tc>
          <w:tcPr>
            <w:tcW w:type="dxa" w:w="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15</w:t>
            </w:r>
          </w:p>
        </w:tc>
        <w:tc>
          <w:tcPr>
            <w:tcW w:type="dxa" w:w="56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Dev requests a retest after fixes; retest report generated.</w:t>
            </w:r>
          </w:p>
        </w:tc>
        <w:tc>
          <w:tcPr>
            <w:tcW w:type="dxa" w:w="27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FR-RET, FR-REP</w:t>
            </w:r>
          </w:p>
        </w:tc>
      </w:tr>
    </w:tbl>
    <w:p>
      <w:r>
        <w:br w:type="page"/>
      </w:r>
    </w:p>
    <w:p>
      <w:pPr>
        <w:pStyle w:val="Heading1"/>
        <w:pBdr>
          <w:bottom w:val="single" w:color="2E75B6" w:sz="6" w:space="4"/>
        </w:pBdr>
      </w:pPr>
      <w:r>
        <w:t xml:space="preserve">9.  Confirmed Decisions &amp; Next Steps</w:t>
      </w:r>
    </w:p>
    <w:p>
      <w:pPr>
        <w:pStyle w:val="Heading2"/>
      </w:pPr>
      <w:r>
        <w:t xml:space="preserve">9.1  Confirmed Key Decisions</w:t>
      </w:r>
    </w:p>
    <w:p>
      <w:pPr>
        <w:spacing w:after="120"/>
      </w:pPr>
      <w:r>
        <w:t xml:space="preserve">The following delivery decisions were confirmed during requirements sign-off and are now baselined.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126"/>
        <w:gridCol w:w="4300"/>
      </w:tblGrid>
      <w:tr>
        <w:trPr>
          <w:tblHeader/>
        </w:trPr>
        <w:tc>
          <w:tcPr>
            <w:tcW w:type="dxa" w:w="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w:t>
            </w:r>
          </w:p>
        </w:tc>
        <w:tc>
          <w:tcPr>
            <w:tcW w:type="dxa" w:w="412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Decision</w:t>
            </w:r>
          </w:p>
        </w:tc>
        <w:tc>
          <w:tcPr>
            <w:tcW w:type="dxa" w:w="4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vAlign w:val="center"/>
          </w:tcPr>
          <w:p>
            <w:r>
              <w:rPr>
                <w:b/>
                <w:bCs/>
                <w:color w:val="FFFFFF"/>
              </w:rPr>
              <w:t xml:space="preserve">Resolution</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1</w:t>
            </w:r>
          </w:p>
        </w:tc>
        <w:tc>
          <w:tcPr>
            <w:tcW w:type="dxa" w:w="41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Identity &amp; hosting tenant</w:t>
            </w:r>
          </w:p>
        </w:tc>
        <w:tc>
          <w:tcPr>
            <w:tcW w:type="dxa" w:w="43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Acme’s Microsoft Entra ID tenant owns PEMP and its users. Acme staff are native identities; CloudKonsult delivery staff and external stakeholders are B2B guests.</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2</w:t>
            </w:r>
          </w:p>
        </w:tc>
        <w:tc>
          <w:tcPr>
            <w:tcW w:type="dxa" w:w="41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Stakeholder participation</w:t>
            </w:r>
          </w:p>
        </w:tc>
        <w:tc>
          <w:tcPr>
            <w:tcW w:type="dxa" w:w="4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Dev/business stakeholders are users inside PEMP — they provide assessment input, view findings for their own application, and request retests.</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3</w:t>
            </w:r>
          </w:p>
        </w:tc>
        <w:tc>
          <w:tcPr>
            <w:tcW w:type="dxa" w:w="41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Technology stack</w:t>
            </w:r>
          </w:p>
        </w:tc>
        <w:tc>
          <w:tcPr>
            <w:tcW w:type="dxa" w:w="43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Azure-native .NET: ASP.NET Core with Entity Framework Core over Azure SQL Database, Azure-native services for messaging, caching, and storage, integrated with Entra via Microsoft Identity.</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4</w:t>
            </w:r>
          </w:p>
        </w:tc>
        <w:tc>
          <w:tcPr>
            <w:tcW w:type="dxa" w:w="41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Access-ticket integration</w:t>
            </w:r>
          </w:p>
        </w:tc>
        <w:tc>
          <w:tcPr>
            <w:tcW w:type="dxa" w:w="4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r>
              <w:rPr>
                <w:b w:val="false"/>
                <w:bCs w:val="false"/>
              </w:rPr>
              <w:t xml:space="preserve">Integrate with Acme’s existing IT service-management system; the specific system is confirmed during design.</w:t>
            </w:r>
          </w:p>
        </w:tc>
      </w:tr>
      <w:tr>
        <w:tc>
          <w:tcPr>
            <w:tcW w:type="dxa" w:w="6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5</w:t>
            </w:r>
          </w:p>
        </w:tc>
        <w:tc>
          <w:tcPr>
            <w:tcW w:type="dxa" w:w="4126"/>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Product name</w:t>
            </w:r>
          </w:p>
        </w:tc>
        <w:tc>
          <w:tcPr>
            <w:tcW w:type="dxa" w:w="4300"/>
            <w:tcBorders>
              <w:top w:val="single" w:color="BBBBBB" w:sz="1"/>
              <w:left w:val="single" w:color="BBBBBB" w:sz="1"/>
              <w:bottom w:val="single" w:color="BBBBBB" w:sz="1"/>
              <w:right w:val="single" w:color="BBBBBB" w:sz="1"/>
            </w:tcBorders>
            <w:shd w:fill="F2F6FC" w:val="clear"/>
            <w:tcMar>
              <w:top w:type="dxa" w:w="60"/>
              <w:left w:type="dxa" w:w="110"/>
              <w:bottom w:type="dxa" w:w="60"/>
              <w:right w:type="dxa" w:w="110"/>
            </w:tcMar>
            <w:vAlign w:val="center"/>
          </w:tcPr>
          <w:p>
            <w:r>
              <w:rPr>
                <w:b w:val="false"/>
                <w:bCs w:val="false"/>
              </w:rPr>
              <w:t xml:space="preserve">Pentest Engagement Management Platform (PEMP).</w:t>
            </w:r>
          </w:p>
        </w:tc>
      </w:tr>
    </w:tbl>
    <w:p>
      <w:pPr>
        <w:spacing w:after="80"/>
      </w:pPr>
    </w:p>
    <w:p>
      <w:pPr>
        <w:pStyle w:val="Heading2"/>
      </w:pPr>
      <w:r>
        <w:t xml:space="preserve">9.2  Next Step — Phase 2 (Design)</w:t>
      </w:r>
    </w:p>
    <w:p>
      <w:pPr>
        <w:spacing w:after="120"/>
      </w:pPr>
      <w:r>
        <w:t xml:space="preserve">With these decisions confirmed, Phase 2 (Design) produces, informed by the Azure-native .NET platform and Acme Entra identity model: the solution architecture and Azure topology; the data model and entity-relationship diagram; the engagement state machine (with the guard conditions named in the functional requirements); the API contract; the security architecture; and wireframes for the simplified, role-based tabbed flow.</w:t>
      </w:r>
    </w:p>
    <w:p>
      <w:pPr>
        <w:spacing w:after="160"/>
      </w:pPr>
    </w:p>
    <w:p>
      <w:pPr>
        <w:jc w:val="center"/>
      </w:pPr>
      <w:r>
        <w:rPr>
          <w:i/>
          <w:iCs/>
          <w:color w:val="666666"/>
        </w:rPr>
        <w:t xml:space="preserve">— End of Software Requirements Specification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666666"/>
        <w:sz w:val="16"/>
        <w:szCs w:val="16"/>
      </w:rPr>
      <w:t xml:space="preserve">© CloudKonsult Limited — Internal</w:t>
    </w:r>
    <w:r>
      <w:rPr>
        <w:color w:val="666666"/>
        <w:sz w:val="16"/>
        <w:szCs w:val="16"/>
      </w:rPr>
      <w:t xml:space="preserve">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66666"/>
        <w:sz w:val="16"/>
        <w:szCs w:val="16"/>
      </w:rPr>
      <w:t xml:space="preserve">Pentest Engagement Management Platform — SRS v1.0</w:t>
    </w:r>
    <w:r>
      <w:rPr>
        <w:b/>
        <w:bCs/>
        <w:color w:val="7F1D1D"/>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2026-06-28T21:11:38.585Z</dcterms:created>
  <dcterms:modified xsi:type="dcterms:W3CDTF">2026-06-28T21:11:38.585Z</dcterms:modified>
</cp:coreProperties>
</file>

<file path=docProps/custom.xml><?xml version="1.0" encoding="utf-8"?>
<Properties xmlns="http://schemas.openxmlformats.org/officeDocument/2006/custom-properties" xmlns:vt="http://schemas.openxmlformats.org/officeDocument/2006/docPropsVTypes"/>
</file>