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Healthpii Solutions Inc. — Data Classification and Drive Access Policy</w:t>
      </w:r>
    </w:p>
    <w:p>
      <w:r>
        <w:t>Version 3 · effective 1 January 2026 · owner: Privacy Officer</w:t>
      </w:r>
    </w:p>
    <w:p>
      <w:pPr>
        <w:pStyle w:val="Heading2"/>
      </w:pPr>
      <w:r>
        <w:t>1. Scope and review date</w:t>
      </w:r>
    </w:p>
    <w:p>
      <w:r>
        <w:t>This policy governs who may hold access to Google Sheets spreadsheets in the company Drive. Every quarter the Drive owner reviews each spreadsheet that is not in the trash and is shared with anyone other than the owner, and brings its sharing into line with this policy. Each review is performed as at its review date. The review date of the first-quarter 2026 review is 31 March 2026.</w:t>
      </w:r>
    </w:p>
    <w:p>
      <w:pPr>
        <w:pStyle w:val="Heading2"/>
      </w:pPr>
      <w:r>
        <w:t>2. Classification</w:t>
      </w:r>
    </w:p>
    <w:p>
      <w:r>
        <w:t>A spreadsheet is classified by its content, never by its title, file name or folder. A tab qualifies for a tier when any cell in it, in any row and any column, reads as one of that tier's labels. Labels are compared ignoring upper and lower case, spaces, underscores and punctuation, so "Patient Name", "patientName" and "PATIENT_NAME" are the same label; a cell that merely contains a label inside longer text does not qualify. Every tab counts, and the spreadsheet takes the highest tier that any of its tabs qualifies for.</w:t>
      </w:r>
    </w:p>
    <w:tbl>
      <w:tblPr>
        <w:tblStyle w:val="TableGrid"/>
        <w:tblW w:type="auto" w:w="0"/>
        <w:tblLook w:firstColumn="1" w:firstRow="1" w:lastColumn="0" w:lastRow="0" w:noHBand="0" w:noVBand="1" w:val="04A0"/>
      </w:tblPr>
      <w:tblGrid>
        <w:gridCol w:w="2880"/>
        <w:gridCol w:w="2880"/>
        <w:gridCol w:w="2880"/>
      </w:tblGrid>
      <w:tr>
        <w:tc>
          <w:tcPr>
            <w:tcW w:type="dxa" w:w="2880"/>
          </w:tcPr>
          <w:p>
            <w:r>
              <w:t>Tier (highest first)</w:t>
            </w:r>
          </w:p>
        </w:tc>
        <w:tc>
          <w:tcPr>
            <w:tcW w:type="dxa" w:w="2880"/>
          </w:tcPr>
          <w:p>
            <w:r>
              <w:t>What it protects</w:t>
            </w:r>
          </w:p>
        </w:tc>
        <w:tc>
          <w:tcPr>
            <w:tcW w:type="dxa" w:w="2880"/>
          </w:tcPr>
          <w:p>
            <w:r>
              <w:t>Labels</w:t>
            </w:r>
          </w:p>
        </w:tc>
      </w:tr>
      <w:tr>
        <w:tc>
          <w:tcPr>
            <w:tcW w:type="dxa" w:w="2880"/>
          </w:tcPr>
          <w:p>
            <w:r>
              <w:t>Restricted</w:t>
            </w:r>
          </w:p>
        </w:tc>
        <w:tc>
          <w:tcPr>
            <w:tcW w:type="dxa" w:w="2880"/>
          </w:tcPr>
          <w:p>
            <w:r>
              <w:t>Protected health information</w:t>
            </w:r>
          </w:p>
        </w:tc>
        <w:tc>
          <w:tcPr>
            <w:tcW w:type="dxa" w:w="2880"/>
          </w:tcPr>
          <w:p>
            <w:r>
              <w:t>Patient Name; Client; Client DOB; Date of Birth; Patient DOB; DOB; SSN; MRN; Medical Record Number</w:t>
            </w:r>
          </w:p>
        </w:tc>
      </w:tr>
      <w:tr>
        <w:tc>
          <w:tcPr>
            <w:tcW w:type="dxa" w:w="2880"/>
          </w:tcPr>
          <w:p>
            <w:r>
              <w:t>Confidential</w:t>
            </w:r>
          </w:p>
        </w:tc>
        <w:tc>
          <w:tcPr>
            <w:tcW w:type="dxa" w:w="2880"/>
          </w:tcPr>
          <w:p>
            <w:r>
              <w:t>Personal contact data</w:t>
            </w:r>
          </w:p>
        </w:tc>
        <w:tc>
          <w:tcPr>
            <w:tcW w:type="dxa" w:w="2880"/>
          </w:tcPr>
          <w:p>
            <w:r>
              <w:t>Email; Email Address; Customer Email; Owner Email; Personal Email</w:t>
            </w:r>
          </w:p>
        </w:tc>
      </w:tr>
      <w:tr>
        <w:tc>
          <w:tcPr>
            <w:tcW w:type="dxa" w:w="2880"/>
          </w:tcPr>
          <w:p>
            <w:r>
              <w:t>Internal</w:t>
            </w:r>
          </w:p>
        </w:tc>
        <w:tc>
          <w:tcPr>
            <w:tcW w:type="dxa" w:w="2880"/>
          </w:tcPr>
          <w:p>
            <w:r>
              <w:t>Everything else, including a spreadsheet with no content</w:t>
            </w:r>
          </w:p>
        </w:tc>
        <w:tc>
          <w:tcPr>
            <w:tcW w:type="dxa" w:w="2880"/>
          </w:tcPr>
          <w:p>
            <w:r>
              <w:t>—</w:t>
            </w:r>
          </w:p>
        </w:tc>
      </w:tr>
    </w:tbl>
    <w:p>
      <w:pPr>
        <w:pStyle w:val="Heading2"/>
      </w:pPr>
      <w:r>
        <w:t>3. Who may hold access</w:t>
      </w:r>
    </w:p>
    <w:p>
      <w:r>
        <w:t>Drive roles rank Viewer (API role reader) below Commenter (commenter) below Editor (writer). The owner's own access is never changed. People are identified by the email address on the collaborator roster; a person who is not on the roster may hold no access to a Restricted or Confidential spreadsheet.</w:t>
      </w:r>
    </w:p>
    <w:tbl>
      <w:tblPr>
        <w:tblStyle w:val="TableGrid"/>
        <w:tblW w:type="auto" w:w="0"/>
        <w:tblLook w:firstColumn="1" w:firstRow="1" w:lastColumn="0" w:lastRow="0" w:noHBand="0" w:noVBand="1" w:val="04A0"/>
      </w:tblPr>
      <w:tblGrid>
        <w:gridCol w:w="4320"/>
        <w:gridCol w:w="4320"/>
      </w:tblGrid>
      <w:tr>
        <w:tc>
          <w:tcPr>
            <w:tcW w:type="dxa" w:w="4320"/>
          </w:tcPr>
          <w:p>
            <w:r>
              <w:t>Tier</w:t>
            </w:r>
          </w:p>
        </w:tc>
        <w:tc>
          <w:tcPr>
            <w:tcW w:type="dxa" w:w="4320"/>
          </w:tcPr>
          <w:p>
            <w:r>
              <w:t>Highest access allowed</w:t>
            </w:r>
          </w:p>
        </w:tc>
      </w:tr>
      <w:tr>
        <w:tc>
          <w:tcPr>
            <w:tcW w:type="dxa" w:w="4320"/>
          </w:tcPr>
          <w:p>
            <w:r>
              <w:t>Restricted</w:t>
            </w:r>
          </w:p>
        </w:tc>
        <w:tc>
          <w:tcPr>
            <w:tcW w:type="dxa" w:w="4320"/>
          </w:tcPr>
          <w:p>
            <w:r>
              <w:t>No link sharing (anyone with the link) and no domain-wide sharing. A person may hold Viewer access, and no more, only when the roster shows PHI access approved = Yes AND a HIPAA training completion date no more than 365 days before the review date. Everyone else: no access.</w:t>
            </w:r>
          </w:p>
        </w:tc>
      </w:tr>
      <w:tr>
        <w:tc>
          <w:tcPr>
            <w:tcW w:type="dxa" w:w="4320"/>
          </w:tcPr>
          <w:p>
            <w:r>
              <w:t>Confidential</w:t>
            </w:r>
          </w:p>
        </w:tc>
        <w:tc>
          <w:tcPr>
            <w:tcW w:type="dxa" w:w="4320"/>
          </w:tcPr>
          <w:p>
            <w:r>
              <w:t>No link sharing and no domain-wide sharing. Members of the Growth department may hold up to Editor; every other person may hold up to Viewer.</w:t>
            </w:r>
          </w:p>
        </w:tc>
      </w:tr>
      <w:tr>
        <w:tc>
          <w:tcPr>
            <w:tcW w:type="dxa" w:w="4320"/>
          </w:tcPr>
          <w:p>
            <w:r>
              <w:t>Internal</w:t>
            </w:r>
          </w:p>
        </w:tc>
        <w:tc>
          <w:tcPr>
            <w:tcW w:type="dxa" w:w="4320"/>
          </w:tcPr>
          <w:p>
            <w:r>
              <w:t>This policy sets no limit; leave the sharing as it is.</w:t>
            </w:r>
          </w:p>
        </w:tc>
      </w:tr>
    </w:tbl>
    <w:p>
      <w:pPr>
        <w:pStyle w:val="Heading2"/>
      </w:pPr>
      <w:r>
        <w:t>4. Approved exceptions</w:t>
      </w:r>
    </w:p>
    <w:p>
      <w:r>
        <w:t>The Privacy Officer may approve an exception for one person on one spreadsheet; exceptions are kept in the access exceptions register. An exception is in force when the review date is on or before its expiry date. While in force it lets that person keep their existing access on that spreadsheet up to the approved role, even where section 3 allows less or nothing. An exception never raises anyone's access, and it covers only the spreadsheet whose exact title it names.</w:t>
      </w:r>
    </w:p>
    <w:p>
      <w:pPr>
        <w:pStyle w:val="Heading2"/>
      </w:pPr>
      <w:r>
        <w:t>5. Remediation</w:t>
      </w:r>
    </w:p>
    <w:p>
      <w:r>
        <w:t>A grant above the highest access the person (or link or domain grant) is allowed is reduced to that highest allowed role; a grant where no access is allowed is removed. A grant that is within what is allowed is left exactly as it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