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276" w:lineRule="auto"/>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B5E20"/>
            <w:tcMar>
              <w:top w:w="120" w:type="dxa"/>
              <w:bottom w:w="120" w:type="dxa"/>
              <w:left w:w="0" w:type="dxa"/>
              <w:right w:w="0" w:type="dxa"/>
            </w:tcMar>
          </w:tcPr>
          <w:p>
            <w:pPr>
              <w:jc w:val="center"/>
            </w:pPr>
            <w:r>
              <w:rPr>
                <w:rFonts w:ascii="Calibri" w:hAnsi="Calibri"/>
                <w:b/>
                <w:color w:val="FFFFFF"/>
                <w:sz w:val="19"/>
              </w:rPr>
              <w:t>SYSTEM ARCHITECTURE SPECIFICATION</w:t>
            </w:r>
          </w:p>
        </w:tc>
      </w:tr>
    </w:tbl>
    <w:p>
      <w:pPr>
        <w:spacing w:before="0" w:after="360" w:line="276" w:lineRule="auto"/>
      </w:pPr>
    </w:p>
    <w:p>
      <w:pPr>
        <w:spacing w:before="0" w:after="120" w:line="276" w:lineRule="auto"/>
        <w:jc w:val="left"/>
      </w:pPr>
      <w:r>
        <w:rPr>
          <w:rFonts w:ascii="Calibri Light" w:hAnsi="Calibri Light"/>
          <w:b/>
          <w:color w:val="1B5E20"/>
          <w:sz w:val="72"/>
        </w:rPr>
        <w:t>ArgoGuard AI</w:t>
      </w:r>
    </w:p>
    <w:p>
      <w:pPr>
        <w:spacing w:before="0" w:after="2400" w:line="276" w:lineRule="auto"/>
        <w:jc w:val="left"/>
      </w:pPr>
      <w:r>
        <w:rPr>
          <w:rFonts w:ascii="Calibri Light" w:hAnsi="Calibri Light"/>
          <w:color w:val="37474F"/>
          <w:sz w:val="28"/>
        </w:rPr>
        <w:t>Intelligent Agricultural Co-Pilot &amp; Resiliency Cockpit</w:t>
        <w:br/>
        <w:t>Comprehensive Architecture &amp; Design Specification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81C784"/>
            <w:tcMar>
              <w:top w:w="10" w:type="dxa"/>
              <w:bottom w:w="10" w:type="dxa"/>
              <w:left w:w="0" w:type="dxa"/>
              <w:right w:w="0" w:type="dxa"/>
            </w:tcMar>
            <w:cantSplit/>
          </w:tcPr>
          <w:p/>
        </w:tc>
      </w:tr>
    </w:tbl>
    <w:p>
      <w:pPr>
        <w:spacing w:before="0" w:after="800" w:line="276" w:lineRule="auto"/>
      </w:pPr>
    </w:p>
    <w:tbl>
      <w:tblPr>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2880"/>
          </w:tcPr>
          <w:p>
            <w:r>
              <w:rPr>
                <w:b/>
                <w:color w:val="37474F"/>
                <w:sz w:val="19"/>
              </w:rPr>
              <w:t>Document Version:</w:t>
            </w:r>
          </w:p>
        </w:tc>
        <w:tc>
          <w:tcPr>
            <w:tcW w:type="dxa" w:w="6480"/>
          </w:tcPr>
          <w:p>
            <w:r>
              <w:rPr>
                <w:color w:val="212121"/>
                <w:sz w:val="19"/>
              </w:rPr>
              <w:t>1.0.0 (Production Stable)</w:t>
            </w:r>
          </w:p>
        </w:tc>
      </w:tr>
      <w:tr>
        <w:tc>
          <w:tcPr>
            <w:tcW w:type="dxa" w:w="2880"/>
          </w:tcPr>
          <w:p>
            <w:r>
              <w:rPr>
                <w:b/>
                <w:color w:val="37474F"/>
                <w:sz w:val="19"/>
              </w:rPr>
              <w:t>Date of Publication:</w:t>
            </w:r>
          </w:p>
        </w:tc>
        <w:tc>
          <w:tcPr>
            <w:tcW w:type="dxa" w:w="6480"/>
          </w:tcPr>
          <w:p>
            <w:r>
              <w:rPr>
                <w:color w:val="212121"/>
                <w:sz w:val="19"/>
              </w:rPr>
              <w:t>May 20, 2026</w:t>
            </w:r>
          </w:p>
        </w:tc>
      </w:tr>
      <w:tr>
        <w:tc>
          <w:tcPr>
            <w:tcW w:type="dxa" w:w="2880"/>
          </w:tcPr>
          <w:p>
            <w:r>
              <w:rPr>
                <w:b/>
                <w:color w:val="37474F"/>
                <w:sz w:val="19"/>
              </w:rPr>
              <w:t>Target System:</w:t>
            </w:r>
          </w:p>
        </w:tc>
        <w:tc>
          <w:tcPr>
            <w:tcW w:type="dxa" w:w="6480"/>
          </w:tcPr>
          <w:p>
            <w:r>
              <w:rPr>
                <w:color w:val="212121"/>
                <w:sz w:val="19"/>
              </w:rPr>
              <w:t>ArgoGuard Smart Core Infrastructure</w:t>
            </w:r>
          </w:p>
        </w:tc>
      </w:tr>
      <w:tr>
        <w:tc>
          <w:tcPr>
            <w:tcW w:type="dxa" w:w="2880"/>
          </w:tcPr>
          <w:p>
            <w:r>
              <w:rPr>
                <w:b/>
                <w:color w:val="37474F"/>
                <w:sz w:val="19"/>
              </w:rPr>
              <w:t>Classification:</w:t>
            </w:r>
          </w:p>
        </w:tc>
        <w:tc>
          <w:tcPr>
            <w:tcW w:type="dxa" w:w="6480"/>
          </w:tcPr>
          <w:p>
            <w:r>
              <w:rPr>
                <w:color w:val="212121"/>
                <w:sz w:val="19"/>
              </w:rPr>
              <w:t>Internal Engineering Specification</w:t>
            </w:r>
          </w:p>
        </w:tc>
      </w:tr>
    </w:tbl>
    <w:p>
      <w:r>
        <w:br w:type="page"/>
      </w:r>
    </w:p>
    <w:p>
      <w:pPr>
        <w:pStyle w:val="Heading1"/>
        <w:keepNext/>
        <w:spacing w:before="440" w:after="200"/>
      </w:pPr>
      <w:r>
        <w:rPr>
          <w:rFonts w:ascii="Calibri Light" w:hAnsi="Calibri Light"/>
          <w:b/>
          <w:color w:val="1B5E20"/>
          <w:sz w:val="40"/>
        </w:rPr>
        <w:t>1. Solution Overview</w:t>
      </w:r>
    </w:p>
    <w:p>
      <w:pPr>
        <w:spacing w:before="0" w:after="120" w:line="276" w:lineRule="auto"/>
      </w:pPr>
      <w:r>
        <w:t>ArgoGuard AI is an advanced, enterprise-grade smart farming ecosystem and dual-frontend intelligent co-pilot. Engineered to bridge the operational gap between digital cloud analysis and physical field management, the platform coordinates multimodal computer vision, live meteorological feeds, automated IoT field hardware, and transactional state overrides. ArgoGuard AI safeguards crops, optimizes irrigation, and ensures agricultural operational resilience.</w:t>
      </w:r>
    </w:p>
    <w:p>
      <w:pPr>
        <w:spacing w:before="0" w:after="120" w:line="276" w:lineRule="auto"/>
      </w:pPr>
      <w:r>
        <w:t>By integrating the power of high-confidence multi-agent reasoning with real-time feedback loops, the platform actively mitigates risk. Farm operators receive continuous visual and structural assurance that treatments are perfectly aligned with dynamic weather requirements and that physical hardware faults will never compromise field stability.</w:t>
      </w:r>
    </w:p>
    <w:tbl>
      <w:tblPr>
        <w:tblW w:type="auto" w:w="0"/>
        <w:jc w:val="center"/>
        <w:tblLayout w:type="fixed"/>
        <w:tblLook w:firstColumn="1" w:firstRow="1" w:lastColumn="0" w:lastRow="0" w:noHBand="0" w:noVBand="1" w:val="04A0"/>
        <w:tblBorders>
          <w:left w:val="single" w:sz="36" w:space="0" w:color="1B5E20"/>
          <w:top w:val="none"/>
          <w:bottom w:val="none"/>
          <w:right w:val="none"/>
          <w:insideH w:val="none"/>
          <w:insideV w:val="none"/>
        </w:tblBorders>
      </w:tblPr>
      <w:tblGrid>
        <w:gridCol w:w="9360"/>
      </w:tblGrid>
      <w:tr>
        <w:tc>
          <w:tcPr>
            <w:tcW w:type="dxa" w:w="9360"/>
            <w:shd w:fill="E8F5E9"/>
            <w:tcMar>
              <w:top w:w="140" w:type="dxa"/>
              <w:bottom w:w="140" w:type="dxa"/>
              <w:left w:w="200" w:type="dxa"/>
              <w:right w:w="200" w:type="dxa"/>
            </w:tcMar>
          </w:tcPr>
          <w:p>
            <w:pPr>
              <w:spacing w:before="40" w:after="80"/>
            </w:pPr>
            <w:r>
              <w:rPr>
                <w:rFonts w:ascii="Calibri" w:hAnsi="Calibri"/>
                <w:b/>
                <w:color w:val="1B5E20"/>
                <w:sz w:val="22"/>
              </w:rPr>
              <w:t>🛡️ Core Value Proposition</w:t>
            </w:r>
          </w:p>
          <w:p>
            <w:pPr>
              <w:spacing w:before="0" w:after="80" w:line="276" w:lineRule="auto"/>
            </w:pPr>
            <w:r>
              <w:rPr>
                <w:rFonts w:ascii="Calibri" w:hAnsi="Calibri"/>
                <w:color w:val="212121"/>
                <w:sz w:val="20"/>
              </w:rPr>
              <w:t>Intelligent Diagnostics: Leverages Google Gemini Multimodal APIs to analyze visual pathology with expert-level precision.</w:t>
            </w:r>
          </w:p>
          <w:p>
            <w:pPr>
              <w:spacing w:before="0" w:after="80" w:line="276" w:lineRule="auto"/>
            </w:pPr>
            <w:r>
              <w:rPr>
                <w:rFonts w:ascii="Calibri" w:hAnsi="Calibri"/>
                <w:color w:val="212121"/>
                <w:sz w:val="20"/>
              </w:rPr>
              <w:t>Contextual Safety: Overrides irrigation and spray treatments dynamically if local weather signals pose contagion or run-off risks.</w:t>
            </w:r>
          </w:p>
          <w:p>
            <w:pPr>
              <w:spacing w:before="0" w:after="40" w:line="276" w:lineRule="auto"/>
            </w:pPr>
            <w:r>
              <w:rPr>
                <w:rFonts w:ascii="Calibri" w:hAnsi="Calibri"/>
                <w:color w:val="212121"/>
                <w:sz w:val="20"/>
              </w:rPr>
              <w:t>Transactional Failsafes: Restores stable hardware baselines automatically in the event of controller connection drops, avoiding toxic over-spraying.</w:t>
            </w:r>
          </w:p>
        </w:tc>
      </w:tr>
    </w:tbl>
    <w:p>
      <w:pPr>
        <w:spacing w:before="0" w:after="160"/>
      </w:pPr>
    </w:p>
    <w:p>
      <w:pPr>
        <w:pStyle w:val="Heading1"/>
        <w:keepNext/>
        <w:spacing w:before="440" w:after="200"/>
      </w:pPr>
      <w:r>
        <w:rPr>
          <w:rFonts w:ascii="Calibri Light" w:hAnsi="Calibri Light"/>
          <w:b/>
          <w:color w:val="1B5E20"/>
          <w:sz w:val="40"/>
        </w:rPr>
        <w:t>2. Decoupled Client-Server Architecture</w:t>
      </w:r>
    </w:p>
    <w:p>
      <w:pPr>
        <w:spacing w:before="0" w:after="120" w:line="276" w:lineRule="auto"/>
      </w:pPr>
      <w:r>
        <w:t>The system architecture is structured as a robust, decoupled three-tier pattern. This isolates frontend presentation layers from the orchestrator logic and state management services, ensuring high horizontal scalability and offline reliability.</w:t>
      </w:r>
    </w:p>
    <w:p>
      <w:pPr>
        <w:pStyle w:val="Heading2"/>
        <w:keepNext/>
        <w:spacing w:before="320" w:after="160"/>
      </w:pPr>
      <w:r>
        <w:rPr>
          <w:rFonts w:ascii="Calibri Light" w:hAnsi="Calibri Light"/>
          <w:b/>
          <w:color w:val="37474F"/>
          <w:sz w:val="28"/>
        </w:rPr>
        <w:t>2.1 System Architecture Flow</w:t>
      </w:r>
    </w:p>
    <w:tbl>
      <w:tblPr>
        <w:tblW w:type="auto" w:w="0"/>
        <w:jc w:val="center"/>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9360"/>
      </w:tblGrid>
      <w:tr>
        <w:tc>
          <w:tcPr>
            <w:tcW w:type="dxa" w:w="9360"/>
            <w:shd w:fill="ECEFF1"/>
            <w:tcMar>
              <w:top w:w="120" w:type="dxa"/>
              <w:bottom w:w="120" w:type="dxa"/>
              <w:left w:w="160" w:type="dxa"/>
              <w:right w:w="160" w:type="dxa"/>
            </w:tcMar>
          </w:tcPr>
          <w:p>
            <w:pPr>
              <w:spacing w:before="40" w:after="40" w:line="240" w:lineRule="auto"/>
            </w:pPr>
            <w:r>
              <w:rPr>
                <w:rFonts w:ascii="Consolas" w:hAnsi="Consolas"/>
                <w:color w:val="263238"/>
                <w:sz w:val="17"/>
              </w:rPr>
              <w:t>┌────────────────────────────────────────────────────────────────────────┐</w:t>
              <w:br/>
              <w:t>│                             USER INTERFACES                            │</w:t>
              <w:br/>
              <w:t>│  💻 React Web Dashboard Cockpit        📱 Flutter Mobile App            │</w:t>
              <w:br/>
              <w:t>│  (Command &amp; Control Center)            (On-Field Operations Scanner)   │</w:t>
              <w:br/>
              <w:t>└───────────────────┬──────────────────────────────────┬─────────────────┘</w:t>
              <w:br/>
              <w:t xml:space="preserve">                    │                                  │                  </w:t>
              <w:br/>
              <w:t xml:space="preserve">                    │  REST API Payloads / JWT Auth   │                  </w:t>
              <w:br/>
              <w:t xml:space="preserve">                    ▼                                  ▼                  </w:t>
              <w:br/>
              <w:t>┌────────────────────────────────────────────────────────────────────────┐</w:t>
              <w:br/>
              <w:t>│                       🧠 Express Server Controller                     │</w:t>
              <w:br/>
              <w:t>│       Validates Tokens, Parses Image Uploads, Coordinates Modules       │</w:t>
              <w:br/>
              <w:t>└───────┬──────────────────┬─────────────────┬───────────────────┬───────┘</w:t>
              <w:br/>
              <w:t xml:space="preserve">        │                  │                 │                   │        </w:t>
              <w:br/>
              <w:t xml:space="preserve">        ▼                  ▼                 ▼                   ▼        </w:t>
              <w:br/>
              <w:t xml:space="preserve">┌──────────────┐   ┌──────────────┐  ┌──────────────┐    ┌──────────────┐ </w:t>
              <w:br/>
              <w:t xml:space="preserve">│ 🤖 6-Agent   │   │ 🌤️ Weather  │  │ ⚖️ Constraint │    │ 🛡️ Failsafe  │ </w:t>
              <w:br/>
              <w:t xml:space="preserve">│ Orchestrator │   │ API Service  │  │ Resolution   │    │ Recovery     │ </w:t>
              <w:br/>
              <w:t xml:space="preserve">│ (Diagnostics)│   │ (Open-Meteo) │  │ Override     │    │ (Rollbacks)  │ </w:t>
              <w:br/>
              <w:t xml:space="preserve">└──────┬───────┘   └──────────────┘  └──────────────┘    └───────┬──────┘ </w:t>
              <w:br/>
              <w:t xml:space="preserve">       │                                                         │        </w:t>
              <w:br/>
              <w:t xml:space="preserve">       ▼                                                         ▼        </w:t>
              <w:br/>
              <w:t>┌─────────────────────────┐                             ┌────────────────┐</w:t>
              <w:br/>
              <w:t>│  💾 MONGODB DATASTORE   │                             │  🚜 PHYSICAL   │</w:t>
              <w:br/>
              <w:t>│  (Accounts &amp; Telemetry) │                             │   ACTUATOR IoT │</w:t>
              <w:br/>
              <w:t>└─────────────────────────┘                             └────────────────┘</w:t>
            </w:r>
          </w:p>
        </w:tc>
      </w:tr>
    </w:tbl>
    <w:p>
      <w:pPr>
        <w:spacing w:before="0" w:after="160"/>
      </w:pPr>
    </w:p>
    <w:p>
      <w:pPr>
        <w:spacing w:before="0" w:after="120" w:line="276" w:lineRule="auto"/>
      </w:pPr>
      <w:r>
        <w:t>For reference, developers can easily render the high-fidelity diagram using the following Mermaid notation:</w:t>
      </w:r>
    </w:p>
    <w:tbl>
      <w:tblPr>
        <w:tblW w:type="auto" w:w="0"/>
        <w:jc w:val="center"/>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9360"/>
      </w:tblGrid>
      <w:tr>
        <w:tc>
          <w:tcPr>
            <w:tcW w:type="dxa" w:w="9360"/>
            <w:shd w:fill="ECEFF1"/>
            <w:tcMar>
              <w:top w:w="120" w:type="dxa"/>
              <w:bottom w:w="120" w:type="dxa"/>
              <w:left w:w="160" w:type="dxa"/>
              <w:right w:w="160" w:type="dxa"/>
            </w:tcMar>
          </w:tcPr>
          <w:p>
            <w:pPr>
              <w:spacing w:before="40" w:after="40" w:line="240" w:lineRule="auto"/>
            </w:pPr>
            <w:r>
              <w:rPr>
                <w:rFonts w:ascii="Consolas" w:hAnsi="Consolas"/>
                <w:color w:val="263238"/>
                <w:sz w:val="17"/>
              </w:rPr>
              <w:t>graph TD</w:t>
              <w:br/>
              <w:t xml:space="preserve">    WebDashboard["💻 React Web Dashboard (Cockpit)"] &lt;--&gt; ExpressServer["🧠 Express Server"]</w:t>
              <w:br/>
              <w:t xml:space="preserve">    MobileApp["📱 Flutter Mobile App (On-Field)"] &lt;--&gt; ExpressServer</w:t>
              <w:br/>
              <w:t xml:space="preserve">    ExpressServer &lt;--&gt; MongoDB[("💾 MongoDB Datastore")]</w:t>
              <w:br/>
              <w:t xml:space="preserve">    ExpressServer &lt;--&gt; AgentOrchestrator["🤖 6-Agent Orchestrator"]</w:t>
              <w:br/>
              <w:t xml:space="preserve">    ExpressServer &lt;--&gt; WeatherService["🌤️ Weather Intelligence"]</w:t>
              <w:br/>
              <w:t xml:space="preserve">    ExpressServer &lt;--&gt; ContradictionService["⚖️ Contradiction Resolution"]</w:t>
              <w:br/>
              <w:t xml:space="preserve">    ExpressServer &lt;--&gt; FailsafeEngine["🛡️ Failsafe &amp; Recovery"]</w:t>
            </w:r>
          </w:p>
        </w:tc>
      </w:tr>
    </w:tbl>
    <w:p>
      <w:pPr>
        <w:spacing w:before="0" w:after="160"/>
      </w:pPr>
    </w:p>
    <w:p>
      <w:pPr>
        <w:pStyle w:val="Heading2"/>
        <w:keepNext/>
        <w:spacing w:before="320" w:after="160"/>
      </w:pPr>
      <w:r>
        <w:rPr>
          <w:rFonts w:ascii="Calibri Light" w:hAnsi="Calibri Light"/>
          <w:b/>
          <w:color w:val="37474F"/>
          <w:sz w:val="28"/>
        </w:rPr>
        <w:t>2.2 Subsystem Details</w:t>
      </w:r>
    </w:p>
    <w:p>
      <w:pPr>
        <w:pStyle w:val="Heading3"/>
        <w:keepNext/>
        <w:spacing w:before="240" w:after="120"/>
      </w:pPr>
      <w:r>
        <w:rPr>
          <w:rFonts w:ascii="Calibri" w:hAnsi="Calibri"/>
          <w:b/>
          <w:i/>
          <w:color w:val="558B2F"/>
          <w:sz w:val="23"/>
        </w:rPr>
        <w:t>A. React Web Dashboard Cockpit</w:t>
      </w:r>
    </w:p>
    <w:p>
      <w:pPr>
        <w:spacing w:before="0" w:after="120" w:line="276" w:lineRule="auto"/>
      </w:pPr>
      <w:r>
        <w:t xml:space="preserve">Located inside the '/frontend' folder, this client represents the command cockpit for smart farm managers. Designed with React v19, Vite, and Tailwind CSS v4, it provides: </w:t>
        <w:br/>
        <w:t>•  Secure Credentials &amp; Multi-Factor Auth: Standard email signups integrated with a 6-digit MFA OTP system. Includes Google &amp; Facebook OAuth buttons mapping to social backend controllers.</w:t>
        <w:br/>
        <w:t>•  6-Agent Diagnostics Sandbox: A terminal execution sandbox showing raw steps, Gemini reasoning, constraint planning, and physical rollback actions in real time.</w:t>
        <w:br/>
        <w:t>•  Treatment Simulators: Side-by-side split visual comparison sliders showing pathological foliage before and after treatment to model recovery dynamics.</w:t>
        <w:br/>
        <w:t>•  Hardware Simulation Panel: Interactive knobs allowing developers and users to toggle network latency, supplier timeouts, and database dropouts to watch failsafes execute.</w:t>
      </w:r>
    </w:p>
    <w:p>
      <w:pPr>
        <w:pStyle w:val="Heading3"/>
        <w:keepNext/>
        <w:spacing w:before="240" w:after="120"/>
      </w:pPr>
      <w:r>
        <w:rPr>
          <w:rFonts w:ascii="Calibri" w:hAnsi="Calibri"/>
          <w:b/>
          <w:i/>
          <w:color w:val="558B2F"/>
          <w:sz w:val="23"/>
        </w:rPr>
        <w:t>B. Flutter Mobile App</w:t>
      </w:r>
    </w:p>
    <w:p>
      <w:pPr>
        <w:spacing w:before="0" w:after="120" w:line="276" w:lineRule="auto"/>
      </w:pPr>
      <w:r>
        <w:t xml:space="preserve">Located in the workspace root, the Flutter mobile app is the physical field companion for farm workers: </w:t>
        <w:br/>
        <w:t>•  Provider State Architecture: Built with reactive Providers (AuthProvider, AnalysisProvider, WeatherProvider) to ensure UI elements update instantly.</w:t>
        <w:br/>
        <w:t>•  Camera Scanner Uploads: Direct device camera captures are streamed via multipart form-data to the backend for Gemini Vision classification.</w:t>
        <w:br/>
        <w:t>•  Location Weather Alerts: Leverages geolocator plugins to query local Open-Meteo indices and alert workers of high pesticide run-off risks before they spray.</w:t>
        <w:br/>
        <w:t>•  Local Caching: Caches diagnostic history locally so features remain available in low-connectivity areas.</w:t>
      </w:r>
    </w:p>
    <w:p>
      <w:pPr>
        <w:pStyle w:val="Heading1"/>
        <w:keepNext/>
        <w:spacing w:before="440" w:after="200"/>
      </w:pPr>
      <w:r>
        <w:rPr>
          <w:rFonts w:ascii="Calibri Light" w:hAnsi="Calibri Light"/>
          <w:b/>
          <w:color w:val="1B5E20"/>
          <w:sz w:val="40"/>
        </w:rPr>
        <w:t>3. The 6-Agent Diagnostic Orchestrator</w:t>
      </w:r>
    </w:p>
    <w:p>
      <w:pPr>
        <w:spacing w:before="0" w:after="120" w:line="276" w:lineRule="auto"/>
      </w:pPr>
      <w:r>
        <w:t>The flagship service in the ArgoGuard AI backend is the custom Multi-Agent Orchestrator (multi_agent_orchestrator.js). To make sound decisions, the orchestrator divides critical tasks into a sequence of six specialized reasoning steps. This ensures transparent, auditable decision paths:</w:t>
      </w:r>
    </w:p>
    <w:tbl>
      <w:tblPr>
        <w:tblW w:type="auto" w:w="0"/>
        <w:jc w:val="center"/>
        <w:tblLayout w:type="fixed"/>
        <w:tblLook w:firstColumn="1" w:firstRow="1" w:lastColumn="0" w:lastRow="0" w:noHBand="0" w:noVBand="1" w:val="04A0"/>
        <w:tblBorders>
          <w:top w:val="single" w:sz="4" w:space="0" w:color="D1D8D1"/>
          <w:left w:val="single" w:sz="4" w:space="0" w:color="D1D8D1"/>
          <w:bottom w:val="single" w:sz="4" w:space="0" w:color="D1D8D1"/>
          <w:right w:val="single" w:sz="4" w:space="0" w:color="D1D8D1"/>
          <w:insideH w:val="single" w:sz="4" w:space="0" w:color="D1D8D1"/>
          <w:insideV w:val="single" w:sz="4" w:space="0" w:color="D1D8D1"/>
        </w:tblBorders>
      </w:tblPr>
      <w:tblGrid>
        <w:gridCol w:w="864"/>
        <w:gridCol w:w="2016"/>
        <w:gridCol w:w="3600"/>
        <w:gridCol w:w="2880"/>
      </w:tblGrid>
      <w:tr>
        <w:trPr>
          <w:tblHeader/>
          <w:cantSplit/>
        </w:trPr>
        <w:tc>
          <w:tcPr>
            <w:tcW w:type="dxa" w:w="864"/>
            <w:shd w:fill="1B5E20"/>
            <w:tcMar>
              <w:top w:w="160" w:type="dxa"/>
              <w:bottom w:w="160" w:type="dxa"/>
              <w:left w:w="120" w:type="dxa"/>
              <w:right w:w="120" w:type="dxa"/>
            </w:tcMar>
          </w:tcPr>
          <w:p>
            <w:pPr>
              <w:spacing w:before="40" w:after="40"/>
              <w:jc w:val="left"/>
            </w:pPr>
            <w:r>
              <w:rPr>
                <w:rFonts w:ascii="Calibri" w:hAnsi="Calibri"/>
                <w:b/>
                <w:color w:val="FFFFFF"/>
                <w:sz w:val="20"/>
              </w:rPr>
              <w:t>Step</w:t>
            </w:r>
          </w:p>
        </w:tc>
        <w:tc>
          <w:tcPr>
            <w:tcW w:type="dxa" w:w="2016"/>
            <w:shd w:fill="1B5E20"/>
            <w:tcMar>
              <w:top w:w="160" w:type="dxa"/>
              <w:bottom w:w="160" w:type="dxa"/>
              <w:left w:w="120" w:type="dxa"/>
              <w:right w:w="120" w:type="dxa"/>
            </w:tcMar>
          </w:tcPr>
          <w:p>
            <w:pPr>
              <w:spacing w:before="40" w:after="40"/>
              <w:jc w:val="left"/>
            </w:pPr>
            <w:r>
              <w:rPr>
                <w:rFonts w:ascii="Calibri" w:hAnsi="Calibri"/>
                <w:b/>
                <w:color w:val="FFFFFF"/>
                <w:sz w:val="20"/>
              </w:rPr>
              <w:t>Agent Name</w:t>
            </w:r>
          </w:p>
        </w:tc>
        <w:tc>
          <w:tcPr>
            <w:tcW w:type="dxa" w:w="3600"/>
            <w:shd w:fill="1B5E20"/>
            <w:tcMar>
              <w:top w:w="160" w:type="dxa"/>
              <w:bottom w:w="160" w:type="dxa"/>
              <w:left w:w="120" w:type="dxa"/>
              <w:right w:w="120" w:type="dxa"/>
            </w:tcMar>
          </w:tcPr>
          <w:p>
            <w:pPr>
              <w:spacing w:before="40" w:after="40"/>
              <w:jc w:val="left"/>
            </w:pPr>
            <w:r>
              <w:rPr>
                <w:rFonts w:ascii="Calibri" w:hAnsi="Calibri"/>
                <w:b/>
                <w:color w:val="FFFFFF"/>
                <w:sz w:val="20"/>
              </w:rPr>
              <w:t>Primary Domain Responsibility</w:t>
            </w:r>
          </w:p>
        </w:tc>
        <w:tc>
          <w:tcPr>
            <w:tcW w:type="dxa" w:w="2880"/>
            <w:shd w:fill="1B5E20"/>
            <w:tcMar>
              <w:top w:w="160" w:type="dxa"/>
              <w:bottom w:w="160" w:type="dxa"/>
              <w:left w:w="120" w:type="dxa"/>
              <w:right w:w="120" w:type="dxa"/>
            </w:tcMar>
          </w:tcPr>
          <w:p>
            <w:pPr>
              <w:spacing w:before="40" w:after="40"/>
              <w:jc w:val="left"/>
            </w:pPr>
            <w:r>
              <w:rPr>
                <w:rFonts w:ascii="Calibri" w:hAnsi="Calibri"/>
                <w:b/>
                <w:color w:val="FFFFFF"/>
                <w:sz w:val="20"/>
              </w:rPr>
              <w:t>Data I/O Mapping</w:t>
            </w:r>
          </w:p>
        </w:tc>
      </w:tr>
      <w:tr>
        <w:trPr>
          <w:cantSplit/>
        </w:trPr>
        <w:tc>
          <w:tcPr>
            <w:tcW w:type="dxa" w:w="86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1</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Input Aggregator</w:t>
            </w:r>
          </w:p>
        </w:tc>
        <w:tc>
          <w:tcPr>
            <w:tcW w:type="dxa" w:w="3600"/>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Collects telemetry fields, matches crop image files, and polls local geolocation sensors.</w:t>
            </w:r>
          </w:p>
        </w:tc>
        <w:tc>
          <w:tcPr>
            <w:tcW w:type="dxa" w:w="2880"/>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Input: Image file, coordinates</w:t>
              <w:br/>
              <w:t>Output: Unified JSON payload</w:t>
            </w:r>
          </w:p>
        </w:tc>
      </w:tr>
      <w:tr>
        <w:trPr>
          <w:cantSplit/>
        </w:trPr>
        <w:tc>
          <w:tcPr>
            <w:tcW w:type="dxa" w:w="86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2</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Disease Analyst</w:t>
            </w:r>
          </w:p>
        </w:tc>
        <w:tc>
          <w:tcPr>
            <w:tcW w:type="dxa" w:w="3600"/>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 xml:space="preserve">Queries </w:t>
            </w:r>
            <w:r>
              <w:rPr>
                <w:rFonts w:ascii="Calibri" w:hAnsi="Calibri"/>
                <w:b/>
                <w:color w:val="212121"/>
                <w:sz w:val="19"/>
              </w:rPr>
              <w:t>Google Gemini Vision API</w:t>
            </w:r>
            <w:r>
              <w:rPr>
                <w:rFonts w:ascii="Calibri" w:hAnsi="Calibri"/>
                <w:color w:val="212121"/>
                <w:sz w:val="19"/>
              </w:rPr>
              <w:t xml:space="preserve"> to classify pathogen species, confidence rating, and suggested therapies.</w:t>
            </w:r>
          </w:p>
        </w:tc>
        <w:tc>
          <w:tcPr>
            <w:tcW w:type="dxa" w:w="2880"/>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Input: Image file</w:t>
              <w:br/>
              <w:t>Output: Pathogen ID, confidence, therapies</w:t>
            </w:r>
          </w:p>
        </w:tc>
      </w:tr>
      <w:tr>
        <w:trPr>
          <w:cantSplit/>
        </w:trPr>
        <w:tc>
          <w:tcPr>
            <w:tcW w:type="dxa" w:w="86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3</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Risk Evaluator</w:t>
            </w:r>
          </w:p>
        </w:tc>
        <w:tc>
          <w:tcPr>
            <w:tcW w:type="dxa" w:w="3600"/>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Evaluates meteorological conditions (wind speed, rain) to assess disease spread dynamics.</w:t>
            </w:r>
          </w:p>
        </w:tc>
        <w:tc>
          <w:tcPr>
            <w:tcW w:type="dxa" w:w="2880"/>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Input: Local weather indices</w:t>
              <w:br/>
              <w:t>Output: Contagion percentage</w:t>
            </w:r>
          </w:p>
        </w:tc>
      </w:tr>
      <w:tr>
        <w:trPr>
          <w:cantSplit/>
        </w:trPr>
        <w:tc>
          <w:tcPr>
            <w:tcW w:type="dxa" w:w="86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4</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Constraint Planner</w:t>
            </w:r>
          </w:p>
        </w:tc>
        <w:tc>
          <w:tcPr>
            <w:tcW w:type="dxa" w:w="3600"/>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r>
            <w:r>
              <w:rPr>
                <w:rFonts w:ascii="Calibri" w:hAnsi="Calibri"/>
                <w:b/>
                <w:color w:val="212121"/>
                <w:sz w:val="19"/>
              </w:rPr>
              <w:t>Constraint Rules Audit:</w:t>
            </w:r>
            <w:r>
              <w:rPr>
                <w:rFonts w:ascii="Calibri" w:hAnsi="Calibri"/>
                <w:color w:val="212121"/>
                <w:sz w:val="19"/>
              </w:rPr>
              <w:t xml:space="preserve"> Audits suggestions against safety rules (e.g., overrides spray commands if high wind is reported).</w:t>
            </w:r>
          </w:p>
        </w:tc>
        <w:tc>
          <w:tcPr>
            <w:tcW w:type="dxa" w:w="2880"/>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Input: Suggested treatment, weather</w:t>
              <w:br/>
              <w:t>Output: Overridden, safe treatment plan</w:t>
            </w:r>
          </w:p>
        </w:tc>
      </w:tr>
      <w:tr>
        <w:trPr>
          <w:cantSplit/>
        </w:trPr>
        <w:tc>
          <w:tcPr>
            <w:tcW w:type="dxa" w:w="86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5</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Action Executor</w:t>
            </w:r>
          </w:p>
        </w:tc>
        <w:tc>
          <w:tcPr>
            <w:tcW w:type="dxa" w:w="3600"/>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Constructs transactional payloads and issues dispatch signals to IoT smart valves or drone hubs.</w:t>
            </w:r>
          </w:p>
        </w:tc>
        <w:tc>
          <w:tcPr>
            <w:tcW w:type="dxa" w:w="2880"/>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Input: Approved treatments</w:t>
              <w:br/>
              <w:t>Output: Actuator codes &amp; target statuses</w:t>
            </w:r>
          </w:p>
        </w:tc>
      </w:tr>
      <w:tr>
        <w:trPr>
          <w:cantSplit/>
        </w:trPr>
        <w:tc>
          <w:tcPr>
            <w:tcW w:type="dxa" w:w="86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6</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Recovery Monitor</w:t>
            </w:r>
          </w:p>
        </w:tc>
        <w:tc>
          <w:tcPr>
            <w:tcW w:type="dxa" w:w="3600"/>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Listens for hardware feedback. If faults occur, manages retries, engages fallback suppliers, or initiates a state rollback.</w:t>
            </w:r>
          </w:p>
        </w:tc>
        <w:tc>
          <w:tcPr>
            <w:tcW w:type="dxa" w:w="2880"/>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Input: Hardware telemetry, latency</w:t>
              <w:br/>
              <w:t>Output: Safe hardware state lock &amp; alerts</w:t>
            </w:r>
          </w:p>
        </w:tc>
      </w:tr>
    </w:tbl>
    <w:p>
      <w:pPr>
        <w:spacing w:before="0" w:after="240"/>
      </w:pPr>
    </w:p>
    <w:p>
      <w:pPr>
        <w:pStyle w:val="Heading1"/>
        <w:keepNext/>
        <w:spacing w:before="440" w:after="200"/>
      </w:pPr>
      <w:r>
        <w:rPr>
          <w:rFonts w:ascii="Calibri Light" w:hAnsi="Calibri Light"/>
          <w:b/>
          <w:color w:val="1B5E20"/>
          <w:sz w:val="40"/>
        </w:rPr>
        <w:t>4. API Endpoint Specifications</w:t>
      </w:r>
    </w:p>
    <w:p>
      <w:pPr>
        <w:spacing w:before="0" w:after="120" w:line="276" w:lineRule="auto"/>
      </w:pPr>
      <w:r>
        <w:t>The Node.js Express server exposes a secure, token-protected RESTful API. All critical endpoints are protected with standard JWT Bearer headers and incorporate validation checks:</w:t>
      </w:r>
    </w:p>
    <w:tbl>
      <w:tblPr>
        <w:tblW w:type="auto" w:w="0"/>
        <w:jc w:val="center"/>
        <w:tblLayout w:type="fixed"/>
        <w:tblLook w:firstColumn="1" w:firstRow="1" w:lastColumn="0" w:lastRow="0" w:noHBand="0" w:noVBand="1" w:val="04A0"/>
        <w:tblBorders>
          <w:top w:val="single" w:sz="4" w:space="0" w:color="D1D8D1"/>
          <w:left w:val="single" w:sz="4" w:space="0" w:color="D1D8D1"/>
          <w:bottom w:val="single" w:sz="4" w:space="0" w:color="D1D8D1"/>
          <w:right w:val="single" w:sz="4" w:space="0" w:color="D1D8D1"/>
          <w:insideH w:val="single" w:sz="4" w:space="0" w:color="D1D8D1"/>
          <w:insideV w:val="single" w:sz="4" w:space="0" w:color="D1D8D1"/>
        </w:tblBorders>
      </w:tblPr>
      <w:tblGrid>
        <w:gridCol w:w="1152"/>
        <w:gridCol w:w="2304"/>
        <w:gridCol w:w="2016"/>
        <w:gridCol w:w="1152"/>
        <w:gridCol w:w="2736"/>
      </w:tblGrid>
      <w:tr>
        <w:trPr>
          <w:tblHeader/>
          <w:cantSplit/>
        </w:trPr>
        <w:tc>
          <w:tcPr>
            <w:tcW w:type="dxa" w:w="1152"/>
            <w:shd w:fill="1B5E20"/>
            <w:tcMar>
              <w:top w:w="160" w:type="dxa"/>
              <w:bottom w:w="160" w:type="dxa"/>
              <w:left w:w="120" w:type="dxa"/>
              <w:right w:w="120" w:type="dxa"/>
            </w:tcMar>
          </w:tcPr>
          <w:p>
            <w:pPr>
              <w:spacing w:before="40" w:after="40"/>
              <w:jc w:val="left"/>
            </w:pPr>
            <w:r>
              <w:rPr>
                <w:rFonts w:ascii="Calibri" w:hAnsi="Calibri"/>
                <w:b/>
                <w:color w:val="FFFFFF"/>
                <w:sz w:val="20"/>
              </w:rPr>
              <w:t>Method</w:t>
            </w:r>
          </w:p>
        </w:tc>
        <w:tc>
          <w:tcPr>
            <w:tcW w:type="dxa" w:w="2304"/>
            <w:shd w:fill="1B5E20"/>
            <w:tcMar>
              <w:top w:w="160" w:type="dxa"/>
              <w:bottom w:w="160" w:type="dxa"/>
              <w:left w:w="120" w:type="dxa"/>
              <w:right w:w="120" w:type="dxa"/>
            </w:tcMar>
          </w:tcPr>
          <w:p>
            <w:pPr>
              <w:spacing w:before="40" w:after="40"/>
              <w:jc w:val="left"/>
            </w:pPr>
            <w:r>
              <w:rPr>
                <w:rFonts w:ascii="Calibri" w:hAnsi="Calibri"/>
                <w:b/>
                <w:color w:val="FFFFFF"/>
                <w:sz w:val="20"/>
              </w:rPr>
              <w:t>Endpoint Path</w:t>
            </w:r>
          </w:p>
        </w:tc>
        <w:tc>
          <w:tcPr>
            <w:tcW w:type="dxa" w:w="2016"/>
            <w:shd w:fill="1B5E20"/>
            <w:tcMar>
              <w:top w:w="160" w:type="dxa"/>
              <w:bottom w:w="160" w:type="dxa"/>
              <w:left w:w="120" w:type="dxa"/>
              <w:right w:w="120" w:type="dxa"/>
            </w:tcMar>
          </w:tcPr>
          <w:p>
            <w:pPr>
              <w:spacing w:before="40" w:after="40"/>
              <w:jc w:val="left"/>
            </w:pPr>
            <w:r>
              <w:rPr>
                <w:rFonts w:ascii="Calibri" w:hAnsi="Calibri"/>
                <w:b/>
                <w:color w:val="FFFFFF"/>
                <w:sz w:val="20"/>
              </w:rPr>
              <w:t>Controller Reference</w:t>
            </w:r>
          </w:p>
        </w:tc>
        <w:tc>
          <w:tcPr>
            <w:tcW w:type="dxa" w:w="1152"/>
            <w:shd w:fill="1B5E20"/>
            <w:tcMar>
              <w:top w:w="160" w:type="dxa"/>
              <w:bottom w:w="160" w:type="dxa"/>
              <w:left w:w="120" w:type="dxa"/>
              <w:right w:w="120" w:type="dxa"/>
            </w:tcMar>
          </w:tcPr>
          <w:p>
            <w:pPr>
              <w:spacing w:before="40" w:after="40"/>
              <w:jc w:val="left"/>
            </w:pPr>
            <w:r>
              <w:rPr>
                <w:rFonts w:ascii="Calibri" w:hAnsi="Calibri"/>
                <w:b/>
                <w:color w:val="FFFFFF"/>
                <w:sz w:val="20"/>
              </w:rPr>
              <w:t>Auth</w:t>
            </w:r>
          </w:p>
        </w:tc>
        <w:tc>
          <w:tcPr>
            <w:tcW w:type="dxa" w:w="2736"/>
            <w:shd w:fill="1B5E20"/>
            <w:tcMar>
              <w:top w:w="160" w:type="dxa"/>
              <w:bottom w:w="160" w:type="dxa"/>
              <w:left w:w="120" w:type="dxa"/>
              <w:right w:w="120" w:type="dxa"/>
            </w:tcMar>
          </w:tcPr>
          <w:p>
            <w:pPr>
              <w:spacing w:before="40" w:after="40"/>
              <w:jc w:val="left"/>
            </w:pPr>
            <w:r>
              <w:rPr>
                <w:rFonts w:ascii="Calibri" w:hAnsi="Calibri"/>
                <w:b/>
                <w:color w:val="FFFFFF"/>
                <w:sz w:val="20"/>
              </w:rPr>
              <w:t>Resiliency Strategy</w:t>
            </w:r>
          </w:p>
        </w:tc>
      </w:tr>
      <w:tr>
        <w:trPr>
          <w:cantSplit/>
        </w:trPr>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/api/auth/register</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auth_controller.js</w:t>
            </w:r>
          </w:p>
        </w:tc>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None</w:t>
            </w:r>
          </w:p>
        </w:tc>
        <w:tc>
          <w:tcPr>
            <w:tcW w:type="dxa" w:w="273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Creates account, generates MFA token</w:t>
            </w:r>
          </w:p>
        </w:tc>
      </w:tr>
      <w:tr>
        <w:trPr>
          <w:cantSplit/>
        </w:trPr>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/api/auth/login</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auth_controller.js</w:t>
            </w:r>
          </w:p>
        </w:tc>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None</w:t>
            </w:r>
          </w:p>
        </w:tc>
        <w:tc>
          <w:tcPr>
            <w:tcW w:type="dxa" w:w="273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Returns JWT bearer token</w:t>
            </w:r>
          </w:p>
        </w:tc>
      </w:tr>
      <w:tr>
        <w:trPr>
          <w:cantSplit/>
        </w:trPr>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/api/auth/send-otp</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auth_controller.js</w:t>
            </w:r>
          </w:p>
        </w:tc>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None</w:t>
            </w:r>
          </w:p>
        </w:tc>
        <w:tc>
          <w:tcPr>
            <w:tcW w:type="dxa" w:w="273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Dispatches simulated email MFA code</w:t>
            </w:r>
          </w:p>
        </w:tc>
      </w:tr>
      <w:tr>
        <w:trPr>
          <w:cantSplit/>
        </w:trPr>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/api/auth/verify-otp</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auth_controller.js</w:t>
            </w:r>
          </w:p>
        </w:tc>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None</w:t>
            </w:r>
          </w:p>
        </w:tc>
        <w:tc>
          <w:tcPr>
            <w:tcW w:type="dxa" w:w="273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Validates code; flags user verified</w:t>
            </w:r>
          </w:p>
        </w:tc>
      </w:tr>
      <w:tr>
        <w:trPr>
          <w:cantSplit/>
        </w:trPr>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GET</w:t>
            </w:r>
          </w:p>
        </w:tc>
        <w:tc>
          <w:tcPr>
            <w:tcW w:type="dxa" w:w="230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/api/auth/me</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auth_controller.js</w:t>
            </w:r>
          </w:p>
        </w:tc>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JWT</w:t>
            </w:r>
          </w:p>
        </w:tc>
        <w:tc>
          <w:tcPr>
            <w:tcW w:type="dxa" w:w="273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Returns profile from authenticated JWT payload</w:t>
            </w:r>
          </w:p>
        </w:tc>
      </w:tr>
      <w:tr>
        <w:trPr>
          <w:cantSplit/>
        </w:trPr>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/api/upload</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upload_controller.js</w:t>
            </w:r>
          </w:p>
        </w:tc>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JWT</w:t>
            </w:r>
          </w:p>
        </w:tc>
        <w:tc>
          <w:tcPr>
            <w:tcW w:type="dxa" w:w="273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 xml:space="preserve">Handles multipart file streams via </w:t>
            </w:r>
            <w:r>
              <w:rPr>
                <w:rFonts w:ascii="Calibri" w:hAnsi="Calibri"/>
                <w:b/>
                <w:color w:val="212121"/>
                <w:sz w:val="19"/>
              </w:rPr>
              <w:t>Multer</w:t>
            </w:r>
            <w:r>
              <w:rPr>
                <w:rFonts w:ascii="Calibri" w:hAnsi="Calibri"/>
                <w:color w:val="212121"/>
                <w:sz w:val="19"/>
              </w:rPr>
            </w:r>
          </w:p>
        </w:tc>
      </w:tr>
      <w:tr>
        <w:trPr>
          <w:cantSplit/>
        </w:trPr>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/api/analyze</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analyze_controller.js</w:t>
            </w:r>
          </w:p>
        </w:tc>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JWT</w:t>
            </w:r>
          </w:p>
        </w:tc>
        <w:tc>
          <w:tcPr>
            <w:tcW w:type="dxa" w:w="273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 xml:space="preserve">Executes full </w:t>
            </w:r>
            <w:r>
              <w:rPr>
                <w:rFonts w:ascii="Calibri" w:hAnsi="Calibri"/>
                <w:b/>
                <w:color w:val="212121"/>
                <w:sz w:val="19"/>
              </w:rPr>
              <w:t>6-Agent Orchestrator Pipeline</w:t>
            </w:r>
            <w:r>
              <w:rPr>
                <w:rFonts w:ascii="Calibri" w:hAnsi="Calibri"/>
                <w:color w:val="212121"/>
                <w:sz w:val="19"/>
              </w:rPr>
            </w:r>
          </w:p>
        </w:tc>
      </w:tr>
      <w:tr>
        <w:trPr>
          <w:cantSplit/>
        </w:trPr>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GET</w:t>
            </w:r>
          </w:p>
        </w:tc>
        <w:tc>
          <w:tcPr>
            <w:tcW w:type="dxa" w:w="230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/api/weather</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weather_controller.js</w:t>
            </w:r>
          </w:p>
        </w:tc>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None</w:t>
            </w:r>
          </w:p>
        </w:tc>
        <w:tc>
          <w:tcPr>
            <w:tcW w:type="dxa" w:w="273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Connects to real-time Open-Meteo weather</w:t>
            </w:r>
          </w:p>
        </w:tc>
      </w:tr>
      <w:tr>
        <w:trPr>
          <w:cantSplit/>
        </w:trPr>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POST</w:t>
            </w:r>
          </w:p>
        </w:tc>
        <w:tc>
          <w:tcPr>
            <w:tcW w:type="dxa" w:w="230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/api/actions</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actions_controller.js</w:t>
            </w:r>
          </w:p>
        </w:tc>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JWT</w:t>
            </w:r>
          </w:p>
        </w:tc>
        <w:tc>
          <w:tcPr>
            <w:tcW w:type="dxa" w:w="273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Dispatches hardware; tracks mock timeouts</w:t>
            </w:r>
          </w:p>
        </w:tc>
      </w:tr>
      <w:tr>
        <w:trPr>
          <w:cantSplit/>
        </w:trPr>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GET</w:t>
            </w:r>
          </w:p>
        </w:tc>
        <w:tc>
          <w:tcPr>
            <w:tcW w:type="dxa" w:w="2304"/>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/api/logs</w:t>
            </w:r>
          </w:p>
        </w:tc>
        <w:tc>
          <w:tcPr>
            <w:tcW w:type="dxa" w:w="201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logs_controller.js</w:t>
            </w:r>
          </w:p>
        </w:tc>
        <w:tc>
          <w:tcPr>
            <w:tcW w:type="dxa" w:w="1152"/>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JWT</w:t>
            </w:r>
          </w:p>
        </w:tc>
        <w:tc>
          <w:tcPr>
            <w:tcW w:type="dxa" w:w="2736"/>
            <w:shd w:fill="FFFFFF"/>
            <w:tcMar>
              <w:top w:w="120" w:type="dxa"/>
              <w:bottom w:w="120" w:type="dxa"/>
              <w:left w:w="120" w:type="dxa"/>
              <w:right w:w="120" w:type="dxa"/>
            </w:tcMar>
          </w:tcPr>
          <w:p>
            <w:pPr>
              <w:spacing w:before="40" w:after="40" w:line="264" w:lineRule="auto"/>
              <w:jc w:val="left"/>
            </w:pPr>
            <w:r>
              <w:rPr>
                <w:rFonts w:ascii="Calibri" w:hAnsi="Calibri"/>
                <w:color w:val="212121"/>
                <w:sz w:val="19"/>
              </w:rPr>
              <w:t>Streams step-by-step diagnostic telemetry traces</w:t>
            </w:r>
          </w:p>
        </w:tc>
      </w:tr>
      <w:tr>
        <w:trPr>
          <w:cantSplit/>
        </w:trPr>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GET</w:t>
            </w:r>
          </w:p>
        </w:tc>
        <w:tc>
          <w:tcPr>
            <w:tcW w:type="dxa" w:w="2304"/>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/api/dashboard</w:t>
            </w:r>
          </w:p>
        </w:tc>
        <w:tc>
          <w:tcPr>
            <w:tcW w:type="dxa" w:w="201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dashboard_controller.js</w:t>
            </w:r>
          </w:p>
        </w:tc>
        <w:tc>
          <w:tcPr>
            <w:tcW w:type="dxa" w:w="1152"/>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JWT</w:t>
            </w:r>
          </w:p>
        </w:tc>
        <w:tc>
          <w:tcPr>
            <w:tcW w:type="dxa" w:w="2736"/>
            <w:shd w:fill="F8FAF8"/>
            <w:tcMar>
              <w:top w:w="120" w:type="dxa"/>
              <w:bottom w:w="120" w:type="dxa"/>
              <w:left w:w="120" w:type="dxa"/>
              <w:right w:w="120" w:type="dxa"/>
            </w:tcMar>
          </w:tcPr>
          <w:p>
            <w:pPr>
              <w:spacing w:before="40" w:after="40" w:line="264" w:lineRule="auto"/>
              <w:jc w:val="left"/>
            </w:pPr>
            <w:r>
              <w:rPr>
                <w:rFonts w:ascii="Calibri" w:hAnsi="Calibri"/>
                <w:color w:val="212121"/>
                <w:sz w:val="19"/>
              </w:rPr>
              <w:t>Pulls charts history &amp; flashing alerts data</w:t>
            </w:r>
          </w:p>
        </w:tc>
      </w:tr>
    </w:tbl>
    <w:p>
      <w:pPr>
        <w:spacing w:before="0" w:after="240"/>
      </w:pPr>
    </w:p>
    <w:p>
      <w:pPr>
        <w:pStyle w:val="Heading1"/>
        <w:keepNext/>
        <w:spacing w:before="440" w:after="200"/>
      </w:pPr>
      <w:r>
        <w:rPr>
          <w:rFonts w:ascii="Calibri Light" w:hAnsi="Calibri Light"/>
          <w:b/>
          <w:color w:val="1B5E20"/>
          <w:sz w:val="40"/>
        </w:rPr>
        <w:t>5. Resiliency, Failsafe &amp; Rollback Protocols</w:t>
      </w:r>
    </w:p>
    <w:p>
      <w:pPr>
        <w:spacing w:before="0" w:after="120" w:line="276" w:lineRule="auto"/>
      </w:pPr>
      <w:r>
        <w:t>To prevent expensive crop loss or chemical leaks, ArgoGuard AI implements a robust, stateful Failsafe Recovery service (recovery_service.js). The system isolates faults and triggers active defenses in sequence:</w:t>
      </w:r>
    </w:p>
    <w:p>
      <w:pPr>
        <w:spacing w:before="0" w:after="120" w:line="276" w:lineRule="auto"/>
      </w:pPr>
      <w:r>
        <w:t>1. Fault Detection: The Action Service issues a request to a hardware valve or sprinkler controller.</w:t>
        <w:br/>
        <w:t>2. Retries with Backoff: If the connection experiences transient timeouts or 500 errors, the engine attempts up to 3 retries using an exponential backoff algorithm.</w:t>
        <w:br/>
        <w:t>3. Redundant Controller Routing: If retries are exhausted, the system attempts to route the action via an alternate, independent physical controller interface.</w:t>
        <w:br/>
        <w:t xml:space="preserve">4. Stateful System Rollback: If all controllers are unreachable, the Recovery Agent marks the event as an emergency [ROLLBACK] and actively: </w:t>
        <w:br/>
        <w:t xml:space="preserve">   • Resets simulated reservoirs to prevent double-dosing.</w:t>
        <w:br/>
        <w:t xml:space="preserve">   • Sends safety overrides to close physical actuator valves.</w:t>
        <w:br/>
        <w:t xml:space="preserve">   • Details the exact rollback telemetry path in log tables.</w:t>
        <w:br/>
        <w:t xml:space="preserve">   • Dispatches high-priority push notifications to all connected frontends.</w:t>
      </w:r>
    </w:p>
    <w:p>
      <w:pPr>
        <w:pStyle w:val="Heading2"/>
        <w:keepNext/>
        <w:spacing w:before="320" w:after="160"/>
      </w:pPr>
      <w:r>
        <w:rPr>
          <w:rFonts w:ascii="Calibri Light" w:hAnsi="Calibri Light"/>
          <w:b/>
          <w:color w:val="37474F"/>
          <w:sz w:val="28"/>
        </w:rPr>
        <w:t>5.1 Failsafe Sequence Flow</w:t>
      </w:r>
    </w:p>
    <w:tbl>
      <w:tblPr>
        <w:tblW w:type="auto" w:w="0"/>
        <w:jc w:val="center"/>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9360"/>
      </w:tblGrid>
      <w:tr>
        <w:tc>
          <w:tcPr>
            <w:tcW w:type="dxa" w:w="9360"/>
            <w:shd w:fill="ECEFF1"/>
            <w:tcMar>
              <w:top w:w="120" w:type="dxa"/>
              <w:bottom w:w="120" w:type="dxa"/>
              <w:left w:w="160" w:type="dxa"/>
              <w:right w:w="160" w:type="dxa"/>
            </w:tcMar>
          </w:tcPr>
          <w:p>
            <w:pPr>
              <w:spacing w:before="40" w:after="40" w:line="240" w:lineRule="auto"/>
            </w:pPr>
            <w:r>
              <w:rPr>
                <w:rFonts w:ascii="Consolas" w:hAnsi="Consolas"/>
                <w:color w:val="263238"/>
                <w:sz w:val="17"/>
              </w:rPr>
              <w:t>[Web Cockpit] ────────────────────────── Trigger Action ───────────────────────────&gt; [Action Service]</w:t>
              <w:br/>
              <w:t xml:space="preserve">                                                                                           │</w:t>
              <w:br/>
              <w:t xml:space="preserve">                                                                                 (Primary Controller API)</w:t>
              <w:br/>
              <w:t xml:space="preserve">                                                                                           │</w:t>
              <w:br/>
              <w:t xml:space="preserve">                                                                             ┌─────────────┴─────────────┐</w:t>
              <w:br/>
              <w:t xml:space="preserve">                                                                             ▼                           ▼</w:t>
              <w:br/>
              <w:t xml:space="preserve">                                                                         [Success]                   [Timeout / 500]</w:t>
              <w:br/>
              <w:t xml:space="preserve">                                                                             │                           │</w:t>
              <w:br/>
              <w:t xml:space="preserve">                                                                         [Confirmed]             (Retry 3x Backoff)</w:t>
              <w:br/>
              <w:t xml:space="preserve">                                                                                                         │</w:t>
              <w:br/>
              <w:t xml:space="preserve">                                                                                                 ┌───────┴───────┐</w:t>
              <w:br/>
              <w:t xml:space="preserve">                                                                                                 ▼               ▼</w:t>
              <w:br/>
              <w:t xml:space="preserve">                                                                                             [Success]       [Failed]</w:t>
              <w:br/>
              <w:t xml:space="preserve">                                                                                                 │               │</w:t>
              <w:br/>
              <w:t xml:space="preserve">                                                                                             [Success Alert] (Failover Alternate)</w:t>
              <w:br/>
              <w:t xml:space="preserve">                                                                                                                 │</w:t>
              <w:br/>
              <w:t xml:space="preserve">                                                                                                         ┌───────┴───────┐</w:t>
              <w:br/>
              <w:t xml:space="preserve">                                                                                                         ▼               ▼</w:t>
              <w:br/>
              <w:t xml:space="preserve">                                                                                                     [Success]       [Failed]</w:t>
              <w:br/>
              <w:t xml:space="preserve">                                                                                                         │               │</w:t>
              <w:br/>
              <w:t xml:space="preserve">                                                                                                   [Fallback OK]   (State Rollback)</w:t>
              <w:br/>
              <w:t xml:space="preserve">                                                                                                                         │</w:t>
              <w:br/>
              <w:t xml:space="preserve">                                                                                                                         ▼</w:t>
              <w:br/>
              <w:t xml:space="preserve">                                                                                                                 - Reset Reservoirs</w:t>
              <w:br/>
              <w:t xml:space="preserve">                                                                                                                 - Lock Valves Hard</w:t>
              <w:br/>
              <w:t xml:space="preserve">                                                                                                                 - Push Alert to Client</w:t>
            </w:r>
          </w:p>
        </w:tc>
      </w:tr>
    </w:tbl>
    <w:p>
      <w:pPr>
        <w:spacing w:before="0" w:after="160"/>
      </w:pPr>
    </w:p>
    <w:p>
      <w:pPr>
        <w:spacing w:before="0" w:after="120" w:line="276" w:lineRule="auto"/>
      </w:pPr>
      <w:r>
        <w:t>Developers can review the exact architectural message-pass layout using the following Mermaid markup:</w:t>
      </w:r>
    </w:p>
    <w:tbl>
      <w:tblPr>
        <w:tblW w:type="auto" w:w="0"/>
        <w:jc w:val="center"/>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9360"/>
      </w:tblGrid>
      <w:tr>
        <w:tc>
          <w:tcPr>
            <w:tcW w:type="dxa" w:w="9360"/>
            <w:shd w:fill="ECEFF1"/>
            <w:tcMar>
              <w:top w:w="120" w:type="dxa"/>
              <w:bottom w:w="120" w:type="dxa"/>
              <w:left w:w="160" w:type="dxa"/>
              <w:right w:w="160" w:type="dxa"/>
            </w:tcMar>
          </w:tcPr>
          <w:p>
            <w:pPr>
              <w:spacing w:before="40" w:after="40" w:line="240" w:lineRule="auto"/>
            </w:pPr>
            <w:r>
              <w:rPr>
                <w:rFonts w:ascii="Consolas" w:hAnsi="Consolas"/>
                <w:color w:val="263238"/>
                <w:sz w:val="17"/>
              </w:rPr>
              <w:t>sequenceDiagram</w:t>
              <w:br/>
              <w:t xml:space="preserve">    WebDashboard-&gt;&gt;ActionService: Trigger Emergency Order</w:t>
              <w:br/>
              <w:t xml:space="preserve">    ActionService-&gt;&gt;PrimarySupplier: Send Dispatch Request</w:t>
              <w:br/>
              <w:t xml:space="preserve">    alt Primary Supplier API Fails or Times Out</w:t>
              <w:br/>
              <w:t xml:space="preserve">        PrimarySupplier--&gt;&gt;ActionService: 500 Error / Timeout</w:t>
              <w:br/>
              <w:t xml:space="preserve">        ActionService-&gt;&gt;FailsafeEngine: Log Incident &amp; Trigger Retry Sequence</w:t>
              <w:br/>
              <w:t xml:space="preserve">        FailsafeEngine-&gt;&gt;ActionService: Authorize Failover Supplier</w:t>
              <w:br/>
              <w:t xml:space="preserve">        ActionService-&gt;&gt;FallbackSupplier: Send Dispatch Request to Fallback</w:t>
              <w:br/>
              <w:t xml:space="preserve">        FallbackSupplier--&gt;&gt;ActionService: Order Confirmed</w:t>
              <w:br/>
              <w:t xml:space="preserve">        ActionService--&gt;&gt;WebDashboard: Confirmed via Fallback (Success Alert)</w:t>
              <w:br/>
              <w:t xml:space="preserve">    else Primary and Fallback Both Fail (Rollback)</w:t>
              <w:br/>
              <w:t xml:space="preserve">        FallbackSupplier--&gt;&gt;ActionService: Failed / Permanent Timeout</w:t>
              <w:br/>
              <w:t xml:space="preserve">        ActionService-&gt;&gt;FailsafeEngine: Trigger Rollback Protocol</w:t>
              <w:br/>
              <w:t xml:space="preserve">        FailsafeEngine-&gt;&gt;FailsafeEngine: Release Inventories, Unlock Valves &amp; Log Diagnostics</w:t>
              <w:br/>
              <w:t xml:space="preserve">        ActionService--&gt;&gt;WebDashboard: Transaction Aborted &amp; Rollback Audited (Error Alert)</w:t>
              <w:br/>
              <w:t xml:space="preserve">    end</w:t>
            </w:r>
          </w:p>
        </w:tc>
      </w:tr>
    </w:tbl>
    <w:p>
      <w:pPr>
        <w:spacing w:before="0" w:after="160"/>
      </w:pPr>
    </w:p>
    <w:p>
      <w:pPr>
        <w:pStyle w:val="Heading1"/>
        <w:keepNext/>
        <w:spacing w:before="440" w:after="200"/>
      </w:pPr>
      <w:r>
        <w:rPr>
          <w:rFonts w:ascii="Calibri Light" w:hAnsi="Calibri Light"/>
          <w:b/>
          <w:color w:val="1B5E20"/>
          <w:sz w:val="40"/>
        </w:rPr>
        <w:t>6. Development &amp; Deployment Guidelines</w:t>
      </w:r>
    </w:p>
    <w:p>
      <w:pPr>
        <w:spacing w:before="0" w:after="120" w:line="276" w:lineRule="auto"/>
      </w:pPr>
      <w:r>
        <w:t>ArgoGuard AI is designed for seamless, multi-environment deployments. Follow these commands to spin up a local instance for development, testing, or sandboxed simulations:</w:t>
      </w:r>
    </w:p>
    <w:p>
      <w:pPr>
        <w:pStyle w:val="Heading2"/>
        <w:keepNext/>
        <w:spacing w:before="320" w:after="160"/>
      </w:pPr>
      <w:r>
        <w:rPr>
          <w:rFonts w:ascii="Calibri Light" w:hAnsi="Calibri Light"/>
          <w:b/>
          <w:color w:val="37474F"/>
          <w:sz w:val="28"/>
        </w:rPr>
        <w:t>6.1 Startup Command Sequence</w:t>
      </w:r>
    </w:p>
    <w:tbl>
      <w:tblPr>
        <w:tblW w:type="auto" w:w="0"/>
        <w:jc w:val="center"/>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9360"/>
      </w:tblGrid>
      <w:tr>
        <w:tc>
          <w:tcPr>
            <w:tcW w:type="dxa" w:w="9360"/>
            <w:shd w:fill="ECEFF1"/>
            <w:tcMar>
              <w:top w:w="120" w:type="dxa"/>
              <w:bottom w:w="120" w:type="dxa"/>
              <w:left w:w="160" w:type="dxa"/>
              <w:right w:w="160" w:type="dxa"/>
            </w:tcMar>
          </w:tcPr>
          <w:p>
            <w:pPr>
              <w:spacing w:before="40" w:after="40" w:line="240" w:lineRule="auto"/>
            </w:pPr>
            <w:r>
              <w:rPr>
                <w:rFonts w:ascii="Consolas" w:hAnsi="Consolas"/>
                <w:color w:val="263238"/>
                <w:sz w:val="17"/>
              </w:rPr>
              <w:t># 1. Start the Express Backend API Server</w:t>
              <w:br/>
              <w:t>cd backend</w:t>
              <w:br/>
              <w:t>npm install</w:t>
              <w:br/>
              <w:t>npm run dev</w:t>
              <w:br/>
              <w:br/>
              <w:t># 2. Launch the React Web Cockpit</w:t>
              <w:br/>
              <w:t>cd ../frontend</w:t>
              <w:br/>
              <w:t>npm install</w:t>
              <w:br/>
              <w:t>npm run dev</w:t>
              <w:br/>
              <w:br/>
              <w:t># 3. Run the Flutter Mobile Companion</w:t>
              <w:br/>
              <w:t>cd ..</w:t>
              <w:br/>
              <w:t>flutter pub get</w:t>
              <w:br/>
              <w:t>flutter run</w:t>
            </w:r>
          </w:p>
        </w:tc>
      </w:tr>
    </w:tbl>
    <w:p>
      <w:pPr>
        <w:spacing w:before="0" w:after="160"/>
      </w:pPr>
    </w:p>
    <w:p>
      <w:pPr>
        <w:pStyle w:val="Heading1"/>
        <w:keepNext/>
        <w:spacing w:before="440" w:after="200"/>
      </w:pPr>
      <w:r>
        <w:rPr>
          <w:rFonts w:ascii="Calibri Light" w:hAnsi="Calibri Light"/>
          <w:b/>
          <w:color w:val="1B5E20"/>
          <w:sz w:val="40"/>
        </w:rPr>
        <w:t>7. Architectural Summary</w:t>
      </w:r>
    </w:p>
    <w:p>
      <w:pPr>
        <w:spacing w:before="0" w:after="120" w:line="276" w:lineRule="auto"/>
      </w:pPr>
      <w:r>
        <w:t>ArgoGuard AI provides a highly advanced, secure, and production-ready architecture. By modularizing crop pathology scanning and multi-agent reasoning, the system easily absorbs new sensor feeds, actuator drivers, and cloud intelligence models. Backed by strict constraint auditing, automatic retries, and transactional rollbacks, ArgoGuard AI sets a new standard of reliability for the future of digital farming.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