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P"/>
      </w:pPr>
      <w:r>
        <w:t xml:space="preserve">Online Resource 1</w:t>
      </w:r>
    </w:p>
    <w:p>
      <w:pPr>
        <w:pStyle w:val="BodyText"/>
      </w:pPr>
      <w:r>
        <w:rPr>
          <w:b/>
          <w:bCs/>
        </w:rPr>
        <w:t xml:space="preserve">Cross-study generalization of machine-learning models for UCS and CBR of biopolymer-stabilized soils, with finite element analysis of the UCS–CBR link.</w:t>
      </w:r>
      <w:r>
        <w:t xml:space="preserve"> </w:t>
      </w:r>
      <w:r>
        <w:t xml:space="preserve">Geotechnical and Geological Engineering. Muhammed Yeasin Arafat, Department of Civil Engineering, Bangladesh University of Engineering and Technology (BUET), Dhaka 1000, Bangladesh; yeasinarafat1804177@gmail.com</w:t>
      </w:r>
    </w:p>
    <w:p>
      <w:pPr>
        <w:pStyle w:val="BodyText"/>
      </w:pPr>
      <w:r>
        <w:t xml:space="preserve">This file contains Texts S1–S4, Tables S18–S22 and Figs. S4 and S5. [AUTHOR: merge the existing Tables S1–S17 and Figs. S1–S3 of the original supplement into this file before submission.]</w:t>
      </w:r>
    </w:p>
    <w:bookmarkStart w:id="20" w:name="X0b4e711d7a0da8d98a207c707aaa580b4f517d2"/>
    <w:p>
      <w:pPr>
        <w:pStyle w:val="Heading2"/>
      </w:pPr>
      <w:r>
        <w:t xml:space="preserve">Text S1 Robustness of the cross-study results (full description)</w:t>
      </w:r>
    </w:p>
    <w:p>
      <w:pPr>
        <w:pStyle w:val="FirstParagraph"/>
      </w:pPr>
      <w:r>
        <w:rPr>
          <w:i/>
          <w:iCs/>
        </w:rPr>
        <w:t xml:space="preserve">Seeds.</w:t>
      </w:r>
      <w:r>
        <w:t xml:space="preserve"> </w:t>
      </w:r>
      <w:r>
        <w:t xml:space="preserve">Across the three seed sets, pooled UCS R² of the networks varies by 0.08–0.37. Single-seed results can therefore suggest rankings that do not hold.</w:t>
      </w:r>
    </w:p>
    <w:p>
      <w:pPr>
        <w:pStyle w:val="BodyText"/>
      </w:pPr>
      <w:r>
        <w:rPr>
          <w:i/>
          <w:iCs/>
        </w:rPr>
        <w:t xml:space="preserve">Nested selection.</w:t>
      </w:r>
      <w:r>
        <w:t xml:space="preserve"> </w:t>
      </w:r>
      <w:r>
        <w:t xml:space="preserve">Selecting the model and its hyperparameters inside each fold gave R² = 0.15 for UCS and −0.12 for CBR, and the selected model changed between folds.</w:t>
      </w:r>
    </w:p>
    <w:p>
      <w:pPr>
        <w:pStyle w:val="BodyText"/>
      </w:pPr>
      <w:r>
        <w:rPr>
          <w:i/>
          <w:iCs/>
        </w:rPr>
        <w:t xml:space="preserve">Single-study influence.</w:t>
      </w:r>
      <w:r>
        <w:t xml:space="preserve"> </w:t>
      </w:r>
      <w:r>
        <w:t xml:space="preserve">Removing one study from the evaluation moved the UCS R² of SVR between −0.29 and 0.25, with S20 the most influential study.</w:t>
      </w:r>
    </w:p>
    <w:p>
      <w:pPr>
        <w:pStyle w:val="BodyText"/>
      </w:pPr>
      <w:r>
        <w:rPr>
          <w:i/>
          <w:iCs/>
        </w:rPr>
        <w:t xml:space="preserve">Missing-value indicators.</w:t>
      </w:r>
      <w:r>
        <w:t xml:space="preserve"> </w:t>
      </w:r>
      <w:r>
        <w:t xml:space="preserve">Removing them lowered the pooled UCS R² of SVR from 0.15 to −0.09. The paired per-study RMSE changed by only +0.003 (CI −0.119 to 0.108), so the pooled value depends on a few influential studies. Tree models were consistently worse without the indicators (XGBoost +0.074; CI 0.008 to 0.140).</w:t>
      </w:r>
    </w:p>
    <w:p>
      <w:pPr>
        <w:pStyle w:val="BodyText"/>
      </w:pPr>
      <w:r>
        <w:rPr>
          <w:i/>
          <w:iCs/>
        </w:rPr>
        <w:t xml:space="preserve">Feature order.</w:t>
      </w:r>
      <w:r>
        <w:t xml:space="preserve"> </w:t>
      </w:r>
      <w:r>
        <w:t xml:space="preserve">Reversing or permuting the input order changed the UCS R² of the CNN, LSTM and hybrid B by as much as a change of seed. Across four orders the ranges were −0.24 to 0.22 (CNN), −0.27 to 0.09 (LSTM) and 0.09 to 0.21 (hybrid B), and no order was consistently best.</w:t>
      </w:r>
    </w:p>
    <w:p>
      <w:pPr>
        <w:pStyle w:val="BodyText"/>
      </w:pPr>
      <w:r>
        <w:rPr>
          <w:i/>
          <w:iCs/>
        </w:rPr>
        <w:t xml:space="preserve">Grouping S02 and S08.</w:t>
      </w:r>
      <w:r>
        <w:t xml:space="preserve"> </w:t>
      </w:r>
      <w:r>
        <w:t xml:space="preserve">Holding out the two studies that share authors together changed the pooled R² of the classical models by at most 0.05 and the mean per-study RMSE by at most 0.056 log units. None of the conclusions changed.</w:t>
      </w:r>
    </w:p>
    <w:p>
      <w:pPr>
        <w:pStyle w:val="BodyText"/>
      </w:pPr>
      <w:r>
        <w:rPr>
          <w:i/>
          <w:iCs/>
        </w:rPr>
        <w:t xml:space="preserve">Other checks.</w:t>
      </w:r>
      <w:r>
        <w:t xml:space="preserve"> </w:t>
      </w:r>
      <w:r>
        <w:t xml:space="preserve">Excluding the censored CBR values changed R² by −0.09 to +0.01. Bounding the predictions changed at most 0.5% of them.</w:t>
      </w:r>
    </w:p>
    <w:bookmarkEnd w:id="20"/>
    <w:bookmarkStart w:id="21" w:name="text-s2-treatment-effects"/>
    <w:p>
      <w:pPr>
        <w:pStyle w:val="Heading2"/>
      </w:pPr>
      <w:r>
        <w:t xml:space="preserve">Text S2 Treatment effects</w:t>
      </w:r>
    </w:p>
    <w:p>
      <w:pPr>
        <w:pStyle w:val="FirstParagraph"/>
      </w:pPr>
      <w:r>
        <w:t xml:space="preserve">The median UCS improvement over the matched control was 112% for the biopolymer alone (27 records from 8 studies; 95% CI 18–269%), 139% for the second additive alone (28 records from 8 studies; CI −10 to 175%) and 95% for combinations (136 records from 15 studies; CI 65–194%) (Fig. S2 in Online Resource 1). The intervals overlap widely and the three states come mostly from different studies, so no ranking of treatment states is supported. Among the 30 strictly matched UCS contrasts from four studies, clear synergy is rare (7–13% for any additive band). The antagonistic share, however, depends on the band chosen (37–67%), so it is not a robust finding.</w:t>
      </w:r>
    </w:p>
    <w:p>
      <w:pPr>
        <w:pStyle w:val="BodyText"/>
      </w:pPr>
      <w:r>
        <w:t xml:space="preserve">The relative improvement index was RII = 100 (Y − Y</w:t>
      </w:r>
      <w:r>
        <w:rPr>
          <w:vertAlign w:val="subscript"/>
        </w:rPr>
        <w:t xml:space="preserve">0</w:t>
      </w:r>
      <w:r>
        <w:t xml:space="preserve">)/Y</w:t>
      </w:r>
      <w:r>
        <w:rPr>
          <w:vertAlign w:val="subscript"/>
        </w:rPr>
        <w:t xml:space="preserve">0</w:t>
      </w:r>
      <w:r>
        <w:t xml:space="preserve">, where Y and Y</w:t>
      </w:r>
      <w:r>
        <w:rPr>
          <w:vertAlign w:val="subscript"/>
        </w:rPr>
        <w:t xml:space="preserve">0</w:t>
      </w:r>
      <w:r>
        <w:t xml:space="preserve"> </w:t>
      </w:r>
      <w:r>
        <w:t xml:space="preserve">= strength of the treated mix and of its untreated control of the same study and curing age, with 95% study-cluster bootstrap intervals (5,000 resamples).</w:t>
      </w:r>
    </w:p>
    <w:bookmarkEnd w:id="21"/>
    <w:bookmarkStart w:id="22" w:name="X96017760f35367104a824db63f463d3505af88c"/>
    <w:p>
      <w:pPr>
        <w:pStyle w:val="Heading2"/>
      </w:pPr>
      <w:r>
        <w:t xml:space="preserve">Text S3 Finite element methodology (full description)</w:t>
      </w:r>
    </w:p>
    <w:p>
      <w:pPr>
        <w:pStyle w:val="FirstParagraph"/>
      </w:pPr>
      <w:r>
        <w:t xml:space="preserve">Both tests were modeled in OpenSeesPy 3.8 (McKenna 2011; Zhu et al. 2018) with eight-node stabilized single-point bricks (SSPbrick), on quarter models with two symmetry planes meshed as O-grid cylinders.</w:t>
      </w:r>
    </w:p>
    <w:p>
      <w:pPr>
        <w:pStyle w:val="BodyText"/>
      </w:pPr>
      <w:r>
        <w:rPr>
          <w:i/>
          <w:iCs/>
        </w:rPr>
        <w:t xml:space="preserve">UCS model.</w:t>
      </w:r>
      <w:r>
        <w:t xml:space="preserve"> </w:t>
      </w:r>
      <w:r>
        <w:t xml:space="preserve">The specimen has a diameter D = 100 mm and a height H = 200 mm (H/D = 2, as in ASTM D2166; ASTM 2016). The rigid platens are either smooth or fully bonded (rough), and loading is by displacement control to 3% axial strain.</w:t>
      </w:r>
    </w:p>
    <w:p>
      <w:pPr>
        <w:pStyle w:val="BodyText"/>
      </w:pPr>
      <w:r>
        <w:rPr>
          <w:i/>
          <w:iCs/>
        </w:rPr>
        <w:t xml:space="preserve">CBR model.</w:t>
      </w:r>
      <w:r>
        <w:t xml:space="preserve"> </w:t>
      </w:r>
      <w:r>
        <w:t xml:space="preserve">The mold diameter is 152 mm, the soil height 116.4 mm (ASTM D1883; ASTM 2021) and the plunger diameter 49.6 mm. The base is fixed, the rigid mold wall smooth and the rigid plunger rough, and a 2.5 kPa surcharge acts on the annulus. Penetration is applied to 5.1 mm, and CBR is evaluated with the standard forces of BS 1377-4 (BSI 1990) as</w:t>
      </w:r>
    </w:p>
    <w:p>
      <w:pPr>
        <w:pStyle w:val="BodyText"/>
        <w:tabs>
          <w:tab w:val="center" w:pos="4680"/>
          <w:tab w:val="right" w:pos="9360"/>
        </w:tabs>
        <w:ind w:firstLine="0" w:left="0"/>
      </w:pPr>
      <w:r>
        <w:tab/>
        <w:t xml:space="preserve"/>
      </w:r>
      <m:oMath>
        <m:r>
          <m:rPr>
            <m:sty m:val="p"/>
          </m:rPr>
          <m:t>C</m:t>
        </m:r>
        <m:r>
          <m:rPr>
            <m:sty m:val="p"/>
          </m:rPr>
          <m:t>B</m:t>
        </m:r>
        <m:r>
          <m:rPr>
            <m:sty m:val="p"/>
          </m:rPr>
          <m:t>R</m:t>
        </m:r>
        <m:r>
          <m:rPr>
            <m:sty m:val="p"/>
          </m:rPr>
          <m:t>=</m:t>
        </m:r>
        <m:r>
          <m:t>100</m:t>
        </m:r>
        <m:r>
          <m:t> </m:t>
        </m:r>
        <m:r>
          <m:rPr>
            <m:sty m:val="p"/>
          </m:rPr>
          <m:t>max</m:t>
        </m:r>
        <m:r>
          <m:t>​</m:t>
        </m:r>
        <m:d>
          <m:dPr>
            <m:begChr m:val="("/>
            <m:sepChr m:val=""/>
            <m:endChr m:val=")"/>
            <m:grow/>
          </m:dPr>
          <m:e>
            <m:f>
              <m:fPr>
                <m:type m:val="bar"/>
              </m:fPr>
              <m:num>
                <m:sSub>
                  <m:e>
                    <m:r>
                      <m:t>P</m:t>
                    </m:r>
                  </m:e>
                  <m:sub>
                    <m:r>
                      <m:t>2.5</m:t>
                    </m:r>
                  </m:sub>
                </m:sSub>
              </m:num>
              <m:den>
                <m:r>
                  <m:t>13.24</m:t>
                </m:r>
                <m:r>
                  <m:t> </m:t>
                </m:r>
                <m:r>
                  <m:rPr>
                    <m:sty m:val="p"/>
                  </m:rPr>
                  <m:t>k</m:t>
                </m:r>
                <m:r>
                  <m:rPr>
                    <m:sty m:val="p"/>
                  </m:rPr>
                  <m:t>N</m:t>
                </m:r>
              </m:den>
            </m:f>
            <m:r>
              <m:rPr>
                <m:sty m:val="p"/>
              </m:rPr>
              <m:t>,</m:t>
            </m:r>
            <m:r>
              <m:t> </m:t>
            </m:r>
            <m:f>
              <m:fPr>
                <m:type m:val="bar"/>
              </m:fPr>
              <m:num>
                <m:sSub>
                  <m:e>
                    <m:r>
                      <m:t>P</m:t>
                    </m:r>
                  </m:e>
                  <m:sub>
                    <m:r>
                      <m:t>5.0</m:t>
                    </m:r>
                  </m:sub>
                </m:sSub>
              </m:num>
              <m:den>
                <m:r>
                  <m:t>19.96</m:t>
                </m:r>
                <m:r>
                  <m:t> </m:t>
                </m:r>
                <m:r>
                  <m:rPr>
                    <m:sty m:val="p"/>
                  </m:rPr>
                  <m:t>k</m:t>
                </m:r>
                <m:r>
                  <m:rPr>
                    <m:sty m:val="p"/>
                  </m:rPr>
                  <m:t>N</m:t>
                </m:r>
              </m:den>
            </m:f>
          </m:e>
        </m:d>
      </m:oMath>
      <w:r>
        <w:tab/>
        <w:t xml:space="preserve">(S1)</w:t>
      </w:r>
    </w:p>
    <w:p>
      <w:pPr>
        <w:pStyle w:val="BodyText"/>
      </w:pPr>
      <w:r>
        <w:t xml:space="preserve">where P</w:t>
      </w:r>
      <w:r>
        <w:rPr>
          <w:vertAlign w:val="subscript"/>
        </w:rPr>
        <w:t xml:space="preserve">2.5</w:t>
      </w:r>
      <w:r>
        <w:t xml:space="preserve"> </w:t>
      </w:r>
      <w:r>
        <w:t xml:space="preserve">and P</w:t>
      </w:r>
      <w:r>
        <w:rPr>
          <w:vertAlign w:val="subscript"/>
        </w:rPr>
        <w:t xml:space="preserve">5.0</w:t>
      </w:r>
      <w:r>
        <w:t xml:space="preserve"> </w:t>
      </w:r>
      <w:r>
        <w:t xml:space="preserve">= plunger loads at 2.5 and 5.0 mm penetration. The forces of IS 2720 (Part 16) (BIS 1987) and ASTM D1883 (ASTM 2021) were also applied to the stored curves; they change CBR by a median of −0.9% and +1.6% (Table 6), so the choice of standard does not affect the conclusions.</w:t>
      </w:r>
    </w:p>
    <w:p>
      <w:pPr>
        <w:pStyle w:val="BodyText"/>
      </w:pPr>
      <w:r>
        <w:rPr>
          <w:i/>
          <w:iCs/>
        </w:rPr>
        <w:t xml:space="preserve">Solver and convergence.</w:t>
      </w:r>
      <w:r>
        <w:t xml:space="preserve"> </w:t>
      </w:r>
      <w:r>
        <w:t xml:space="preserve">Krylov–Newton iterations were used with a force-unbalance tolerance of 10</w:t>
      </w:r>
      <w:r>
        <w:rPr>
          <w:vertAlign w:val="superscript"/>
        </w:rPr>
        <w:t xml:space="preserve">−3</w:t>
      </w:r>
      <w:r>
        <w:t xml:space="preserve"> </w:t>
      </w:r>
      <w:r>
        <w:t xml:space="preserve">kN and automatic sub-stepping. A run was accepted only if every step converged; failed runs were recorded and excluded.</w:t>
      </w:r>
    </w:p>
    <w:p>
      <w:pPr>
        <w:pStyle w:val="BodyText"/>
      </w:pPr>
      <w:r>
        <w:rPr>
          <w:i/>
          <w:iCs/>
        </w:rPr>
        <w:t xml:space="preserve">Soil model.</w:t>
      </w:r>
      <w:r>
        <w:t xml:space="preserve"> </w:t>
      </w:r>
      <w:r>
        <w:t xml:space="preserve">The soil was represented by Drucker–Prager plasticity (Drucker and Prager 1952) with associated flow. It was perfectly plastic in the UCS runs and had a small linear hardening modulus H</w:t>
      </w:r>
      <w:r>
        <w:rPr>
          <w:vertAlign w:val="subscript"/>
        </w:rPr>
        <w:t xml:space="preserve">p</w:t>
      </w:r>
      <w:r>
        <w:t xml:space="preserve"> </w:t>
      </w:r>
      <w:r>
        <w:t xml:space="preserve">= 0.005E in the CBR runs to aid convergence. The Mohr–Coulomb parameters (c, φ) were mapped either to the outer cone, which matches triaxial compression and is used unless stated otherwise,</w:t>
      </w:r>
    </w:p>
    <w:p>
      <w:pPr>
        <w:pStyle w:val="BodyText"/>
        <w:tabs>
          <w:tab w:val="center" w:pos="4680"/>
          <w:tab w:val="right" w:pos="9360"/>
        </w:tabs>
        <w:ind w:firstLine="0" w:left="0"/>
      </w:pPr>
      <w:r>
        <w:tab/>
        <w:t xml:space="preserve"/>
      </w:r>
      <m:oMath>
        <m:sSub>
          <m:e>
            <m:r>
              <m:t>α</m:t>
            </m:r>
          </m:e>
          <m:sub>
            <m:r>
              <m:rPr>
                <m:sty m:val="p"/>
              </m:rPr>
              <m:t>D</m:t>
            </m:r>
            <m:r>
              <m:rPr>
                <m:sty m:val="p"/>
              </m:rPr>
              <m:t>P</m:t>
            </m:r>
          </m:sub>
        </m:sSub>
        <m:r>
          <m:rPr>
            <m:sty m:val="p"/>
          </m:rPr>
          <m:t>=</m:t>
        </m:r>
        <m:f>
          <m:fPr>
            <m:type m:val="bar"/>
          </m:fPr>
          <m:num>
            <m:r>
              <m:t>2</m:t>
            </m:r>
            <m:r>
              <m:rPr>
                <m:sty m:val="p"/>
              </m:rPr>
              <m:t>sin</m:t>
            </m:r>
            <m:r>
              <m:t>ϕ</m:t>
            </m:r>
          </m:num>
          <m:den>
            <m:rad>
              <m:radPr>
                <m:degHide m:val="on"/>
              </m:radPr>
              <m:deg/>
              <m:e>
                <m:r>
                  <m:t>3</m:t>
                </m:r>
              </m:e>
            </m:rad>
            <m:r>
              <m:t> </m:t>
            </m:r>
            <m:d>
              <m:dPr>
                <m:begChr m:val="("/>
                <m:sepChr m:val=""/>
                <m:endChr m:val=")"/>
                <m:grow/>
              </m:dPr>
              <m:e>
                <m:r>
                  <m:t>3</m:t>
                </m:r>
                <m:r>
                  <m:rPr>
                    <m:sty m:val="p"/>
                  </m:rPr>
                  <m:t>−</m:t>
                </m:r>
                <m:r>
                  <m:rPr>
                    <m:sty m:val="p"/>
                  </m:rPr>
                  <m:t>sin</m:t>
                </m:r>
                <m:r>
                  <m:t>ϕ</m:t>
                </m:r>
              </m:e>
            </m:d>
          </m:den>
        </m:f>
        <m:r>
          <m:rPr>
            <m:sty m:val="p"/>
          </m:rPr>
          <m:t>,</m:t>
        </m:r>
        <m:r>
          <m:t>  </m:t>
        </m:r>
        <m:sSub>
          <m:e>
            <m:r>
              <m:t>k</m:t>
            </m:r>
          </m:e>
          <m:sub>
            <m:r>
              <m:rPr>
                <m:sty m:val="p"/>
              </m:rPr>
              <m:t>D</m:t>
            </m:r>
            <m:r>
              <m:rPr>
                <m:sty m:val="p"/>
              </m:rPr>
              <m:t>P</m:t>
            </m:r>
          </m:sub>
        </m:sSub>
        <m:r>
          <m:rPr>
            <m:sty m:val="p"/>
          </m:rPr>
          <m:t>=</m:t>
        </m:r>
        <m:f>
          <m:fPr>
            <m:type m:val="bar"/>
          </m:fPr>
          <m:num>
            <m:r>
              <m:t>6</m:t>
            </m:r>
            <m:r>
              <m:t>c</m:t>
            </m:r>
            <m:r>
              <m:rPr>
                <m:sty m:val="p"/>
              </m:rPr>
              <m:t>cos</m:t>
            </m:r>
            <m:r>
              <m:t>ϕ</m:t>
            </m:r>
          </m:num>
          <m:den>
            <m:rad>
              <m:radPr>
                <m:degHide m:val="on"/>
              </m:radPr>
              <m:deg/>
              <m:e>
                <m:r>
                  <m:t>3</m:t>
                </m:r>
              </m:e>
            </m:rad>
            <m:r>
              <m:t> </m:t>
            </m:r>
            <m:d>
              <m:dPr>
                <m:begChr m:val="("/>
                <m:sepChr m:val=""/>
                <m:endChr m:val=")"/>
                <m:grow/>
              </m:dPr>
              <m:e>
                <m:r>
                  <m:t>3</m:t>
                </m:r>
                <m:r>
                  <m:rPr>
                    <m:sty m:val="p"/>
                  </m:rPr>
                  <m:t>−</m:t>
                </m:r>
                <m:r>
                  <m:rPr>
                    <m:sty m:val="p"/>
                  </m:rPr>
                  <m:t>sin</m:t>
                </m:r>
                <m:r>
                  <m:t>ϕ</m:t>
                </m:r>
              </m:e>
            </m:d>
          </m:den>
        </m:f>
      </m:oMath>
      <w:r>
        <w:tab/>
        <w:t xml:space="preserve">(S2)</w:t>
      </w:r>
    </w:p>
    <w:p>
      <w:pPr>
        <w:pStyle w:val="BodyText"/>
      </w:pPr>
      <w:r>
        <w:t xml:space="preserve">or to the inscribed inner cone,</w:t>
      </w:r>
    </w:p>
    <w:p>
      <w:pPr>
        <w:pStyle w:val="BodyText"/>
        <w:tabs>
          <w:tab w:val="center" w:pos="4680"/>
          <w:tab w:val="right" w:pos="9360"/>
        </w:tabs>
        <w:ind w:firstLine="0" w:left="0"/>
      </w:pPr>
      <w:r>
        <w:tab/>
        <w:t xml:space="preserve"/>
      </w:r>
      <m:oMath>
        <m:sSub>
          <m:e>
            <m:r>
              <m:t>α</m:t>
            </m:r>
          </m:e>
          <m:sub>
            <m:r>
              <m:rPr>
                <m:sty m:val="p"/>
              </m:rPr>
              <m:t>D</m:t>
            </m:r>
            <m:r>
              <m:rPr>
                <m:sty m:val="p"/>
              </m:rPr>
              <m:t>P</m:t>
            </m:r>
          </m:sub>
        </m:sSub>
        <m:r>
          <m:rPr>
            <m:sty m:val="p"/>
          </m:rPr>
          <m:t>=</m:t>
        </m:r>
        <m:f>
          <m:fPr>
            <m:type m:val="bar"/>
          </m:fPr>
          <m:num>
            <m:r>
              <m:rPr>
                <m:sty m:val="p"/>
              </m:rPr>
              <m:t>tan</m:t>
            </m:r>
            <m:r>
              <m:t>ϕ</m:t>
            </m:r>
          </m:num>
          <m:den>
            <m:rad>
              <m:radPr>
                <m:degHide m:val="on"/>
              </m:radPr>
              <m:deg/>
              <m:e>
                <m:r>
                  <m:t>9</m:t>
                </m:r>
                <m:r>
                  <m:rPr>
                    <m:sty m:val="p"/>
                  </m:rPr>
                  <m:t>+</m:t>
                </m:r>
                <m:r>
                  <m:t>12</m:t>
                </m:r>
                <m:sSup>
                  <m:e>
                    <m:r>
                      <m:rPr>
                        <m:sty m:val="p"/>
                      </m:rPr>
                      <m:t>tan</m:t>
                    </m:r>
                  </m:e>
                  <m:sup>
                    <m:r>
                      <m:t>2</m:t>
                    </m:r>
                  </m:sup>
                </m:sSup>
                <m:r>
                  <m:t>ϕ</m:t>
                </m:r>
              </m:e>
            </m:rad>
          </m:den>
        </m:f>
        <m:r>
          <m:rPr>
            <m:sty m:val="p"/>
          </m:rPr>
          <m:t>,</m:t>
        </m:r>
        <m:r>
          <m:t>  </m:t>
        </m:r>
        <m:sSub>
          <m:e>
            <m:r>
              <m:t>k</m:t>
            </m:r>
          </m:e>
          <m:sub>
            <m:r>
              <m:rPr>
                <m:sty m:val="p"/>
              </m:rPr>
              <m:t>D</m:t>
            </m:r>
            <m:r>
              <m:rPr>
                <m:sty m:val="p"/>
              </m:rPr>
              <m:t>P</m:t>
            </m:r>
          </m:sub>
        </m:sSub>
        <m:r>
          <m:rPr>
            <m:sty m:val="p"/>
          </m:rPr>
          <m:t>=</m:t>
        </m:r>
        <m:f>
          <m:fPr>
            <m:type m:val="bar"/>
          </m:fPr>
          <m:num>
            <m:r>
              <m:t>3</m:t>
            </m:r>
            <m:r>
              <m:t>c</m:t>
            </m:r>
          </m:num>
          <m:den>
            <m:rad>
              <m:radPr>
                <m:degHide m:val="on"/>
              </m:radPr>
              <m:deg/>
              <m:e>
                <m:r>
                  <m:t>9</m:t>
                </m:r>
                <m:r>
                  <m:rPr>
                    <m:sty m:val="p"/>
                  </m:rPr>
                  <m:t>+</m:t>
                </m:r>
                <m:r>
                  <m:t>12</m:t>
                </m:r>
                <m:sSup>
                  <m:e>
                    <m:r>
                      <m:rPr>
                        <m:sty m:val="p"/>
                      </m:rPr>
                      <m:t>tan</m:t>
                    </m:r>
                  </m:e>
                  <m:sup>
                    <m:r>
                      <m:t>2</m:t>
                    </m:r>
                  </m:sup>
                </m:sSup>
                <m:r>
                  <m:t>ϕ</m:t>
                </m:r>
              </m:e>
            </m:rad>
          </m:den>
        </m:f>
      </m:oMath>
      <w:r>
        <w:tab/>
        <w:t xml:space="preserve">(S3)</w:t>
      </w:r>
    </w:p>
    <w:p>
      <w:pPr>
        <w:pStyle w:val="BodyText"/>
      </w:pPr>
      <w:r>
        <w:t xml:space="preserve">Verification, calibration and validation are kept separate (Oberkampf and Roy 2010). For code verification, the smooth-platen UCS model was compared with the closed-form Mohr–Coulomb strength</w:t>
      </w:r>
    </w:p>
    <w:p>
      <w:pPr>
        <w:pStyle w:val="BodyText"/>
        <w:tabs>
          <w:tab w:val="center" w:pos="4680"/>
          <w:tab w:val="right" w:pos="9360"/>
        </w:tabs>
        <w:ind w:firstLine="0" w:left="0"/>
      </w:pPr>
      <w:r>
        <w:tab/>
        <w:t xml:space="preserve"/>
      </w:r>
      <m:oMath>
        <m:r>
          <m:t>q</m:t>
        </m:r>
        <m:r>
          <m:rPr>
            <m:sty m:val="p"/>
          </m:rPr>
          <m:t>=</m:t>
        </m:r>
        <m:f>
          <m:fPr>
            <m:type m:val="bar"/>
          </m:fPr>
          <m:num>
            <m:r>
              <m:t>2</m:t>
            </m:r>
            <m:r>
              <m:t>c</m:t>
            </m:r>
            <m:r>
              <m:rPr>
                <m:sty m:val="p"/>
              </m:rPr>
              <m:t>cos</m:t>
            </m:r>
            <m:r>
              <m:t>ϕ</m:t>
            </m:r>
          </m:num>
          <m:den>
            <m:r>
              <m:t>1</m:t>
            </m:r>
            <m:r>
              <m:rPr>
                <m:sty m:val="p"/>
              </m:rPr>
              <m:t>−</m:t>
            </m:r>
            <m:r>
              <m:rPr>
                <m:sty m:val="p"/>
              </m:rPr>
              <m:t>sin</m:t>
            </m:r>
            <m:r>
              <m:t>ϕ</m:t>
            </m:r>
          </m:den>
        </m:f>
      </m:oMath>
      <w:r>
        <w:tab/>
        <w:t xml:space="preserve">(S4)</w:t>
      </w:r>
    </w:p>
    <w:p>
      <w:pPr>
        <w:pStyle w:val="BodyText"/>
      </w:pPr>
      <w:r>
        <w:t xml:space="preserve">Numerical verification consisted of mesh refinement studies, and calibration refers to fitting the parameters of the UCS-to-CBR link to measured UCS–CBR pairs. Validation would require independent measured stress–strain or load–penetration curves. The database contains none, so the FE models were not validated against experiments.</w:t>
      </w:r>
    </w:p>
    <w:p>
      <w:pPr>
        <w:pStyle w:val="BodyText"/>
      </w:pPr>
      <w:r>
        <w:t xml:space="preserve">Spatial convergence of the CBR model was assessed with four uniform refinement levels: L0 (168 elements, 273 nodes), L1 (456 elements, 648 nodes; the campaign mesh), L2 (1,248 elements, 1,612 nodes) and L3 (2,640 elements, 3,230 nodes). Each model has three degrees of freedom per node. These levels were run for a representative case (c = 60 kPa, φ = 25°, E = 60 MPa) and four further parameter sets spanning the design. The apparent order of convergence, the Richardson-extrapolated value and the grid convergence index (GCI, safety factor 1.25) were computed from the three finest levels (Roache 1994; Celik et al. 2008). Spatial convergence was accepted only for a GCI of 5% or less with monotone behavior.</w:t>
      </w:r>
    </w:p>
    <w:p>
      <w:pPr>
        <w:pStyle w:val="BodyText"/>
      </w:pPr>
      <w:r>
        <w:t xml:space="preserve">To test whether the slow convergence is caused by the singularity at the plunger edge, a second mesh family with the same element counts was graded toward the edge. Its radial element size at the edge is 0.08–0.24 mm, against 1.45–2.42 mm in the uniform meshes, and the vertical grading is finer beneath the surface. The sensitivity of the representative CBR case to dilation, yield-surface matching, hardening, surcharge, specimen height, plunger roughness and load-step size was evaluated on the campaign mesh.</w:t>
      </w:r>
    </w:p>
    <w:p>
      <w:pPr>
        <w:pStyle w:val="BodyText"/>
      </w:pPr>
      <w:r>
        <w:t xml:space="preserve">The simulation campaign comprised 154 runs: Latin-hypercube designs for UCS (44 runs) and CBR (100 runs) over c = 5–4,000 kPa, φ = 10–40°, E = 5–2,000 MPa and ν = 0.25–0.40, plus verification and mesh runs. Of these, 147 converged. A further 80 runs covered the mesh, sensitivity, graded-mesh and non-associated-flow studies.</w:t>
      </w:r>
    </w:p>
    <w:p>
      <w:pPr>
        <w:pStyle w:val="BodyText"/>
      </w:pPr>
      <w:r>
        <w:t xml:space="preserve">A Gaussian-process surrogate was fitted to the 76 converged outer-cone CBR runs on mesh L1, so it reproduces the L1 model, including its mesh bias. In the UCS-to-CBR link, a UCS value q is converted to cohesion and stiffness through</w:t>
      </w:r>
    </w:p>
    <w:p>
      <w:pPr>
        <w:pStyle w:val="BodyText"/>
        <w:tabs>
          <w:tab w:val="center" w:pos="4680"/>
          <w:tab w:val="right" w:pos="9360"/>
        </w:tabs>
        <w:ind w:firstLine="0" w:left="0"/>
      </w:pPr>
      <w:r>
        <w:tab/>
        <w:t xml:space="preserve"/>
      </w:r>
      <m:oMath>
        <m:r>
          <m:t>c</m:t>
        </m:r>
        <m:r>
          <m:rPr>
            <m:sty m:val="p"/>
          </m:rPr>
          <m:t>=</m:t>
        </m:r>
        <m:f>
          <m:fPr>
            <m:type m:val="bar"/>
          </m:fPr>
          <m:num>
            <m:r>
              <m:t>q</m:t>
            </m:r>
            <m:r>
              <m:t> </m:t>
            </m:r>
            <m:d>
              <m:dPr>
                <m:begChr m:val="("/>
                <m:sepChr m:val=""/>
                <m:endChr m:val=")"/>
                <m:grow/>
              </m:dPr>
              <m:e>
                <m:r>
                  <m:t>1</m:t>
                </m:r>
                <m:r>
                  <m:rPr>
                    <m:sty m:val="p"/>
                  </m:rPr>
                  <m:t>−</m:t>
                </m:r>
                <m:r>
                  <m:rPr>
                    <m:sty m:val="p"/>
                  </m:rPr>
                  <m:t>sin</m:t>
                </m:r>
                <m:r>
                  <m:t>ϕ</m:t>
                </m:r>
              </m:e>
            </m:d>
          </m:num>
          <m:den>
            <m:r>
              <m:t>2</m:t>
            </m:r>
            <m:r>
              <m:rPr>
                <m:sty m:val="p"/>
              </m:rPr>
              <m:t>cos</m:t>
            </m:r>
            <m:r>
              <m:t>ϕ</m:t>
            </m:r>
          </m:den>
        </m:f>
        <m:r>
          <m:rPr>
            <m:sty m:val="p"/>
          </m:rPr>
          <m:t>,</m:t>
        </m:r>
        <m:r>
          <m:t>  </m:t>
        </m:r>
        <m:r>
          <m:t>E</m:t>
        </m:r>
        <m:r>
          <m:rPr>
            <m:sty m:val="p"/>
          </m:rPr>
          <m:t>=</m:t>
        </m:r>
        <m:r>
          <m:t>κ</m:t>
        </m:r>
        <m:r>
          <m:t> </m:t>
        </m:r>
        <m:r>
          <m:t>q</m:t>
        </m:r>
      </m:oMath>
      <w:r>
        <w:tab/>
        <w:t xml:space="preserve">(S5)</w:t>
      </w:r>
    </w:p>
    <w:p>
      <w:pPr>
        <w:pStyle w:val="BodyText"/>
      </w:pPr>
      <w:r>
        <w:t xml:space="preserve">and the surrogate returns CBR</w:t>
      </w:r>
      <w:r>
        <w:rPr>
          <w:vertAlign w:val="subscript"/>
        </w:rPr>
        <w:t xml:space="preserve">FEM</w:t>
      </w:r>
      <w:r>
        <w:t xml:space="preserve">. The parameters φ (10–40°) and κ (10–1,000) were calibrated by grid search on matched UCS–CBR pairs, always excluding the held-out study. For numerical-informed CBR networks, the FE estimate was added as an input or as a soft target, using UCS predictions made without the held-out study and without each training row’s own study.</w:t>
      </w:r>
    </w:p>
    <w:p>
      <w:pPr>
        <w:pStyle w:val="BodyText"/>
        <w:suppressLineNumbers/>
      </w:pPr>
      <w:r>
        <w:br w:type="page"/>
      </w:r>
    </w:p>
    <w:bookmarkEnd w:id="22"/>
    <w:bookmarkStart w:id="29" w:name="Xeaef7e3b0676e1dd910d5fa6b5c9a159944e8a2"/>
    <w:p>
      <w:pPr>
        <w:pStyle w:val="Heading2"/>
      </w:pPr>
      <w:r>
        <w:t xml:space="preserve">Text S4 Axisymmetric reference model of the CBR test</w:t>
      </w:r>
    </w:p>
    <w:p>
      <w:pPr>
        <w:pStyle w:val="FirstParagraph"/>
      </w:pPr>
      <w:r>
        <w:rPr>
          <w:i/>
          <w:iCs/>
        </w:rPr>
        <w:t xml:space="preserve">Purpose.</w:t>
      </w:r>
      <w:r>
        <w:t xml:space="preserve"> </w:t>
      </w:r>
      <w:r>
        <w:t xml:space="preserve">The 3D CBR meshes did not reach the asymptotic range (main text, Sect. 3.8). Because the CBR test is axisymmetric in geometry and loading, an independent axisymmetric model was written to obtain spatially converged reference values and to quantify the discretization bias of the 3D campaign mesh. The code is provided in Online Resource 2 (files axicbr.py, verify.py, verify_ucs.py, cbr_mesh.py, gci.py and lhs.py).</w:t>
      </w:r>
    </w:p>
    <w:p>
      <w:pPr>
        <w:pStyle w:val="BodyText"/>
      </w:pPr>
      <w:r>
        <w:rPr>
          <w:i/>
          <w:iCs/>
        </w:rPr>
        <w:t xml:space="preserve">Geometry and boundary conditions.</w:t>
      </w:r>
      <w:r>
        <w:t xml:space="preserve"> </w:t>
      </w:r>
      <w:r>
        <w:t xml:space="preserve">Mold radius 76 mm, specimen height 116.4 mm, plunger radius 24.8 mm. The base is fixed; the mold wall is smooth (radial displacement fixed, vertical displacement free); the axis carries the symmetry condition. The plunger is rigid and rough: the nodes under it receive the same prescribed vertical displacement and zero radial displacement. A surcharge of 2.5 kPa acts on the annulus outside the plunger. Penetration is applied in displacement steps of 0.02 mm to 0.2 mm, 0.05 mm to 2.5 mm and 0.1 mm to 5.1 mm; a step that does not converge is halved automatically. The plunger force is the sum of the reactions at the plunger nodes, and CBR = 100 max(P</w:t>
      </w:r>
      <w:r>
        <w:rPr>
          <w:vertAlign w:val="subscript"/>
        </w:rPr>
        <w:t xml:space="preserve">2.5</w:t>
      </w:r>
      <w:r>
        <w:t xml:space="preserve">/13.24 kN, P</w:t>
      </w:r>
      <w:r>
        <w:rPr>
          <w:vertAlign w:val="subscript"/>
        </w:rPr>
        <w:t xml:space="preserve">5.0</w:t>
      </w:r>
      <w:r>
        <w:t xml:space="preserve">/19.96 kN), as in the 3D model.</w:t>
      </w:r>
    </w:p>
    <w:p>
      <w:pPr>
        <w:pStyle w:val="BodyText"/>
      </w:pPr>
      <w:r>
        <w:rPr>
          <w:i/>
          <w:iCs/>
        </w:rPr>
        <w:t xml:space="preserve">Elements and material.</w:t>
      </w:r>
      <w:r>
        <w:t xml:space="preserve"> </w:t>
      </w:r>
      <w:r>
        <w:t xml:space="preserve">Eight-node serendipity quadrilaterals with 2 × 2 Gauss integration in the axisymmetric formulation. The Drucker–Prager yield function f = α</w:t>
      </w:r>
      <w:r>
        <w:rPr>
          <w:vertAlign w:val="subscript"/>
        </w:rPr>
        <w:t xml:space="preserve">DP</w:t>
      </w:r>
      <w:r>
        <w:t xml:space="preserve"> </w:t>
      </w:r>
      <w:r>
        <w:t xml:space="preserve">I</w:t>
      </w:r>
      <w:r>
        <w:rPr>
          <w:vertAlign w:val="subscript"/>
        </w:rPr>
        <w:t xml:space="preserve">1</w:t>
      </w:r>
      <w:r>
        <w:t xml:space="preserve"> </w:t>
      </w:r>
      <w:r>
        <w:t xml:space="preserve">+ √J</w:t>
      </w:r>
      <w:r>
        <w:rPr>
          <w:vertAlign w:val="subscript"/>
        </w:rPr>
        <w:t xml:space="preserve">2</w:t>
      </w:r>
      <w:r>
        <w:t xml:space="preserve"> </w:t>
      </w:r>
      <w:r>
        <w:t xml:space="preserve">− k</w:t>
      </w:r>
      <w:r>
        <w:rPr>
          <w:vertAlign w:val="subscript"/>
        </w:rPr>
        <w:t xml:space="preserve">DP</w:t>
      </w:r>
      <w:r>
        <w:t xml:space="preserve"> </w:t>
      </w:r>
      <w:r>
        <w:t xml:space="preserve">uses the outer cone matched to Mohr–Coulomb in triaxial compression, with associated flow. The return mapping is solved in closed form for the cone and the apex, and the consistent tangent is used in a Newton iteration with a tangent predictor and a backtracking line search (convergence when the residual norm falls below 10</w:t>
      </w:r>
      <w:r>
        <w:rPr>
          <w:vertAlign w:val="superscript"/>
        </w:rPr>
        <w:t xml:space="preserve">−7</w:t>
      </w:r>
      <w:r>
        <w:t xml:space="preserve"> </w:t>
      </w:r>
      <w:r>
        <w:t xml:space="preserve">of the reaction-force norm). The linear hardening modulus of k</w:t>
      </w:r>
      <w:r>
        <w:rPr>
          <w:vertAlign w:val="subscript"/>
        </w:rPr>
        <w:t xml:space="preserve">DP</w:t>
      </w:r>
      <w:r>
        <w:t xml:space="preserve"> </w:t>
      </w:r>
      <w:r>
        <w:t xml:space="preserve">is H</w:t>
      </w:r>
      <w:r>
        <w:rPr>
          <w:vertAlign w:val="subscript"/>
        </w:rPr>
        <w:t xml:space="preserve">k</w:t>
      </w:r>
      <w:r>
        <w:t xml:space="preserve"> </w:t>
      </w:r>
      <w:r>
        <w:t xml:space="preserve">= 0.005 E (α</w:t>
      </w:r>
      <w:r>
        <w:rPr>
          <w:vertAlign w:val="subscript"/>
        </w:rPr>
        <w:t xml:space="preserve">DP</w:t>
      </w:r>
      <w:r>
        <w:t xml:space="preserve"> </w:t>
      </w:r>
      <w:r>
        <w:t xml:space="preserve">+ 1/√3)</w:t>
      </w:r>
      <w:r>
        <w:rPr>
          <w:vertAlign w:val="superscript"/>
        </w:rPr>
        <w:t xml:space="preserve">2</w:t>
      </w:r>
      <w:r>
        <w:t xml:space="preserve">, which gives a hardening slope of 0.005E in uniaxial compression. Because the hardening definition of the OpenSees material used in the 3D model may differ, absolute values can differ slightly between the two codes, mainly for weak soils, which are the most sensitive to hardening (Table 6).</w:t>
      </w:r>
    </w:p>
    <w:p>
      <w:pPr>
        <w:pStyle w:val="BodyText"/>
      </w:pPr>
      <w:r>
        <w:rPr>
          <w:i/>
          <w:iCs/>
        </w:rPr>
        <w:t xml:space="preserve">Meshes.</w:t>
      </w:r>
      <w:r>
        <w:t xml:space="preserve"> </w:t>
      </w:r>
      <w:r>
        <w:t xml:space="preserve">Each level is a self-similar refinement of a base mesh of 140 elements graded toward the plunger edge (radial grading ratio 1.6) and toward the surface (vertical ratio 1.8). Level n divides every base element into n × n elements, so levels 1, 2, 4 and 8 have 140, 560, 2,240 and 8,960 elements (815 to 53,567 free degrees of freedom) and a constant refinement ratio of 2. Richardson extrapolation and the grid convergence index (safety factor 1.25) were computed from levels 2, 4 and 8.</w:t>
      </w:r>
    </w:p>
    <w:p>
      <w:pPr>
        <w:pStyle w:val="BodyText"/>
      </w:pPr>
      <w:r>
        <w:rPr>
          <w:i/>
          <w:iCs/>
        </w:rPr>
        <w:t xml:space="preserve">Verification.</w:t>
      </w:r>
      <w:r>
        <w:t xml:space="preserve"> </w:t>
      </w:r>
      <w:r>
        <w:t xml:space="preserve">(i) Homogeneous UCS with smooth platens: the computed peak equals the closed-form Mohr–Coulomb strength to within 0.001% (displayed as 0.000% in Table 6) for φ = 10°, 20°, 30° and 40°; the inner cone gives 0.637 times this value. (ii) Elastic rigid circular punch: the extrapolated load is 1.052 times the half-space solution of Sneddon (1965) on a domain of 20 punch radii and 1.024 times on 60 radii; the excess decreases toward 1 as the domain grows, as expected for a finite domain.</w:t>
      </w:r>
    </w:p>
    <w:p>
      <w:pPr>
        <w:pStyle w:val="BodyText"/>
      </w:pPr>
      <w:r>
        <w:rPr>
          <w:i/>
          <w:iCs/>
        </w:rPr>
        <w:t xml:space="preserve">Sensitivity design.</w:t>
      </w:r>
      <w:r>
        <w:t xml:space="preserve"> </w:t>
      </w:r>
      <w:r>
        <w:t xml:space="preserve">Sixty Latin-hypercube samples (seed 2026) over log c (5–800 kPa), φ (10°–40°), log E (5–400 MPa) and ν (0.25–0.40) were run on mesh level 2. At the five reference sets, level 2 exceeds the converged value by a nearly constant 4.5–6.4%, so this level preserves the ranking and the sensitivities. Standardized regression coefficients were obtained by least squares on standardized inputs and standardized log</w:t>
      </w:r>
      <w:r>
        <w:rPr>
          <w:vertAlign w:val="subscript"/>
        </w:rPr>
        <w:t xml:space="preserve">10</w:t>
      </w:r>
      <w:r>
        <w:t xml:space="preserve"> </w:t>
      </w:r>
      <w:r>
        <w:t xml:space="preserve">CBR.</w:t>
      </w:r>
    </w:p>
    <w:p>
      <w:pPr>
        <w:pStyle w:val="BodyText"/>
      </w:pPr>
      <w:r>
        <w:rPr>
          <w:i/>
          <w:iCs/>
        </w:rPr>
        <w:t xml:space="preserve">Converged-mesh sensitivity (level 4, five reference sets).</w:t>
      </w:r>
      <w:r>
        <w:t xml:space="preserve"> </w:t>
      </w:r>
      <w:r>
        <w:t xml:space="preserve">Smooth instead of rough plunger: −1.9%, −0.7%, −0.2%, −1.4% and −2.1% (stiff frictional, strong stiff, cohesive soft, representative, weak). Hardening 0.001E / 0.02E instead of 0.005E: −0.9/+1.3%, −3.6/+4.5%, −2.3/+5.3%, −6.4/+26.7% and −20.8/+61.7%. Inner cone: −69.3%, −61.0%, −29.4%, −55.3% and −34.1%.</w:t>
      </w:r>
    </w:p>
    <w:p>
      <w:pPr>
        <w:pStyle w:val="BodyText"/>
      </w:pPr>
      <w:r>
        <w:rPr>
          <w:i/>
          <w:iCs/>
        </w:rPr>
        <w:t xml:space="preserve">Converged surrogate for the UCS–CBR link.</w:t>
      </w:r>
      <w:r>
        <w:t xml:space="preserve"> </w:t>
      </w:r>
      <w:r>
        <w:t xml:space="preserve">252 runs on mesh level 2 over UCS q = 60–3,000 kPa (six log-spaced values), φ = 10°–40° (step 5°) and κ = E/q = 3–150 (six log-spaced values), with c from Eq. (5) of the main text and ν = 0.3; all runs converged. log</w:t>
      </w:r>
      <w:r>
        <w:rPr>
          <w:vertAlign w:val="subscript"/>
        </w:rPr>
        <w:t xml:space="preserve">10</w:t>
      </w:r>
      <w:r>
        <w:t xml:space="preserve"> </w:t>
      </w:r>
      <w:r>
        <w:t xml:space="preserve">CBR was interpolated with cubic splines in (log q, φ, log κ) and divided by the mean level-2 bias factor (1.051). The calibration objective (RMSE of log</w:t>
      </w:r>
      <w:r>
        <w:rPr>
          <w:vertAlign w:val="subscript"/>
        </w:rPr>
        <w:t xml:space="preserve">10</w:t>
      </w:r>
      <w:r>
        <w:t xml:space="preserve"> </w:t>
      </w:r>
      <w:r>
        <w:t xml:space="preserve">CBR over the pairs) was evaluated on a grid of φ = 10°–40° (step 1°) and 60 log-spaced κ values from 3 to 150.</w:t>
      </w:r>
    </w:p>
    <w:p>
      <w:pPr>
        <w:pStyle w:val="BodyText"/>
      </w:pPr>
      <w:r>
        <w:rPr>
          <w:i/>
          <w:iCs/>
        </w:rPr>
        <w:t xml:space="preserve">Reconstructed UCS–CBR pairs.</w:t>
      </w:r>
      <w:r>
        <w:t xml:space="preserve"> </w:t>
      </w:r>
      <w:r>
        <w:t xml:space="preserve">Each unsoaked or condition-not-stated CBR record was matched to the UCS records of the same study and mix (biopolymer, second additive and both doses); where several curing times were available, the UCS records at the nearest curing time were averaged. This gives 86 pairs from 7 studies (S01, S02, S03, S05, S08, S11, S18), 69 of them at identical curing times. The original analysis used 91 pairs; the difference comes from the pairing rule, which was not deposited.</w:t>
      </w:r>
    </w:p>
    <w:p>
      <w:pPr>
        <w:pStyle w:val="BodyText"/>
      </w:pPr>
      <w:r>
        <w:rPr>
          <w:i/>
          <w:iCs/>
        </w:rPr>
        <w:t xml:space="preserve">AI assistance.</w:t>
      </w:r>
      <w:r>
        <w:t xml:space="preserve"> </w:t>
      </w:r>
      <w:r>
        <w:t xml:space="preserve">The code of this model was written with the help of a generative AI assistant (main text, Sect. 2.6); all verification results above were produced by running it. [AUTHOR TO CONFIRM]</w:t>
      </w:r>
    </w:p>
    <w:p>
      <w:pPr>
        <w:pStyle w:val="BodyText"/>
      </w:pPr>
      <w:r>
        <w:rPr>
          <w:i/>
          <w:iCs/>
        </w:rPr>
        <w:t xml:space="preserve">Sensitivity result.</w:t>
      </w:r>
      <w:r>
        <w:t xml:space="preserve"> </w:t>
      </w:r>
      <w:r>
        <w:t xml:space="preserve">Standardized regression coefficients of log</w:t>
      </w:r>
      <w:r>
        <w:rPr>
          <w:vertAlign w:val="subscript"/>
        </w:rPr>
        <w:t xml:space="preserve">10</w:t>
      </w:r>
      <w:r>
        <w:t xml:space="preserve"> </w:t>
      </w:r>
      <w:r>
        <w:t xml:space="preserve">CBR (n = 60, R² = 0.89; 95% bootstrap intervals over 2,000 resamples in parentheses): log E 0.77 (0.67–0.87); φ 0.47 (0.36–0.57); log c 0.28 (0.17–0.38); ν 0.02 (−0.07 to 0.11). The computed CBR ranged from 4.2% to 610%; all 60 runs converged.</w:t>
      </w:r>
    </w:p>
    <w:p>
      <w:pPr>
        <w:pStyle w:val="BodyText"/>
        <w:suppressLineNumbers/>
      </w:pPr>
      <w:r>
        <w:br w:type="page"/>
      </w:r>
    </w:p>
    <w:p>
      <w:pPr>
        <w:pStyle w:val="TabCap"/>
        <w:suppressLineNumbers/>
      </w:pPr>
      <w:r>
        <w:rPr>
          <w:b/>
          <w:bCs/>
        </w:rPr>
        <w:t xml:space="preserve">Table S18</w:t>
      </w:r>
      <w:r>
        <w:t xml:space="preserve"> </w:t>
      </w:r>
      <w:r>
        <w:t xml:space="preserve">Data-quality and harmonization audit</w:t>
      </w:r>
    </w:p>
    <w:tbl>
      <w:tblPr>
        <w:tblStyle w:val="Table"/>
        <w:tblW w:w="9360" w:type="dxa"/>
        <w:jc w:val="start"/>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1719"/>
        <w:gridCol w:w="2740"/>
        <w:gridCol w:w="1217"/>
        <w:gridCol w:w="2455"/>
        <w:gridCol w:w="1227"/>
      </w:tblGrid>
      <w:tr>
        <w:trPr>
          <w:cantSplit/>
          <w:tblHeader/>
        </w:trPr>
        <w:tc>
          <w:tcPr>
            <w:tcW w:w="1719"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Check</w:t>
            </w:r>
          </w:p>
        </w:tc>
        <w:tc>
          <w:tcPr>
            <w:tcW w:w="2740"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Finding</w:t>
            </w:r>
          </w:p>
        </w:tc>
        <w:tc>
          <w:tcPr>
            <w:tcW w:w="1217"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Records affected</w:t>
            </w:r>
          </w:p>
        </w:tc>
        <w:tc>
          <w:tcPr>
            <w:tcW w:w="2455"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Rule applied</w:t>
            </w:r>
          </w:p>
        </w:tc>
        <w:tc>
          <w:tcPr>
            <w:tcW w:w="1227"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Final status</w:t>
            </w:r>
          </w:p>
        </w:tc>
      </w:tr>
      <w:tr>
        <w:trPr>
          <w:cantSplit/>
        </w:trPr>
        <w:tc>
          <w:tcPr>
            <w:tcW w:w="1719" w:type="dxa"/>
          </w:tcPr>
          <w:p>
            <w:pPr>
              <w:pStyle w:val="Compact"/>
              <w:suppressLineNumbers/>
              <w:spacing w:before="20" w:after="20" w:line="240" w:lineRule="auto"/>
              <w:ind w:left="0" w:firstLine="0"/>
              <w:jc w:val="left"/>
            </w:pPr>
            <w:r>
              <w:rPr>
                <w:sz w:val="17"/>
                <w:szCs w:val="17"/>
              </w:rPr>
              <w:t xml:space="preserve">Counts and attribution</w:t>
            </w:r>
          </w:p>
        </w:tc>
        <w:tc>
          <w:tcPr>
            <w:tcW w:w="2740" w:type="dxa"/>
          </w:tcPr>
          <w:p>
            <w:pPr>
              <w:pStyle w:val="Compact"/>
              <w:suppressLineNumbers/>
              <w:spacing w:before="20" w:after="20" w:line="240" w:lineRule="auto"/>
              <w:ind w:left="0" w:firstLine="0"/>
              <w:jc w:val="left"/>
            </w:pPr>
            <w:r>
              <w:rPr>
                <w:sz w:val="17"/>
                <w:szCs w:val="17"/>
              </w:rPr>
              <w:t xml:space="preserve">397 UCS / 19 studies; 163 CBR / 10 studies; 20 studies; counts agree with the study inventory</w:t>
            </w:r>
          </w:p>
        </w:tc>
        <w:tc>
          <w:tcPr>
            <w:tcW w:w="1217" w:type="dxa"/>
          </w:tcPr>
          <w:p>
            <w:pPr>
              <w:pStyle w:val="Compact"/>
              <w:suppressLineNumbers/>
              <w:spacing w:before="20" w:after="20" w:line="240" w:lineRule="auto"/>
              <w:ind w:left="0" w:firstLine="0"/>
              <w:jc w:val="left"/>
            </w:pPr>
            <w:r>
              <w:rPr>
                <w:sz w:val="17"/>
                <w:szCs w:val="17"/>
              </w:rPr>
              <w:t xml:space="preserve">All</w:t>
            </w:r>
          </w:p>
        </w:tc>
        <w:tc>
          <w:tcPr>
            <w:tcW w:w="2455" w:type="dxa"/>
          </w:tcPr>
          <w:p>
            <w:pPr>
              <w:pStyle w:val="Compact"/>
              <w:suppressLineNumbers/>
              <w:spacing w:before="20" w:after="20" w:line="240" w:lineRule="auto"/>
              <w:ind w:left="0" w:firstLine="0"/>
              <w:jc w:val="left"/>
            </w:pPr>
            <w:r>
              <w:rPr>
                <w:sz w:val="17"/>
                <w:szCs w:val="17"/>
              </w:rPr>
              <w:t xml:space="preserve">—</w:t>
            </w:r>
          </w:p>
        </w:tc>
        <w:tc>
          <w:tcPr>
            <w:tcW w:w="1227" w:type="dxa"/>
          </w:tcPr>
          <w:p>
            <w:pPr>
              <w:pStyle w:val="Compact"/>
              <w:suppressLineNumbers/>
              <w:spacing w:before="20" w:after="20" w:line="240" w:lineRule="auto"/>
              <w:ind w:left="0" w:firstLine="0"/>
              <w:jc w:val="left"/>
            </w:pPr>
            <w:r>
              <w:rPr>
                <w:sz w:val="17"/>
                <w:szCs w:val="17"/>
              </w:rPr>
              <w:t xml:space="preserve">Verified</w:t>
            </w:r>
          </w:p>
        </w:tc>
      </w:tr>
      <w:tr>
        <w:trPr>
          <w:cantSplit/>
        </w:trPr>
        <w:tc>
          <w:tcPr>
            <w:tcW w:w="1719" w:type="dxa"/>
          </w:tcPr>
          <w:p>
            <w:pPr>
              <w:pStyle w:val="Compact"/>
              <w:suppressLineNumbers/>
              <w:spacing w:before="20" w:after="20" w:line="240" w:lineRule="auto"/>
              <w:ind w:left="0" w:firstLine="0"/>
              <w:jc w:val="left"/>
            </w:pPr>
            <w:r>
              <w:rPr>
                <w:sz w:val="17"/>
                <w:szCs w:val="17"/>
              </w:rPr>
              <w:t xml:space="preserve">Source identification</w:t>
            </w:r>
          </w:p>
        </w:tc>
        <w:tc>
          <w:tcPr>
            <w:tcW w:w="2740" w:type="dxa"/>
          </w:tcPr>
          <w:p>
            <w:pPr>
              <w:pStyle w:val="Compact"/>
              <w:suppressLineNumbers/>
              <w:spacing w:before="20" w:after="20" w:line="240" w:lineRule="auto"/>
              <w:ind w:left="0" w:firstLine="0"/>
              <w:jc w:val="left"/>
            </w:pPr>
            <w:r>
              <w:rPr>
                <w:sz w:val="17"/>
                <w:szCs w:val="17"/>
              </w:rPr>
              <w:t xml:space="preserve">18 of 20 database DOIs resolve to matching publications; S06 DOI malformed; S20 without DOI</w:t>
            </w:r>
          </w:p>
        </w:tc>
        <w:tc>
          <w:tcPr>
            <w:tcW w:w="1217" w:type="dxa"/>
          </w:tcPr>
          <w:p>
            <w:pPr>
              <w:pStyle w:val="Compact"/>
              <w:suppressLineNumbers/>
              <w:spacing w:before="20" w:after="20" w:line="240" w:lineRule="auto"/>
              <w:ind w:left="0" w:firstLine="0"/>
              <w:jc w:val="left"/>
            </w:pPr>
            <w:r>
              <w:rPr>
                <w:sz w:val="17"/>
                <w:szCs w:val="17"/>
              </w:rPr>
              <w:t xml:space="preserve">S06: 2 CBR; S20: 30 UCS, 10 CBR</w:t>
            </w:r>
          </w:p>
        </w:tc>
        <w:tc>
          <w:tcPr>
            <w:tcW w:w="2455" w:type="dxa"/>
          </w:tcPr>
          <w:p>
            <w:pPr>
              <w:pStyle w:val="Compact"/>
              <w:suppressLineNumbers/>
              <w:spacing w:before="20" w:after="20" w:line="240" w:lineRule="auto"/>
              <w:ind w:left="0" w:firstLine="0"/>
              <w:jc w:val="left"/>
            </w:pPr>
            <w:r>
              <w:rPr>
                <w:sz w:val="17"/>
                <w:szCs w:val="17"/>
              </w:rPr>
              <w:t xml:space="preserve">Cited through the database</w:t>
            </w:r>
          </w:p>
        </w:tc>
        <w:tc>
          <w:tcPr>
            <w:tcW w:w="1227" w:type="dxa"/>
          </w:tcPr>
          <w:p>
            <w:pPr>
              <w:pStyle w:val="Compact"/>
              <w:suppressLineNumbers/>
              <w:spacing w:before="20" w:after="20" w:line="240" w:lineRule="auto"/>
              <w:ind w:left="0" w:firstLine="0"/>
              <w:jc w:val="left"/>
            </w:pPr>
            <w:r>
              <w:rPr>
                <w:sz w:val="17"/>
                <w:szCs w:val="17"/>
              </w:rPr>
              <w:t xml:space="preserve">Retained</w:t>
            </w:r>
          </w:p>
        </w:tc>
      </w:tr>
      <w:tr>
        <w:trPr>
          <w:cantSplit/>
        </w:trPr>
        <w:tc>
          <w:tcPr>
            <w:tcW w:w="1719" w:type="dxa"/>
          </w:tcPr>
          <w:p>
            <w:pPr>
              <w:pStyle w:val="Compact"/>
              <w:suppressLineNumbers/>
              <w:spacing w:before="20" w:after="20" w:line="240" w:lineRule="auto"/>
              <w:ind w:left="0" w:firstLine="0"/>
              <w:jc w:val="left"/>
            </w:pPr>
            <w:r>
              <w:rPr>
                <w:sz w:val="17"/>
                <w:szCs w:val="17"/>
              </w:rPr>
              <w:t xml:space="preserve">Identical records</w:t>
            </w:r>
          </w:p>
        </w:tc>
        <w:tc>
          <w:tcPr>
            <w:tcW w:w="2740" w:type="dxa"/>
          </w:tcPr>
          <w:p>
            <w:pPr>
              <w:pStyle w:val="Compact"/>
              <w:suppressLineNumbers/>
              <w:spacing w:before="20" w:after="20" w:line="240" w:lineRule="auto"/>
              <w:ind w:left="0" w:firstLine="0"/>
              <w:jc w:val="left"/>
            </w:pPr>
            <w:r>
              <w:rPr>
                <w:sz w:val="17"/>
                <w:szCs w:val="17"/>
              </w:rPr>
              <w:t xml:space="preserve">4 UCS and 14 CBR rows with identical inputs and target</w:t>
            </w:r>
          </w:p>
        </w:tc>
        <w:tc>
          <w:tcPr>
            <w:tcW w:w="1217" w:type="dxa"/>
          </w:tcPr>
          <w:p>
            <w:pPr>
              <w:pStyle w:val="Compact"/>
              <w:suppressLineNumbers/>
              <w:spacing w:before="20" w:after="20" w:line="240" w:lineRule="auto"/>
              <w:ind w:left="0" w:firstLine="0"/>
              <w:jc w:val="left"/>
            </w:pPr>
            <w:r>
              <w:rPr>
                <w:sz w:val="17"/>
                <w:szCs w:val="17"/>
              </w:rPr>
              <w:t xml:space="preserve">As stated</w:t>
            </w:r>
          </w:p>
        </w:tc>
        <w:tc>
          <w:tcPr>
            <w:tcW w:w="2455" w:type="dxa"/>
          </w:tcPr>
          <w:p>
            <w:pPr>
              <w:pStyle w:val="Compact"/>
              <w:suppressLineNumbers/>
              <w:spacing w:before="20" w:after="20" w:line="240" w:lineRule="auto"/>
              <w:ind w:left="0" w:firstLine="0"/>
              <w:jc w:val="left"/>
            </w:pPr>
            <w:r>
              <w:rPr>
                <w:sz w:val="17"/>
                <w:szCs w:val="17"/>
              </w:rPr>
              <w:t xml:space="preserve">Treated as reported replicate values</w:t>
            </w:r>
          </w:p>
        </w:tc>
        <w:tc>
          <w:tcPr>
            <w:tcW w:w="1227" w:type="dxa"/>
          </w:tcPr>
          <w:p>
            <w:pPr>
              <w:pStyle w:val="Compact"/>
              <w:suppressLineNumbers/>
              <w:spacing w:before="20" w:after="20" w:line="240" w:lineRule="auto"/>
              <w:ind w:left="0" w:firstLine="0"/>
              <w:jc w:val="left"/>
            </w:pPr>
            <w:r>
              <w:rPr>
                <w:sz w:val="17"/>
                <w:szCs w:val="17"/>
              </w:rPr>
              <w:t xml:space="preserve">Retained</w:t>
            </w:r>
          </w:p>
        </w:tc>
      </w:tr>
      <w:tr>
        <w:trPr>
          <w:cantSplit/>
        </w:trPr>
        <w:tc>
          <w:tcPr>
            <w:tcW w:w="1719" w:type="dxa"/>
          </w:tcPr>
          <w:p>
            <w:pPr>
              <w:pStyle w:val="Compact"/>
              <w:suppressLineNumbers/>
              <w:spacing w:before="20" w:after="20" w:line="240" w:lineRule="auto"/>
              <w:ind w:left="0" w:firstLine="0"/>
              <w:jc w:val="left"/>
            </w:pPr>
            <w:r>
              <w:rPr>
                <w:sz w:val="17"/>
                <w:szCs w:val="17"/>
              </w:rPr>
              <w:t xml:space="preserve">Replicate groups</w:t>
            </w:r>
          </w:p>
        </w:tc>
        <w:tc>
          <w:tcPr>
            <w:tcW w:w="2740" w:type="dxa"/>
          </w:tcPr>
          <w:p>
            <w:pPr>
              <w:pStyle w:val="Compact"/>
              <w:suppressLineNumbers/>
              <w:spacing w:before="20" w:after="20" w:line="240" w:lineRule="auto"/>
              <w:ind w:left="0" w:firstLine="0"/>
              <w:jc w:val="left"/>
            </w:pPr>
            <w:r>
              <w:rPr>
                <w:sz w:val="17"/>
                <w:szCs w:val="17"/>
              </w:rPr>
              <w:t xml:space="preserve">38 UCS groups (94 rows) and 32 CBR groups (90 rows) with identical inputs</w:t>
            </w:r>
          </w:p>
        </w:tc>
        <w:tc>
          <w:tcPr>
            <w:tcW w:w="1217" w:type="dxa"/>
          </w:tcPr>
          <w:p>
            <w:pPr>
              <w:pStyle w:val="Compact"/>
              <w:suppressLineNumbers/>
              <w:spacing w:before="20" w:after="20" w:line="240" w:lineRule="auto"/>
              <w:ind w:left="0" w:firstLine="0"/>
              <w:jc w:val="left"/>
            </w:pPr>
            <w:r>
              <w:rPr>
                <w:sz w:val="17"/>
                <w:szCs w:val="17"/>
              </w:rPr>
              <w:t xml:space="preserve">As stated</w:t>
            </w:r>
          </w:p>
        </w:tc>
        <w:tc>
          <w:tcPr>
            <w:tcW w:w="2455" w:type="dxa"/>
          </w:tcPr>
          <w:p>
            <w:pPr>
              <w:pStyle w:val="Compact"/>
              <w:suppressLineNumbers/>
              <w:spacing w:before="20" w:after="20" w:line="240" w:lineRule="auto"/>
              <w:ind w:left="0" w:firstLine="0"/>
              <w:jc w:val="left"/>
            </w:pPr>
            <w:r>
              <w:rPr>
                <w:sz w:val="17"/>
                <w:szCs w:val="17"/>
              </w:rPr>
              <w:t xml:space="preserve">Never split across folds; excluded from evaluation when used as local tests</w:t>
            </w:r>
          </w:p>
        </w:tc>
        <w:tc>
          <w:tcPr>
            <w:tcW w:w="1227" w:type="dxa"/>
          </w:tcPr>
          <w:p>
            <w:pPr>
              <w:pStyle w:val="Compact"/>
              <w:suppressLineNumbers/>
              <w:spacing w:before="20" w:after="20" w:line="240" w:lineRule="auto"/>
              <w:ind w:left="0" w:firstLine="0"/>
              <w:jc w:val="left"/>
            </w:pPr>
            <w:r>
              <w:rPr>
                <w:sz w:val="17"/>
                <w:szCs w:val="17"/>
              </w:rPr>
              <w:t xml:space="preserve">Retained</w:t>
            </w:r>
          </w:p>
        </w:tc>
      </w:tr>
      <w:tr>
        <w:trPr>
          <w:cantSplit/>
        </w:trPr>
        <w:tc>
          <w:tcPr>
            <w:tcW w:w="1719" w:type="dxa"/>
          </w:tcPr>
          <w:p>
            <w:pPr>
              <w:pStyle w:val="Compact"/>
              <w:suppressLineNumbers/>
              <w:spacing w:before="20" w:after="20" w:line="240" w:lineRule="auto"/>
              <w:ind w:left="0" w:firstLine="0"/>
              <w:jc w:val="left"/>
            </w:pPr>
            <w:r>
              <w:rPr>
                <w:sz w:val="17"/>
                <w:szCs w:val="17"/>
              </w:rPr>
              <w:t xml:space="preserve">Overlap between studies</w:t>
            </w:r>
          </w:p>
        </w:tc>
        <w:tc>
          <w:tcPr>
            <w:tcW w:w="2740" w:type="dxa"/>
          </w:tcPr>
          <w:p>
            <w:pPr>
              <w:pStyle w:val="Compact"/>
              <w:suppressLineNumbers/>
              <w:spacing w:before="20" w:after="20" w:line="240" w:lineRule="auto"/>
              <w:ind w:left="0" w:firstLine="0"/>
              <w:jc w:val="left"/>
            </w:pPr>
            <w:r>
              <w:rPr>
                <w:sz w:val="17"/>
                <w:szCs w:val="17"/>
              </w:rPr>
              <w:t xml:space="preserve">No mix and no soil characterization shared by two studies; S02 and S08 share two authors</w:t>
            </w:r>
          </w:p>
        </w:tc>
        <w:tc>
          <w:tcPr>
            <w:tcW w:w="1217" w:type="dxa"/>
          </w:tcPr>
          <w:p>
            <w:pPr>
              <w:pStyle w:val="Compact"/>
              <w:suppressLineNumbers/>
              <w:spacing w:before="20" w:after="20" w:line="240" w:lineRule="auto"/>
              <w:ind w:left="0" w:firstLine="0"/>
              <w:jc w:val="left"/>
            </w:pPr>
            <w:r>
              <w:rPr>
                <w:sz w:val="17"/>
                <w:szCs w:val="17"/>
              </w:rPr>
              <w:t xml:space="preserve">S02 + S08: 21 UCS, 14 CBR</w:t>
            </w:r>
          </w:p>
        </w:tc>
        <w:tc>
          <w:tcPr>
            <w:tcW w:w="2455" w:type="dxa"/>
          </w:tcPr>
          <w:p>
            <w:pPr>
              <w:pStyle w:val="Compact"/>
              <w:suppressLineNumbers/>
              <w:spacing w:before="20" w:after="20" w:line="240" w:lineRule="auto"/>
              <w:ind w:left="0" w:firstLine="0"/>
              <w:jc w:val="left"/>
            </w:pPr>
            <w:r>
              <w:rPr>
                <w:sz w:val="17"/>
                <w:szCs w:val="17"/>
              </w:rPr>
              <w:t xml:space="preserve">Sensitivity analysis with S02 and S08 held out together</w:t>
            </w:r>
          </w:p>
        </w:tc>
        <w:tc>
          <w:tcPr>
            <w:tcW w:w="1227" w:type="dxa"/>
          </w:tcPr>
          <w:p>
            <w:pPr>
              <w:pStyle w:val="Compact"/>
              <w:suppressLineNumbers/>
              <w:spacing w:before="20" w:after="20" w:line="240" w:lineRule="auto"/>
              <w:ind w:left="0" w:firstLine="0"/>
              <w:jc w:val="left"/>
            </w:pPr>
            <w:r>
              <w:rPr>
                <w:sz w:val="17"/>
                <w:szCs w:val="17"/>
              </w:rPr>
              <w:t xml:space="preserve">Retained</w:t>
            </w:r>
          </w:p>
        </w:tc>
      </w:tr>
      <w:tr>
        <w:trPr>
          <w:cantSplit/>
        </w:trPr>
        <w:tc>
          <w:tcPr>
            <w:tcW w:w="1719" w:type="dxa"/>
          </w:tcPr>
          <w:p>
            <w:pPr>
              <w:pStyle w:val="Compact"/>
              <w:suppressLineNumbers/>
              <w:spacing w:before="20" w:after="20" w:line="240" w:lineRule="auto"/>
              <w:ind w:left="0" w:firstLine="0"/>
              <w:jc w:val="left"/>
            </w:pPr>
            <w:r>
              <w:rPr>
                <w:sz w:val="17"/>
                <w:szCs w:val="17"/>
              </w:rPr>
              <w:t xml:space="preserve">Ranges and consistency</w:t>
            </w:r>
          </w:p>
        </w:tc>
        <w:tc>
          <w:tcPr>
            <w:tcW w:w="2740" w:type="dxa"/>
          </w:tcPr>
          <w:p>
            <w:pPr>
              <w:pStyle w:val="Compact"/>
              <w:suppressLineNumbers/>
              <w:spacing w:before="20" w:after="20" w:line="240" w:lineRule="auto"/>
              <w:ind w:left="0" w:firstLine="0"/>
              <w:jc w:val="left"/>
            </w:pPr>
            <w:r>
              <w:rPr>
                <w:sz w:val="17"/>
                <w:szCs w:val="17"/>
              </w:rPr>
              <w:t xml:space="preserve">No violations (G</w:t>
            </w:r>
            <w:r>
              <w:rPr>
                <w:sz w:val="17"/>
                <w:szCs w:val="17"/>
                <w:vertAlign w:val="subscript"/>
              </w:rPr>
              <w:t xml:space="preserve">s</w:t>
            </w:r>
            <w:r>
              <w:rPr>
                <w:sz w:val="17"/>
                <w:szCs w:val="17"/>
              </w:rPr>
              <w:t xml:space="preserve"> </w:t>
            </w:r>
            <w:r>
              <w:rPr>
                <w:sz w:val="17"/>
                <w:szCs w:val="17"/>
              </w:rPr>
              <w:t xml:space="preserve">2.0–3.2, LL ≤ 200%, OMC ≤ 60%, MDD 1,000–2,400 kg/m³, doses 0–100%, PL ≤ LL)</w:t>
            </w:r>
          </w:p>
        </w:tc>
        <w:tc>
          <w:tcPr>
            <w:tcW w:w="1217" w:type="dxa"/>
          </w:tcPr>
          <w:p>
            <w:pPr>
              <w:pStyle w:val="Compact"/>
              <w:suppressLineNumbers/>
              <w:spacing w:before="20" w:after="20" w:line="240" w:lineRule="auto"/>
              <w:ind w:left="0" w:firstLine="0"/>
              <w:jc w:val="left"/>
            </w:pPr>
            <w:r>
              <w:rPr>
                <w:sz w:val="17"/>
                <w:szCs w:val="17"/>
              </w:rPr>
              <w:t xml:space="preserve">0</w:t>
            </w:r>
          </w:p>
        </w:tc>
        <w:tc>
          <w:tcPr>
            <w:tcW w:w="2455" w:type="dxa"/>
          </w:tcPr>
          <w:p>
            <w:pPr>
              <w:pStyle w:val="Compact"/>
              <w:suppressLineNumbers/>
              <w:spacing w:before="20" w:after="20" w:line="240" w:lineRule="auto"/>
              <w:ind w:left="0" w:firstLine="0"/>
              <w:jc w:val="left"/>
            </w:pPr>
            <w:r>
              <w:rPr>
                <w:sz w:val="17"/>
                <w:szCs w:val="17"/>
              </w:rPr>
              <w:t xml:space="preserve">—</w:t>
            </w:r>
          </w:p>
        </w:tc>
        <w:tc>
          <w:tcPr>
            <w:tcW w:w="1227" w:type="dxa"/>
          </w:tcPr>
          <w:p>
            <w:pPr>
              <w:pStyle w:val="Compact"/>
              <w:suppressLineNumbers/>
              <w:spacing w:before="20" w:after="20" w:line="240" w:lineRule="auto"/>
              <w:ind w:left="0" w:firstLine="0"/>
              <w:jc w:val="left"/>
            </w:pPr>
            <w:r>
              <w:rPr>
                <w:sz w:val="17"/>
                <w:szCs w:val="17"/>
              </w:rPr>
              <w:t xml:space="preserve">Verified</w:t>
            </w:r>
          </w:p>
        </w:tc>
      </w:tr>
      <w:tr>
        <w:trPr>
          <w:cantSplit/>
        </w:trPr>
        <w:tc>
          <w:tcPr>
            <w:tcW w:w="1719" w:type="dxa"/>
          </w:tcPr>
          <w:p>
            <w:pPr>
              <w:pStyle w:val="Compact"/>
              <w:suppressLineNumbers/>
              <w:spacing w:before="20" w:after="20" w:line="240" w:lineRule="auto"/>
              <w:ind w:left="0" w:firstLine="0"/>
              <w:jc w:val="left"/>
            </w:pPr>
            <w:r>
              <w:rPr>
                <w:sz w:val="17"/>
                <w:szCs w:val="17"/>
              </w:rPr>
              <w:t xml:space="preserve">Units</w:t>
            </w:r>
          </w:p>
        </w:tc>
        <w:tc>
          <w:tcPr>
            <w:tcW w:w="2740" w:type="dxa"/>
          </w:tcPr>
          <w:p>
            <w:pPr>
              <w:pStyle w:val="Compact"/>
              <w:suppressLineNumbers/>
              <w:spacing w:before="20" w:after="20" w:line="240" w:lineRule="auto"/>
              <w:ind w:left="0" w:firstLine="0"/>
              <w:jc w:val="left"/>
            </w:pPr>
            <w:r>
              <w:rPr>
                <w:sz w:val="17"/>
                <w:szCs w:val="17"/>
              </w:rPr>
              <w:t xml:space="preserve">Untreated OMC reported as a fraction</w:t>
            </w:r>
          </w:p>
        </w:tc>
        <w:tc>
          <w:tcPr>
            <w:tcW w:w="1217" w:type="dxa"/>
          </w:tcPr>
          <w:p>
            <w:pPr>
              <w:pStyle w:val="Compact"/>
              <w:suppressLineNumbers/>
              <w:spacing w:before="20" w:after="20" w:line="240" w:lineRule="auto"/>
              <w:ind w:left="0" w:firstLine="0"/>
              <w:jc w:val="left"/>
            </w:pPr>
            <w:r>
              <w:rPr>
                <w:sz w:val="17"/>
                <w:szCs w:val="17"/>
              </w:rPr>
              <w:t xml:space="preserve">60 UCS</w:t>
            </w:r>
          </w:p>
        </w:tc>
        <w:tc>
          <w:tcPr>
            <w:tcW w:w="2455" w:type="dxa"/>
          </w:tcPr>
          <w:p>
            <w:pPr>
              <w:pStyle w:val="Compact"/>
              <w:suppressLineNumbers/>
              <w:spacing w:before="20" w:after="20" w:line="240" w:lineRule="auto"/>
              <w:ind w:left="0" w:firstLine="0"/>
              <w:jc w:val="left"/>
            </w:pPr>
            <w:r>
              <w:rPr>
                <w:sz w:val="17"/>
                <w:szCs w:val="17"/>
              </w:rPr>
              <w:t xml:space="preserve">Multiplied by 100 (database QC log)</w:t>
            </w:r>
          </w:p>
        </w:tc>
        <w:tc>
          <w:tcPr>
            <w:tcW w:w="1227" w:type="dxa"/>
          </w:tcPr>
          <w:p>
            <w:pPr>
              <w:pStyle w:val="Compact"/>
              <w:suppressLineNumbers/>
              <w:spacing w:before="20" w:after="20" w:line="240" w:lineRule="auto"/>
              <w:ind w:left="0" w:firstLine="0"/>
              <w:jc w:val="left"/>
            </w:pPr>
            <w:r>
              <w:rPr>
                <w:sz w:val="17"/>
                <w:szCs w:val="17"/>
              </w:rPr>
              <w:t xml:space="preserve">Corrected</w:t>
            </w:r>
          </w:p>
        </w:tc>
      </w:tr>
      <w:tr>
        <w:trPr>
          <w:cantSplit/>
        </w:trPr>
        <w:tc>
          <w:tcPr>
            <w:tcW w:w="1719" w:type="dxa"/>
          </w:tcPr>
          <w:p>
            <w:pPr>
              <w:pStyle w:val="Compact"/>
              <w:suppressLineNumbers/>
              <w:spacing w:before="20" w:after="20" w:line="240" w:lineRule="auto"/>
              <w:ind w:left="0" w:firstLine="0"/>
              <w:jc w:val="left"/>
            </w:pPr>
            <w:r>
              <w:rPr>
                <w:sz w:val="17"/>
                <w:szCs w:val="17"/>
              </w:rPr>
              <w:t xml:space="preserve">Column swap</w:t>
            </w:r>
          </w:p>
        </w:tc>
        <w:tc>
          <w:tcPr>
            <w:tcW w:w="2740" w:type="dxa"/>
          </w:tcPr>
          <w:p>
            <w:pPr>
              <w:pStyle w:val="Compact"/>
              <w:suppressLineNumbers/>
              <w:spacing w:before="20" w:after="20" w:line="240" w:lineRule="auto"/>
              <w:ind w:left="0" w:firstLine="0"/>
              <w:jc w:val="left"/>
            </w:pPr>
            <w:r>
              <w:rPr>
                <w:sz w:val="17"/>
                <w:szCs w:val="17"/>
              </w:rPr>
              <w:t xml:space="preserve">Treated MDD and OMC swapped</w:t>
            </w:r>
          </w:p>
        </w:tc>
        <w:tc>
          <w:tcPr>
            <w:tcW w:w="1217" w:type="dxa"/>
          </w:tcPr>
          <w:p>
            <w:pPr>
              <w:pStyle w:val="Compact"/>
              <w:suppressLineNumbers/>
              <w:spacing w:before="20" w:after="20" w:line="240" w:lineRule="auto"/>
              <w:ind w:left="0" w:firstLine="0"/>
              <w:jc w:val="left"/>
            </w:pPr>
            <w:r>
              <w:rPr>
                <w:sz w:val="17"/>
                <w:szCs w:val="17"/>
              </w:rPr>
              <w:t xml:space="preserve">2 CBR</w:t>
            </w:r>
          </w:p>
        </w:tc>
        <w:tc>
          <w:tcPr>
            <w:tcW w:w="2455" w:type="dxa"/>
          </w:tcPr>
          <w:p>
            <w:pPr>
              <w:pStyle w:val="Compact"/>
              <w:suppressLineNumbers/>
              <w:spacing w:before="20" w:after="20" w:line="240" w:lineRule="auto"/>
              <w:ind w:left="0" w:firstLine="0"/>
              <w:jc w:val="left"/>
            </w:pPr>
            <w:r>
              <w:rPr>
                <w:sz w:val="17"/>
                <w:szCs w:val="17"/>
              </w:rPr>
              <w:t xml:space="preserve">Swapped back (database QC log); variables not used as inputs</w:t>
            </w:r>
          </w:p>
        </w:tc>
        <w:tc>
          <w:tcPr>
            <w:tcW w:w="1227" w:type="dxa"/>
          </w:tcPr>
          <w:p>
            <w:pPr>
              <w:pStyle w:val="Compact"/>
              <w:suppressLineNumbers/>
              <w:spacing w:before="20" w:after="20" w:line="240" w:lineRule="auto"/>
              <w:ind w:left="0" w:firstLine="0"/>
              <w:jc w:val="left"/>
            </w:pPr>
            <w:r>
              <w:rPr>
                <w:sz w:val="17"/>
                <w:szCs w:val="17"/>
              </w:rPr>
              <w:t xml:space="preserve">Corrected</w:t>
            </w:r>
          </w:p>
        </w:tc>
      </w:tr>
      <w:tr>
        <w:trPr>
          <w:cantSplit/>
        </w:trPr>
        <w:tc>
          <w:tcPr>
            <w:tcW w:w="1719" w:type="dxa"/>
          </w:tcPr>
          <w:p>
            <w:pPr>
              <w:pStyle w:val="Compact"/>
              <w:suppressLineNumbers/>
              <w:spacing w:before="20" w:after="20" w:line="240" w:lineRule="auto"/>
              <w:ind w:left="0" w:firstLine="0"/>
              <w:jc w:val="left"/>
            </w:pPr>
            <w:r>
              <w:rPr>
                <w:sz w:val="17"/>
                <w:szCs w:val="17"/>
              </w:rPr>
              <w:t xml:space="preserve">Curing</w:t>
            </w:r>
          </w:p>
        </w:tc>
        <w:tc>
          <w:tcPr>
            <w:tcW w:w="2740" w:type="dxa"/>
          </w:tcPr>
          <w:p>
            <w:pPr>
              <w:pStyle w:val="Compact"/>
              <w:suppressLineNumbers/>
              <w:spacing w:before="20" w:after="20" w:line="240" w:lineRule="auto"/>
              <w:ind w:left="0" w:firstLine="0"/>
              <w:jc w:val="left"/>
            </w:pPr>
            <w:r>
              <w:rPr>
                <w:sz w:val="17"/>
                <w:szCs w:val="17"/>
              </w:rPr>
              <w:t xml:space="preserve">Curing given only as</w:t>
            </w:r>
            <w:r>
              <w:rPr>
                <w:sz w:val="17"/>
                <w:szCs w:val="17"/>
              </w:rPr>
              <w:t xml:space="preserve"> </w:t>
            </w:r>
            <w:r>
              <w:rPr>
                <w:sz w:val="17"/>
                <w:szCs w:val="17"/>
              </w:rPr>
              <w:t xml:space="preserve">“</w:t>
            </w:r>
            <w:r>
              <w:rPr>
                <w:sz w:val="17"/>
                <w:szCs w:val="17"/>
              </w:rPr>
              <w:t xml:space="preserve">optimum moisture content</w:t>
            </w:r>
            <w:r>
              <w:rPr>
                <w:sz w:val="17"/>
                <w:szCs w:val="17"/>
              </w:rPr>
              <w:t xml:space="preserve">”</w:t>
            </w:r>
          </w:p>
        </w:tc>
        <w:tc>
          <w:tcPr>
            <w:tcW w:w="1217" w:type="dxa"/>
          </w:tcPr>
          <w:p>
            <w:pPr>
              <w:pStyle w:val="Compact"/>
              <w:suppressLineNumbers/>
              <w:spacing w:before="20" w:after="20" w:line="240" w:lineRule="auto"/>
              <w:ind w:left="0" w:firstLine="0"/>
              <w:jc w:val="left"/>
            </w:pPr>
            <w:r>
              <w:rPr>
                <w:sz w:val="17"/>
                <w:szCs w:val="17"/>
              </w:rPr>
              <w:t xml:space="preserve">4 CBR (S17)</w:t>
            </w:r>
          </w:p>
        </w:tc>
        <w:tc>
          <w:tcPr>
            <w:tcW w:w="2455" w:type="dxa"/>
          </w:tcPr>
          <w:p>
            <w:pPr>
              <w:pStyle w:val="Compact"/>
              <w:suppressLineNumbers/>
              <w:spacing w:before="20" w:after="20" w:line="240" w:lineRule="auto"/>
              <w:ind w:left="0" w:firstLine="0"/>
              <w:jc w:val="left"/>
            </w:pPr>
            <w:r>
              <w:rPr>
                <w:sz w:val="17"/>
                <w:szCs w:val="17"/>
              </w:rPr>
              <w:t xml:space="preserve">Excluded</w:t>
            </w:r>
          </w:p>
        </w:tc>
        <w:tc>
          <w:tcPr>
            <w:tcW w:w="1227" w:type="dxa"/>
          </w:tcPr>
          <w:p>
            <w:pPr>
              <w:pStyle w:val="Compact"/>
              <w:suppressLineNumbers/>
              <w:spacing w:before="20" w:after="20" w:line="240" w:lineRule="auto"/>
              <w:ind w:left="0" w:firstLine="0"/>
              <w:jc w:val="left"/>
            </w:pPr>
            <w:r>
              <w:rPr>
                <w:sz w:val="17"/>
                <w:szCs w:val="17"/>
              </w:rPr>
              <w:t xml:space="preserve">Excluded</w:t>
            </w:r>
          </w:p>
        </w:tc>
      </w:tr>
      <w:tr>
        <w:trPr>
          <w:cantSplit/>
        </w:trPr>
        <w:tc>
          <w:tcPr>
            <w:tcW w:w="1719" w:type="dxa"/>
          </w:tcPr>
          <w:p>
            <w:pPr>
              <w:pStyle w:val="Compact"/>
              <w:suppressLineNumbers/>
              <w:spacing w:before="20" w:after="20" w:line="240" w:lineRule="auto"/>
              <w:ind w:left="0" w:firstLine="0"/>
              <w:jc w:val="left"/>
            </w:pPr>
            <w:r>
              <w:rPr>
                <w:sz w:val="17"/>
                <w:szCs w:val="17"/>
              </w:rPr>
              <w:t xml:space="preserve">Curing inferred from text</w:t>
            </w:r>
          </w:p>
        </w:tc>
        <w:tc>
          <w:tcPr>
            <w:tcW w:w="2740" w:type="dxa"/>
          </w:tcPr>
          <w:p>
            <w:pPr>
              <w:pStyle w:val="Compact"/>
              <w:suppressLineNumbers/>
              <w:spacing w:before="20" w:after="20" w:line="240" w:lineRule="auto"/>
              <w:ind w:left="0" w:firstLine="0"/>
              <w:jc w:val="left"/>
            </w:pPr>
            <w:r>
              <w:rPr>
                <w:sz w:val="17"/>
                <w:szCs w:val="17"/>
              </w:rPr>
              <w:t xml:space="preserve">Curing time inferred (e.g.,</w:t>
            </w:r>
            <w:r>
              <w:rPr>
                <w:sz w:val="17"/>
                <w:szCs w:val="17"/>
              </w:rPr>
              <w:t xml:space="preserve"> </w:t>
            </w:r>
            <w:r>
              <w:rPr>
                <w:sz w:val="17"/>
                <w:szCs w:val="17"/>
              </w:rPr>
              <w:t xml:space="preserve">“</w:t>
            </w:r>
            <w:r>
              <w:rPr>
                <w:sz w:val="17"/>
                <w:szCs w:val="17"/>
              </w:rPr>
              <w:t xml:space="preserve">after 96 h</w:t>
            </w:r>
            <w:r>
              <w:rPr>
                <w:sz w:val="17"/>
                <w:szCs w:val="17"/>
              </w:rPr>
              <w:t xml:space="preserve">”</w:t>
            </w:r>
            <w:r>
              <w:rPr>
                <w:sz w:val="17"/>
                <w:szCs w:val="17"/>
              </w:rPr>
              <w:t xml:space="preserve">)</w:t>
            </w:r>
          </w:p>
        </w:tc>
        <w:tc>
          <w:tcPr>
            <w:tcW w:w="1217" w:type="dxa"/>
          </w:tcPr>
          <w:p>
            <w:pPr>
              <w:pStyle w:val="Compact"/>
              <w:suppressLineNumbers/>
              <w:spacing w:before="20" w:after="20" w:line="240" w:lineRule="auto"/>
              <w:ind w:left="0" w:firstLine="0"/>
              <w:jc w:val="left"/>
            </w:pPr>
            <w:r>
              <w:rPr>
                <w:sz w:val="17"/>
                <w:szCs w:val="17"/>
              </w:rPr>
              <w:t xml:space="preserve">9 CBR</w:t>
            </w:r>
          </w:p>
        </w:tc>
        <w:tc>
          <w:tcPr>
            <w:tcW w:w="2455" w:type="dxa"/>
          </w:tcPr>
          <w:p>
            <w:pPr>
              <w:pStyle w:val="Compact"/>
              <w:suppressLineNumbers/>
              <w:spacing w:before="20" w:after="20" w:line="240" w:lineRule="auto"/>
              <w:ind w:left="0" w:firstLine="0"/>
              <w:jc w:val="left"/>
            </w:pPr>
            <w:r>
              <w:rPr>
                <w:sz w:val="17"/>
                <w:szCs w:val="17"/>
              </w:rPr>
              <w:t xml:space="preserve">Retained; flagged in database</w:t>
            </w:r>
          </w:p>
        </w:tc>
        <w:tc>
          <w:tcPr>
            <w:tcW w:w="1227" w:type="dxa"/>
          </w:tcPr>
          <w:p>
            <w:pPr>
              <w:pStyle w:val="Compact"/>
              <w:suppressLineNumbers/>
              <w:spacing w:before="20" w:after="20" w:line="240" w:lineRule="auto"/>
              <w:ind w:left="0" w:firstLine="0"/>
              <w:jc w:val="left"/>
            </w:pPr>
            <w:r>
              <w:rPr>
                <w:sz w:val="17"/>
                <w:szCs w:val="17"/>
              </w:rPr>
              <w:t xml:space="preserve">Retained</w:t>
            </w:r>
          </w:p>
        </w:tc>
      </w:tr>
      <w:tr>
        <w:trPr>
          <w:cantSplit/>
        </w:trPr>
        <w:tc>
          <w:tcPr>
            <w:tcW w:w="1719" w:type="dxa"/>
          </w:tcPr>
          <w:p>
            <w:pPr>
              <w:pStyle w:val="Compact"/>
              <w:suppressLineNumbers/>
              <w:spacing w:before="20" w:after="20" w:line="240" w:lineRule="auto"/>
              <w:ind w:left="0" w:firstLine="0"/>
              <w:jc w:val="left"/>
            </w:pPr>
            <w:r>
              <w:rPr>
                <w:sz w:val="17"/>
                <w:szCs w:val="17"/>
              </w:rPr>
              <w:t xml:space="preserve">Censoring</w:t>
            </w:r>
          </w:p>
        </w:tc>
        <w:tc>
          <w:tcPr>
            <w:tcW w:w="2740" w:type="dxa"/>
          </w:tcPr>
          <w:p>
            <w:pPr>
              <w:pStyle w:val="Compact"/>
              <w:suppressLineNumbers/>
              <w:spacing w:before="20" w:after="20" w:line="240" w:lineRule="auto"/>
              <w:ind w:left="0" w:firstLine="0"/>
              <w:jc w:val="left"/>
            </w:pPr>
            <w:r>
              <w:rPr>
                <w:sz w:val="17"/>
                <w:szCs w:val="17"/>
              </w:rPr>
              <w:t xml:space="preserve">CBR reported as</w:t>
            </w:r>
            <w:r>
              <w:rPr>
                <w:sz w:val="17"/>
                <w:szCs w:val="17"/>
              </w:rPr>
              <w:t xml:space="preserve"> </w:t>
            </w:r>
            <w:r>
              <w:rPr>
                <w:sz w:val="17"/>
                <w:szCs w:val="17"/>
              </w:rPr>
              <w:t xml:space="preserve">“</w:t>
            </w:r>
            <w:r>
              <w:rPr>
                <w:sz w:val="17"/>
                <w:szCs w:val="17"/>
              </w:rPr>
              <w:t xml:space="preserve">&lt;1</w:t>
            </w:r>
            <w:r>
              <w:rPr>
                <w:sz w:val="17"/>
                <w:szCs w:val="17"/>
              </w:rPr>
              <w:t xml:space="preserve">”</w:t>
            </w:r>
          </w:p>
        </w:tc>
        <w:tc>
          <w:tcPr>
            <w:tcW w:w="1217" w:type="dxa"/>
          </w:tcPr>
          <w:p>
            <w:pPr>
              <w:pStyle w:val="Compact"/>
              <w:suppressLineNumbers/>
              <w:spacing w:before="20" w:after="20" w:line="240" w:lineRule="auto"/>
              <w:ind w:left="0" w:firstLine="0"/>
              <w:jc w:val="left"/>
            </w:pPr>
            <w:r>
              <w:rPr>
                <w:sz w:val="17"/>
                <w:szCs w:val="17"/>
              </w:rPr>
              <w:t xml:space="preserve">5 CBR (S05)</w:t>
            </w:r>
          </w:p>
        </w:tc>
        <w:tc>
          <w:tcPr>
            <w:tcW w:w="2455" w:type="dxa"/>
          </w:tcPr>
          <w:p>
            <w:pPr>
              <w:pStyle w:val="Compact"/>
              <w:suppressLineNumbers/>
              <w:spacing w:before="20" w:after="20" w:line="240" w:lineRule="auto"/>
              <w:ind w:left="0" w:firstLine="0"/>
              <w:jc w:val="left"/>
            </w:pPr>
            <w:r>
              <w:rPr>
                <w:sz w:val="17"/>
                <w:szCs w:val="17"/>
              </w:rPr>
              <w:t xml:space="preserve">Stored as 1.0; sensitivity analysis excludes them</w:t>
            </w:r>
          </w:p>
        </w:tc>
        <w:tc>
          <w:tcPr>
            <w:tcW w:w="1227" w:type="dxa"/>
          </w:tcPr>
          <w:p>
            <w:pPr>
              <w:pStyle w:val="Compact"/>
              <w:suppressLineNumbers/>
              <w:spacing w:before="20" w:after="20" w:line="240" w:lineRule="auto"/>
              <w:ind w:left="0" w:firstLine="0"/>
              <w:jc w:val="left"/>
            </w:pPr>
            <w:r>
              <w:rPr>
                <w:sz w:val="17"/>
                <w:szCs w:val="17"/>
              </w:rPr>
              <w:t xml:space="preserve">Retained</w:t>
            </w:r>
          </w:p>
        </w:tc>
      </w:tr>
      <w:tr>
        <w:trPr>
          <w:cantSplit/>
        </w:trPr>
        <w:tc>
          <w:tcPr>
            <w:tcW w:w="1719" w:type="dxa"/>
          </w:tcPr>
          <w:p>
            <w:pPr>
              <w:pStyle w:val="Compact"/>
              <w:suppressLineNumbers/>
              <w:spacing w:before="20" w:after="20" w:line="240" w:lineRule="auto"/>
              <w:ind w:left="0" w:firstLine="0"/>
              <w:jc w:val="left"/>
            </w:pPr>
            <w:r>
              <w:rPr>
                <w:sz w:val="17"/>
                <w:szCs w:val="17"/>
              </w:rPr>
              <w:t xml:space="preserve">Dose not reported</w:t>
            </w:r>
          </w:p>
        </w:tc>
        <w:tc>
          <w:tcPr>
            <w:tcW w:w="2740" w:type="dxa"/>
          </w:tcPr>
          <w:p>
            <w:pPr>
              <w:pStyle w:val="Compact"/>
              <w:suppressLineNumbers/>
              <w:spacing w:before="20" w:after="20" w:line="240" w:lineRule="auto"/>
              <w:ind w:left="0" w:firstLine="0"/>
              <w:jc w:val="left"/>
            </w:pPr>
            <w:r>
              <w:rPr>
                <w:sz w:val="17"/>
                <w:szCs w:val="17"/>
              </w:rPr>
              <w:t xml:space="preserve">Lignin stabilizer dose missing</w:t>
            </w:r>
          </w:p>
        </w:tc>
        <w:tc>
          <w:tcPr>
            <w:tcW w:w="1217" w:type="dxa"/>
          </w:tcPr>
          <w:p>
            <w:pPr>
              <w:pStyle w:val="Compact"/>
              <w:suppressLineNumbers/>
              <w:spacing w:before="20" w:after="20" w:line="240" w:lineRule="auto"/>
              <w:ind w:left="0" w:firstLine="0"/>
              <w:jc w:val="left"/>
            </w:pPr>
            <w:r>
              <w:rPr>
                <w:sz w:val="17"/>
                <w:szCs w:val="17"/>
              </w:rPr>
              <w:t xml:space="preserve">18 UCS, 36 CBR (S05)</w:t>
            </w:r>
          </w:p>
        </w:tc>
        <w:tc>
          <w:tcPr>
            <w:tcW w:w="2455" w:type="dxa"/>
          </w:tcPr>
          <w:p>
            <w:pPr>
              <w:pStyle w:val="Compact"/>
              <w:suppressLineNumbers/>
              <w:spacing w:before="20" w:after="20" w:line="240" w:lineRule="auto"/>
              <w:ind w:left="0" w:firstLine="0"/>
              <w:jc w:val="left"/>
            </w:pPr>
            <w:r>
              <w:rPr>
                <w:sz w:val="17"/>
                <w:szCs w:val="17"/>
              </w:rPr>
              <w:t xml:space="preserve">Coded as treated with a flag</w:t>
            </w:r>
          </w:p>
        </w:tc>
        <w:tc>
          <w:tcPr>
            <w:tcW w:w="1227" w:type="dxa"/>
          </w:tcPr>
          <w:p>
            <w:pPr>
              <w:pStyle w:val="Compact"/>
              <w:suppressLineNumbers/>
              <w:spacing w:before="20" w:after="20" w:line="240" w:lineRule="auto"/>
              <w:ind w:left="0" w:firstLine="0"/>
              <w:jc w:val="left"/>
            </w:pPr>
            <w:r>
              <w:rPr>
                <w:sz w:val="17"/>
                <w:szCs w:val="17"/>
              </w:rPr>
              <w:t xml:space="preserve">Retained</w:t>
            </w:r>
          </w:p>
        </w:tc>
      </w:tr>
      <w:tr>
        <w:trPr>
          <w:cantSplit/>
        </w:trPr>
        <w:tc>
          <w:tcPr>
            <w:tcW w:w="1719" w:type="dxa"/>
          </w:tcPr>
          <w:p>
            <w:pPr>
              <w:pStyle w:val="Compact"/>
              <w:suppressLineNumbers/>
              <w:spacing w:before="20" w:after="20" w:line="240" w:lineRule="auto"/>
              <w:ind w:left="0" w:firstLine="0"/>
              <w:jc w:val="left"/>
            </w:pPr>
            <w:r>
              <w:rPr>
                <w:sz w:val="17"/>
                <w:szCs w:val="17"/>
              </w:rPr>
              <w:t xml:space="preserve">Treatment indicators</w:t>
            </w:r>
          </w:p>
        </w:tc>
        <w:tc>
          <w:tcPr>
            <w:tcW w:w="2740" w:type="dxa"/>
          </w:tcPr>
          <w:p>
            <w:pPr>
              <w:pStyle w:val="Compact"/>
              <w:suppressLineNumbers/>
              <w:spacing w:before="20" w:after="20" w:line="240" w:lineRule="auto"/>
              <w:ind w:left="0" w:firstLine="0"/>
              <w:jc w:val="left"/>
            </w:pPr>
            <w:r>
              <w:rPr>
                <w:sz w:val="17"/>
                <w:szCs w:val="17"/>
              </w:rPr>
              <w:t xml:space="preserve">Additive indicators set for zero-dose controls</w:t>
            </w:r>
          </w:p>
        </w:tc>
        <w:tc>
          <w:tcPr>
            <w:tcW w:w="1217" w:type="dxa"/>
          </w:tcPr>
          <w:p>
            <w:pPr>
              <w:pStyle w:val="Compact"/>
              <w:suppressLineNumbers/>
              <w:spacing w:before="20" w:after="20" w:line="240" w:lineRule="auto"/>
              <w:ind w:left="0" w:firstLine="0"/>
              <w:jc w:val="left"/>
            </w:pPr>
            <w:r>
              <w:rPr>
                <w:sz w:val="17"/>
                <w:szCs w:val="17"/>
              </w:rPr>
              <w:t xml:space="preserve">57 UCS, 54 CBR</w:t>
            </w:r>
          </w:p>
        </w:tc>
        <w:tc>
          <w:tcPr>
            <w:tcW w:w="2455" w:type="dxa"/>
          </w:tcPr>
          <w:p>
            <w:pPr>
              <w:pStyle w:val="Compact"/>
              <w:suppressLineNumbers/>
              <w:spacing w:before="20" w:after="20" w:line="240" w:lineRule="auto"/>
              <w:ind w:left="0" w:firstLine="0"/>
              <w:jc w:val="left"/>
            </w:pPr>
            <w:r>
              <w:rPr>
                <w:sz w:val="17"/>
                <w:szCs w:val="17"/>
              </w:rPr>
              <w:t xml:space="preserve">Treatment state defined from doses</w:t>
            </w:r>
          </w:p>
        </w:tc>
        <w:tc>
          <w:tcPr>
            <w:tcW w:w="1227" w:type="dxa"/>
          </w:tcPr>
          <w:p>
            <w:pPr>
              <w:pStyle w:val="Compact"/>
              <w:suppressLineNumbers/>
              <w:spacing w:before="20" w:after="20" w:line="240" w:lineRule="auto"/>
              <w:ind w:left="0" w:firstLine="0"/>
              <w:jc w:val="left"/>
            </w:pPr>
            <w:r>
              <w:rPr>
                <w:sz w:val="17"/>
                <w:szCs w:val="17"/>
              </w:rPr>
              <w:t xml:space="preserve">Corrected in derived tables</w:t>
            </w:r>
          </w:p>
        </w:tc>
      </w:tr>
      <w:tr>
        <w:trPr>
          <w:cantSplit/>
        </w:trPr>
        <w:tc>
          <w:tcPr>
            <w:tcW w:w="1719" w:type="dxa"/>
          </w:tcPr>
          <w:p>
            <w:pPr>
              <w:pStyle w:val="Compact"/>
              <w:suppressLineNumbers/>
              <w:spacing w:before="20" w:after="20" w:line="240" w:lineRule="auto"/>
              <w:ind w:left="0" w:firstLine="0"/>
              <w:jc w:val="left"/>
            </w:pPr>
            <w:r>
              <w:rPr>
                <w:sz w:val="17"/>
                <w:szCs w:val="17"/>
              </w:rPr>
              <w:t xml:space="preserve">Missing soil properties</w:t>
            </w:r>
          </w:p>
        </w:tc>
        <w:tc>
          <w:tcPr>
            <w:tcW w:w="2740" w:type="dxa"/>
          </w:tcPr>
          <w:p>
            <w:pPr>
              <w:pStyle w:val="Compact"/>
              <w:suppressLineNumbers/>
              <w:spacing w:before="20" w:after="20" w:line="240" w:lineRule="auto"/>
              <w:ind w:left="0" w:firstLine="0"/>
              <w:jc w:val="left"/>
            </w:pPr>
            <w:r>
              <w:rPr>
                <w:sz w:val="17"/>
                <w:szCs w:val="17"/>
              </w:rPr>
              <w:t xml:space="preserve">G</w:t>
            </w:r>
            <w:r>
              <w:rPr>
                <w:sz w:val="17"/>
                <w:szCs w:val="17"/>
                <w:vertAlign w:val="subscript"/>
              </w:rPr>
              <w:t xml:space="preserve">s</w:t>
            </w:r>
            <w:r>
              <w:rPr>
                <w:sz w:val="17"/>
                <w:szCs w:val="17"/>
              </w:rPr>
              <w:t xml:space="preserve"> </w:t>
            </w:r>
            <w:r>
              <w:rPr>
                <w:sz w:val="17"/>
                <w:szCs w:val="17"/>
              </w:rPr>
              <w:t xml:space="preserve">27%, D</w:t>
            </w:r>
            <w:r>
              <w:rPr>
                <w:sz w:val="17"/>
                <w:szCs w:val="17"/>
                <w:vertAlign w:val="subscript"/>
              </w:rPr>
              <w:t xml:space="preserve">50</w:t>
            </w:r>
            <w:r>
              <w:rPr>
                <w:sz w:val="17"/>
                <w:szCs w:val="17"/>
              </w:rPr>
              <w:t xml:space="preserve"> </w:t>
            </w:r>
            <w:r>
              <w:rPr>
                <w:sz w:val="17"/>
                <w:szCs w:val="17"/>
              </w:rPr>
              <w:t xml:space="preserve">19%, OMC and MDD 30% of UCS records missing (whole studies); grain-size fractions 41–44% missing</w:t>
            </w:r>
          </w:p>
        </w:tc>
        <w:tc>
          <w:tcPr>
            <w:tcW w:w="1217" w:type="dxa"/>
          </w:tcPr>
          <w:p>
            <w:pPr>
              <w:pStyle w:val="Compact"/>
              <w:suppressLineNumbers/>
              <w:spacing w:before="20" w:after="20" w:line="240" w:lineRule="auto"/>
              <w:ind w:left="0" w:firstLine="0"/>
              <w:jc w:val="left"/>
            </w:pPr>
            <w:r>
              <w:rPr>
                <w:sz w:val="17"/>
                <w:szCs w:val="17"/>
              </w:rPr>
              <w:t xml:space="preserve">3–10 studies per variable</w:t>
            </w:r>
          </w:p>
        </w:tc>
        <w:tc>
          <w:tcPr>
            <w:tcW w:w="2455" w:type="dxa"/>
          </w:tcPr>
          <w:p>
            <w:pPr>
              <w:pStyle w:val="Compact"/>
              <w:suppressLineNumbers/>
              <w:spacing w:before="20" w:after="20" w:line="240" w:lineRule="auto"/>
              <w:ind w:left="0" w:firstLine="0"/>
              <w:jc w:val="left"/>
            </w:pPr>
            <w:r>
              <w:rPr>
                <w:sz w:val="17"/>
                <w:szCs w:val="17"/>
              </w:rPr>
              <w:t xml:space="preserve">Median imputation and indicators fitted within folds; fractions excluded</w:t>
            </w:r>
          </w:p>
        </w:tc>
        <w:tc>
          <w:tcPr>
            <w:tcW w:w="1227" w:type="dxa"/>
          </w:tcPr>
          <w:p>
            <w:pPr>
              <w:pStyle w:val="Compact"/>
              <w:suppressLineNumbers/>
              <w:spacing w:before="20" w:after="20" w:line="240" w:lineRule="auto"/>
              <w:ind w:left="0" w:firstLine="0"/>
              <w:jc w:val="left"/>
            </w:pPr>
            <w:r>
              <w:rPr>
                <w:sz w:val="17"/>
                <w:szCs w:val="17"/>
              </w:rPr>
              <w:t xml:space="preserve">Retained</w:t>
            </w:r>
          </w:p>
        </w:tc>
      </w:tr>
      <w:tr>
        <w:trPr>
          <w:cantSplit/>
        </w:trPr>
        <w:tc>
          <w:tcPr>
            <w:tcW w:w="1719" w:type="dxa"/>
          </w:tcPr>
          <w:p>
            <w:pPr>
              <w:pStyle w:val="Compact"/>
              <w:suppressLineNumbers/>
              <w:spacing w:before="20" w:after="20" w:line="240" w:lineRule="auto"/>
              <w:ind w:left="0" w:firstLine="0"/>
              <w:jc w:val="left"/>
            </w:pPr>
            <w:r>
              <w:rPr>
                <w:sz w:val="17"/>
                <w:szCs w:val="17"/>
              </w:rPr>
              <w:t xml:space="preserve">Protocol variables</w:t>
            </w:r>
          </w:p>
        </w:tc>
        <w:tc>
          <w:tcPr>
            <w:tcW w:w="2740" w:type="dxa"/>
          </w:tcPr>
          <w:p>
            <w:pPr>
              <w:pStyle w:val="Compact"/>
              <w:suppressLineNumbers/>
              <w:spacing w:before="20" w:after="20" w:line="240" w:lineRule="auto"/>
              <w:ind w:left="0" w:firstLine="0"/>
              <w:jc w:val="left"/>
            </w:pPr>
            <w:r>
              <w:rPr>
                <w:sz w:val="17"/>
                <w:szCs w:val="17"/>
              </w:rPr>
              <w:t xml:space="preserve">Test standard not recorded for any study; moisture at test missing for 93% of UCS and all CBR records; CBR penetration recorded for 63 of 163; CBR condition not stated for 24</w:t>
            </w:r>
          </w:p>
        </w:tc>
        <w:tc>
          <w:tcPr>
            <w:tcW w:w="1217" w:type="dxa"/>
          </w:tcPr>
          <w:p>
            <w:pPr>
              <w:pStyle w:val="Compact"/>
              <w:suppressLineNumbers/>
              <w:spacing w:before="20" w:after="20" w:line="240" w:lineRule="auto"/>
              <w:ind w:left="0" w:firstLine="0"/>
              <w:jc w:val="left"/>
            </w:pPr>
            <w:r>
              <w:rPr>
                <w:sz w:val="17"/>
                <w:szCs w:val="17"/>
              </w:rPr>
              <w:t xml:space="preserve">Most records</w:t>
            </w:r>
          </w:p>
        </w:tc>
        <w:tc>
          <w:tcPr>
            <w:tcW w:w="2455" w:type="dxa"/>
          </w:tcPr>
          <w:p>
            <w:pPr>
              <w:pStyle w:val="Compact"/>
              <w:suppressLineNumbers/>
              <w:spacing w:before="20" w:after="20" w:line="240" w:lineRule="auto"/>
              <w:ind w:left="0" w:firstLine="0"/>
              <w:jc w:val="left"/>
            </w:pPr>
            <w:r>
              <w:rPr>
                <w:sz w:val="17"/>
                <w:szCs w:val="17"/>
              </w:rPr>
              <w:t xml:space="preserve">Cannot be harmonized; condition-not-stated indicator used</w:t>
            </w:r>
          </w:p>
        </w:tc>
        <w:tc>
          <w:tcPr>
            <w:tcW w:w="1227" w:type="dxa"/>
          </w:tcPr>
          <w:p>
            <w:pPr>
              <w:pStyle w:val="Compact"/>
              <w:suppressLineNumbers/>
              <w:spacing w:before="20" w:after="20" w:line="240" w:lineRule="auto"/>
              <w:ind w:left="0" w:firstLine="0"/>
              <w:jc w:val="left"/>
            </w:pPr>
            <w:r>
              <w:rPr>
                <w:sz w:val="17"/>
                <w:szCs w:val="17"/>
              </w:rPr>
              <w:t xml:space="preserve">Limitation</w:t>
            </w:r>
          </w:p>
        </w:tc>
      </w:tr>
    </w:tbl>
    <w:p>
      <w:pPr>
        <w:pStyle w:val="TabNote"/>
        <w:suppressLineNumbers/>
      </w:pPr>
      <w:r>
        <w:t xml:space="preserve">Note: MDD = maximum dry density; OMC = optimum moisture content; QC = quality control; — = not applicable.</w:t>
      </w:r>
    </w:p>
    <w:p>
      <w:pPr>
        <w:pStyle w:val="BodyText"/>
        <w:suppressLineNumbers/>
      </w:pPr>
      <w:r>
        <w:br w:type="page"/>
      </w:r>
    </w:p>
    <w:p>
      <w:pPr>
        <w:pStyle w:val="TabCap"/>
        <w:suppressLineNumbers/>
      </w:pPr>
      <w:r>
        <w:rPr>
          <w:b/>
          <w:bCs/>
        </w:rPr>
        <w:t xml:space="preserve">Table S19</w:t>
      </w:r>
      <w:r>
        <w:t xml:space="preserve"> </w:t>
      </w:r>
      <w:r>
        <w:t xml:space="preserve">Models and validation framework</w:t>
      </w:r>
    </w:p>
    <w:tbl>
      <w:tblPr>
        <w:tblStyle w:val="Table"/>
        <w:tblW w:w="9360" w:type="dxa"/>
        <w:jc w:val="start"/>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2530"/>
        <w:gridCol w:w="6829"/>
      </w:tblGrid>
      <w:tr>
        <w:trPr>
          <w:cantSplit/>
          <w:tblHeader/>
        </w:trPr>
        <w:tc>
          <w:tcPr>
            <w:tcW w:w="2530"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Item</w:t>
            </w:r>
          </w:p>
        </w:tc>
        <w:tc>
          <w:tcPr>
            <w:tcW w:w="6829"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Specification</w:t>
            </w:r>
          </w:p>
        </w:tc>
      </w:tr>
      <w:tr>
        <w:trPr>
          <w:cantSplit/>
        </w:trPr>
        <w:tc>
          <w:tcPr>
            <w:tcW w:w="2530" w:type="dxa"/>
          </w:tcPr>
          <w:p>
            <w:pPr>
              <w:pStyle w:val="Compact"/>
              <w:suppressLineNumbers/>
              <w:spacing w:before="20" w:after="20" w:line="240" w:lineRule="auto"/>
              <w:ind w:left="0" w:firstLine="0"/>
              <w:jc w:val="left"/>
            </w:pPr>
            <w:r>
              <w:rPr>
                <w:sz w:val="17"/>
                <w:szCs w:val="17"/>
              </w:rPr>
              <w:t xml:space="preserve">Models</w:t>
            </w:r>
          </w:p>
        </w:tc>
        <w:tc>
          <w:tcPr>
            <w:tcW w:w="6829" w:type="dxa"/>
          </w:tcPr>
          <w:p>
            <w:pPr>
              <w:pStyle w:val="Compact"/>
              <w:suppressLineNumbers/>
              <w:spacing w:before="20" w:after="20" w:line="240" w:lineRule="auto"/>
              <w:ind w:left="0" w:firstLine="0"/>
              <w:jc w:val="left"/>
            </w:pPr>
            <w:r>
              <w:rPr>
                <w:sz w:val="17"/>
                <w:szCs w:val="17"/>
              </w:rPr>
              <w:t xml:space="preserve">Training mean; Ridge (α = 1); SVR (RBF kernel); GPR (Matérn 5/2 + white noise); random forest; XGBoost; LightGBM; ANN (64–32); DNN (256–128–64–32, dropout 0.2); 1-D CNN (2 × 32 filters); LSTM, GRU (32 units); hybrid A (ANN–DNN–CNN); hybrid B (LSTM–GRU–DNN); hybrid B + attention</w:t>
            </w:r>
          </w:p>
        </w:tc>
      </w:tr>
      <w:tr>
        <w:trPr>
          <w:cantSplit/>
        </w:trPr>
        <w:tc>
          <w:tcPr>
            <w:tcW w:w="2530" w:type="dxa"/>
          </w:tcPr>
          <w:p>
            <w:pPr>
              <w:pStyle w:val="Compact"/>
              <w:suppressLineNumbers/>
              <w:spacing w:before="20" w:after="20" w:line="240" w:lineRule="auto"/>
              <w:ind w:left="0" w:firstLine="0"/>
              <w:jc w:val="left"/>
            </w:pPr>
            <w:r>
              <w:rPr>
                <w:sz w:val="17"/>
                <w:szCs w:val="17"/>
              </w:rPr>
              <w:t xml:space="preserve">Preprocessing (fitted on training rows of each fold only)</w:t>
            </w:r>
          </w:p>
        </w:tc>
        <w:tc>
          <w:tcPr>
            <w:tcW w:w="6829" w:type="dxa"/>
          </w:tcPr>
          <w:p>
            <w:pPr>
              <w:pStyle w:val="Compact"/>
              <w:suppressLineNumbers/>
              <w:spacing w:before="20" w:after="20" w:line="240" w:lineRule="auto"/>
              <w:ind w:left="0" w:firstLine="0"/>
              <w:jc w:val="left"/>
            </w:pPr>
            <w:r>
              <w:rPr>
                <w:sz w:val="17"/>
                <w:szCs w:val="17"/>
              </w:rPr>
              <w:t xml:space="preserve">Median imputation; missing-value indicators; standardization; clipping at ±4 SD; prediction bound = training-target range ± 0.3 log units (results also computed unbounded)</w:t>
            </w:r>
          </w:p>
        </w:tc>
      </w:tr>
      <w:tr>
        <w:trPr>
          <w:cantSplit/>
        </w:trPr>
        <w:tc>
          <w:tcPr>
            <w:tcW w:w="2530" w:type="dxa"/>
          </w:tcPr>
          <w:p>
            <w:pPr>
              <w:pStyle w:val="Compact"/>
              <w:suppressLineNumbers/>
              <w:spacing w:before="20" w:after="20" w:line="240" w:lineRule="auto"/>
              <w:ind w:left="0" w:firstLine="0"/>
              <w:jc w:val="left"/>
            </w:pPr>
            <w:r>
              <w:rPr>
                <w:sz w:val="17"/>
                <w:szCs w:val="17"/>
              </w:rPr>
              <w:t xml:space="preserve">Network training</w:t>
            </w:r>
          </w:p>
        </w:tc>
        <w:tc>
          <w:tcPr>
            <w:tcW w:w="6829" w:type="dxa"/>
          </w:tcPr>
          <w:p>
            <w:pPr>
              <w:pStyle w:val="Compact"/>
              <w:suppressLineNumbers/>
              <w:spacing w:before="20" w:after="20" w:line="240" w:lineRule="auto"/>
              <w:ind w:left="0" w:firstLine="0"/>
              <w:jc w:val="left"/>
            </w:pPr>
            <w:r>
              <w:rPr>
                <w:sz w:val="17"/>
                <w:szCs w:val="17"/>
              </w:rPr>
              <w:t xml:space="preserve">PyTorch, full-batch AdamW (learning rate 3 × 10</w:t>
            </w:r>
            <w:r>
              <w:rPr>
                <w:sz w:val="17"/>
                <w:szCs w:val="17"/>
                <w:vertAlign w:val="superscript"/>
              </w:rPr>
              <w:t xml:space="preserve">−3</w:t>
            </w:r>
            <w:r>
              <w:rPr>
                <w:sz w:val="17"/>
                <w:szCs w:val="17"/>
              </w:rPr>
              <w:t xml:space="preserve">, weight decay 10</w:t>
            </w:r>
            <w:r>
              <w:rPr>
                <w:sz w:val="17"/>
                <w:szCs w:val="17"/>
                <w:vertAlign w:val="superscript"/>
              </w:rPr>
              <w:t xml:space="preserve">−4</w:t>
            </w:r>
            <w:r>
              <w:rPr>
                <w:sz w:val="17"/>
                <w:szCs w:val="17"/>
              </w:rPr>
              <w:t xml:space="preserve">), ≤ 2,000 epochs, early stopping (patience 150) on 15% of training studies (LOSO) or rows (random split); each prediction averages two network seeds</w:t>
            </w:r>
          </w:p>
        </w:tc>
      </w:tr>
      <w:tr>
        <w:trPr>
          <w:cantSplit/>
        </w:trPr>
        <w:tc>
          <w:tcPr>
            <w:tcW w:w="2530" w:type="dxa"/>
          </w:tcPr>
          <w:p>
            <w:pPr>
              <w:pStyle w:val="Compact"/>
              <w:suppressLineNumbers/>
              <w:spacing w:before="20" w:after="20" w:line="240" w:lineRule="auto"/>
              <w:ind w:left="0" w:firstLine="0"/>
              <w:jc w:val="left"/>
            </w:pPr>
            <w:r>
              <w:rPr>
                <w:sz w:val="17"/>
                <w:szCs w:val="17"/>
              </w:rPr>
              <w:t xml:space="preserve">Seeds</w:t>
            </w:r>
          </w:p>
        </w:tc>
        <w:tc>
          <w:tcPr>
            <w:tcW w:w="6829" w:type="dxa"/>
          </w:tcPr>
          <w:p>
            <w:pPr>
              <w:pStyle w:val="Compact"/>
              <w:suppressLineNumbers/>
              <w:spacing w:before="20" w:after="20" w:line="240" w:lineRule="auto"/>
              <w:ind w:left="0" w:firstLine="0"/>
              <w:jc w:val="left"/>
            </w:pPr>
            <w:r>
              <w:rPr>
                <w:sz w:val="17"/>
                <w:szCs w:val="17"/>
              </w:rPr>
              <w:t xml:space="preserve">Three seed sets for networks ({0,1}, {2,3}, {4,5}) and tree ensembles (0–2)</w:t>
            </w:r>
          </w:p>
        </w:tc>
      </w:tr>
      <w:tr>
        <w:trPr>
          <w:cantSplit/>
        </w:trPr>
        <w:tc>
          <w:tcPr>
            <w:tcW w:w="2530" w:type="dxa"/>
          </w:tcPr>
          <w:p>
            <w:pPr>
              <w:pStyle w:val="Compact"/>
              <w:suppressLineNumbers/>
              <w:spacing w:before="20" w:after="20" w:line="240" w:lineRule="auto"/>
              <w:ind w:left="0" w:firstLine="0"/>
              <w:jc w:val="left"/>
            </w:pPr>
            <w:r>
              <w:rPr>
                <w:sz w:val="17"/>
                <w:szCs w:val="17"/>
              </w:rPr>
              <w:t xml:space="preserve">Tuning</w:t>
            </w:r>
          </w:p>
        </w:tc>
        <w:tc>
          <w:tcPr>
            <w:tcW w:w="6829" w:type="dxa"/>
          </w:tcPr>
          <w:p>
            <w:pPr>
              <w:pStyle w:val="Compact"/>
              <w:suppressLineNumbers/>
              <w:spacing w:before="20" w:after="20" w:line="240" w:lineRule="auto"/>
              <w:ind w:left="0" w:firstLine="0"/>
              <w:jc w:val="left"/>
            </w:pPr>
            <w:r>
              <w:rPr>
                <w:sz w:val="17"/>
                <w:szCs w:val="17"/>
              </w:rPr>
              <w:t xml:space="preserve">Fixed settings for the main comparison; nested selection of model family and hyperparameters (Ridge α; SVR C, ε; XGBoost depth and trees; DNN learning rate and weight decay) by 4-fold study-grouped inner CV</w:t>
            </w:r>
          </w:p>
        </w:tc>
      </w:tr>
      <w:tr>
        <w:trPr>
          <w:cantSplit/>
        </w:trPr>
        <w:tc>
          <w:tcPr>
            <w:tcW w:w="2530" w:type="dxa"/>
          </w:tcPr>
          <w:p>
            <w:pPr>
              <w:pStyle w:val="Compact"/>
              <w:suppressLineNumbers/>
              <w:spacing w:before="20" w:after="20" w:line="240" w:lineRule="auto"/>
              <w:ind w:left="0" w:firstLine="0"/>
              <w:jc w:val="left"/>
            </w:pPr>
            <w:r>
              <w:rPr>
                <w:sz w:val="17"/>
                <w:szCs w:val="17"/>
              </w:rPr>
              <w:t xml:space="preserve">Validation designs</w:t>
            </w:r>
          </w:p>
        </w:tc>
        <w:tc>
          <w:tcPr>
            <w:tcW w:w="6829" w:type="dxa"/>
          </w:tcPr>
          <w:p>
            <w:pPr>
              <w:pStyle w:val="Compact"/>
              <w:suppressLineNumbers/>
              <w:spacing w:before="20" w:after="20" w:line="240" w:lineRule="auto"/>
              <w:ind w:left="0" w:firstLine="0"/>
              <w:jc w:val="left"/>
            </w:pPr>
            <w:r>
              <w:rPr>
                <w:sz w:val="17"/>
                <w:szCs w:val="17"/>
              </w:rPr>
              <w:t xml:space="preserve">(A) random 5-fold row split, five split seeds (interpolation-oriented); (B) leave-one-study-out (LOSO); (C) nested grouped selection within LOSO; (D) leave-one-group-out with S02 and S08 merged</w:t>
            </w:r>
          </w:p>
        </w:tc>
      </w:tr>
      <w:tr>
        <w:trPr>
          <w:cantSplit/>
        </w:trPr>
        <w:tc>
          <w:tcPr>
            <w:tcW w:w="2530" w:type="dxa"/>
          </w:tcPr>
          <w:p>
            <w:pPr>
              <w:pStyle w:val="Compact"/>
              <w:suppressLineNumbers/>
              <w:spacing w:before="20" w:after="20" w:line="240" w:lineRule="auto"/>
              <w:ind w:left="0" w:firstLine="0"/>
              <w:jc w:val="left"/>
            </w:pPr>
            <w:r>
              <w:rPr>
                <w:sz w:val="17"/>
                <w:szCs w:val="17"/>
              </w:rPr>
              <w:t xml:space="preserve">Baselines</w:t>
            </w:r>
          </w:p>
        </w:tc>
        <w:tc>
          <w:tcPr>
            <w:tcW w:w="6829" w:type="dxa"/>
          </w:tcPr>
          <w:p>
            <w:pPr>
              <w:pStyle w:val="Compact"/>
              <w:suppressLineNumbers/>
              <w:spacing w:before="20" w:after="20" w:line="240" w:lineRule="auto"/>
              <w:ind w:left="0" w:firstLine="0"/>
              <w:jc w:val="left"/>
            </w:pPr>
            <w:r>
              <w:rPr>
                <w:sz w:val="17"/>
                <w:szCs w:val="17"/>
              </w:rPr>
              <w:t xml:space="preserve">Training mean and Ridge, evaluated on exactly the same held-out records</w:t>
            </w:r>
          </w:p>
        </w:tc>
      </w:tr>
      <w:tr>
        <w:trPr>
          <w:cantSplit/>
        </w:trPr>
        <w:tc>
          <w:tcPr>
            <w:tcW w:w="2530" w:type="dxa"/>
          </w:tcPr>
          <w:p>
            <w:pPr>
              <w:pStyle w:val="Compact"/>
              <w:suppressLineNumbers/>
              <w:spacing w:before="20" w:after="20" w:line="240" w:lineRule="auto"/>
              <w:ind w:left="0" w:firstLine="0"/>
              <w:jc w:val="left"/>
            </w:pPr>
            <w:r>
              <w:rPr>
                <w:sz w:val="17"/>
                <w:szCs w:val="17"/>
              </w:rPr>
              <w:t xml:space="preserve">Metrics</w:t>
            </w:r>
          </w:p>
        </w:tc>
        <w:tc>
          <w:tcPr>
            <w:tcW w:w="6829" w:type="dxa"/>
          </w:tcPr>
          <w:p>
            <w:pPr>
              <w:pStyle w:val="Compact"/>
              <w:suppressLineNumbers/>
              <w:spacing w:before="20" w:after="20" w:line="240" w:lineRule="auto"/>
              <w:ind w:left="0" w:firstLine="0"/>
              <w:jc w:val="left"/>
            </w:pPr>
            <w:r>
              <w:rPr>
                <w:sz w:val="17"/>
                <w:szCs w:val="17"/>
              </w:rPr>
              <w:t xml:space="preserve">Pooled R², RMSE and bias on the log</w:t>
            </w:r>
            <w:r>
              <w:rPr>
                <w:sz w:val="17"/>
                <w:szCs w:val="17"/>
                <w:vertAlign w:val="subscript"/>
              </w:rPr>
              <w:t xml:space="preserve">10</w:t>
            </w:r>
            <w:r>
              <w:rPr>
                <w:sz w:val="17"/>
                <w:szCs w:val="17"/>
              </w:rPr>
              <w:t xml:space="preserve"> </w:t>
            </w:r>
            <w:r>
              <w:rPr>
                <w:sz w:val="17"/>
                <w:szCs w:val="17"/>
              </w:rPr>
              <w:t xml:space="preserve">target; RMSE and MAE in kPa or %; median absolute percentage error; RMSE of each held-out study (log units) and its mean across studies</w:t>
            </w:r>
          </w:p>
        </w:tc>
      </w:tr>
      <w:tr>
        <w:trPr>
          <w:cantSplit/>
        </w:trPr>
        <w:tc>
          <w:tcPr>
            <w:tcW w:w="2530" w:type="dxa"/>
          </w:tcPr>
          <w:p>
            <w:pPr>
              <w:pStyle w:val="Compact"/>
              <w:suppressLineNumbers/>
              <w:spacing w:before="20" w:after="20" w:line="240" w:lineRule="auto"/>
              <w:ind w:left="0" w:firstLine="0"/>
              <w:jc w:val="left"/>
            </w:pPr>
            <w:r>
              <w:rPr>
                <w:sz w:val="17"/>
                <w:szCs w:val="17"/>
              </w:rPr>
              <w:t xml:space="preserve">Comparison</w:t>
            </w:r>
          </w:p>
        </w:tc>
        <w:tc>
          <w:tcPr>
            <w:tcW w:w="6829" w:type="dxa"/>
          </w:tcPr>
          <w:p>
            <w:pPr>
              <w:pStyle w:val="Compact"/>
              <w:suppressLineNumbers/>
              <w:spacing w:before="20" w:after="20" w:line="240" w:lineRule="auto"/>
              <w:ind w:left="0" w:firstLine="0"/>
              <w:jc w:val="left"/>
            </w:pPr>
            <w:r>
              <w:rPr>
                <w:sz w:val="17"/>
                <w:szCs w:val="17"/>
              </w:rPr>
              <w:t xml:space="preserve">Paired per-study RMSE differences against the training mean; 95% study-bootstrap CI (5,000 resamples); Wilcoxon signed-rank test with Holm adjustment over 14 models; standardized effect size d</w:t>
            </w:r>
            <w:r>
              <w:rPr>
                <w:sz w:val="17"/>
                <w:szCs w:val="17"/>
                <w:vertAlign w:val="subscript"/>
              </w:rPr>
              <w:t xml:space="preserve">z</w:t>
            </w:r>
          </w:p>
        </w:tc>
      </w:tr>
    </w:tbl>
    <w:p>
      <w:pPr>
        <w:pStyle w:val="TabNote"/>
        <w:suppressLineNumbers/>
      </w:pPr>
      <w:r>
        <w:t xml:space="preserve">Note: ANN = artificial neural network; CNN = convolutional neural network; DNN = deep neural network; GPR = Gaussian-process regression; GRU = gated recurrent unit; LSTM = long short-term memory network; MAE = mean absolute error; RBF = radial basis function; RMSE = root-mean-square error; SVR = support vector regression.</w:t>
      </w:r>
    </w:p>
    <w:p>
      <w:pPr>
        <w:pStyle w:val="BodyText"/>
        <w:suppressLineNumbers/>
      </w:pPr>
      <w:r>
        <w:br w:type="page"/>
      </w:r>
    </w:p>
    <w:p>
      <w:pPr>
        <w:pStyle w:val="TabCap"/>
        <w:suppressLineNumbers/>
      </w:pPr>
      <w:r>
        <w:rPr>
          <w:b/>
          <w:bCs/>
        </w:rPr>
        <w:t xml:space="preserve">Table S20</w:t>
      </w:r>
      <w:r>
        <w:t xml:space="preserve"> </w:t>
      </w:r>
      <w:r>
        <w:t xml:space="preserve">Robustness checks and limitations</w:t>
      </w:r>
    </w:p>
    <w:tbl>
      <w:tblPr>
        <w:tblStyle w:val="Table"/>
        <w:tblW w:w="9360" w:type="dxa"/>
        <w:jc w:val="start"/>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2165"/>
        <w:gridCol w:w="2476"/>
        <w:gridCol w:w="2314"/>
        <w:gridCol w:w="2402"/>
      </w:tblGrid>
      <w:tr>
        <w:trPr>
          <w:cantSplit/>
          <w:tblHeader/>
        </w:trPr>
        <w:tc>
          <w:tcPr>
            <w:tcW w:w="2165"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Issue</w:t>
            </w:r>
          </w:p>
        </w:tc>
        <w:tc>
          <w:tcPr>
            <w:tcW w:w="2476"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Test</w:t>
            </w:r>
          </w:p>
        </w:tc>
        <w:tc>
          <w:tcPr>
            <w:tcW w:w="2314"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Result</w:t>
            </w:r>
          </w:p>
        </w:tc>
        <w:tc>
          <w:tcPr>
            <w:tcW w:w="2402"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Implication</w:t>
            </w:r>
          </w:p>
        </w:tc>
      </w:tr>
      <w:tr>
        <w:trPr>
          <w:cantSplit/>
        </w:trPr>
        <w:tc>
          <w:tcPr>
            <w:tcW w:w="2165" w:type="dxa"/>
          </w:tcPr>
          <w:p>
            <w:pPr>
              <w:pStyle w:val="Compact"/>
              <w:suppressLineNumbers/>
              <w:spacing w:before="20" w:after="20" w:line="240" w:lineRule="auto"/>
              <w:ind w:left="0" w:firstLine="0"/>
              <w:jc w:val="left"/>
            </w:pPr>
            <w:r>
              <w:rPr>
                <w:sz w:val="17"/>
                <w:szCs w:val="17"/>
              </w:rPr>
              <w:t xml:space="preserve">Random-split optimism</w:t>
            </w:r>
          </w:p>
        </w:tc>
        <w:tc>
          <w:tcPr>
            <w:tcW w:w="2476" w:type="dxa"/>
          </w:tcPr>
          <w:p>
            <w:pPr>
              <w:pStyle w:val="Compact"/>
              <w:suppressLineNumbers/>
              <w:spacing w:before="20" w:after="20" w:line="240" w:lineRule="auto"/>
              <w:ind w:left="0" w:firstLine="0"/>
              <w:jc w:val="left"/>
            </w:pPr>
            <w:r>
              <w:rPr>
                <w:sz w:val="17"/>
                <w:szCs w:val="17"/>
              </w:rPr>
              <w:t xml:space="preserve">Random 5-fold, five split seeds, vs LOSO</w:t>
            </w:r>
          </w:p>
        </w:tc>
        <w:tc>
          <w:tcPr>
            <w:tcW w:w="2314" w:type="dxa"/>
          </w:tcPr>
          <w:p>
            <w:pPr>
              <w:pStyle w:val="Compact"/>
              <w:suppressLineNumbers/>
              <w:spacing w:before="20" w:after="20" w:line="240" w:lineRule="auto"/>
              <w:ind w:left="0" w:firstLine="0"/>
              <w:jc w:val="left"/>
            </w:pPr>
            <w:r>
              <w:rPr>
                <w:sz w:val="17"/>
                <w:szCs w:val="17"/>
              </w:rPr>
              <w:t xml:space="preserve">R² 0.90–0.96 (UCS) vs ≤ 0.15</w:t>
            </w:r>
          </w:p>
        </w:tc>
        <w:tc>
          <w:tcPr>
            <w:tcW w:w="2402" w:type="dxa"/>
          </w:tcPr>
          <w:p>
            <w:pPr>
              <w:pStyle w:val="Compact"/>
              <w:suppressLineNumbers/>
              <w:spacing w:before="20" w:after="20" w:line="240" w:lineRule="auto"/>
              <w:ind w:left="0" w:firstLine="0"/>
              <w:jc w:val="left"/>
            </w:pPr>
            <w:r>
              <w:rPr>
                <w:sz w:val="17"/>
                <w:szCs w:val="17"/>
              </w:rPr>
              <w:t xml:space="preserve">Study-wise validation required</w:t>
            </w:r>
          </w:p>
        </w:tc>
      </w:tr>
      <w:tr>
        <w:trPr>
          <w:cantSplit/>
        </w:trPr>
        <w:tc>
          <w:tcPr>
            <w:tcW w:w="2165" w:type="dxa"/>
          </w:tcPr>
          <w:p>
            <w:pPr>
              <w:pStyle w:val="Compact"/>
              <w:suppressLineNumbers/>
              <w:spacing w:before="20" w:after="20" w:line="240" w:lineRule="auto"/>
              <w:ind w:left="0" w:firstLine="0"/>
              <w:jc w:val="left"/>
            </w:pPr>
            <w:r>
              <w:rPr>
                <w:sz w:val="17"/>
                <w:szCs w:val="17"/>
              </w:rPr>
              <w:t xml:space="preserve">Seed variability</w:t>
            </w:r>
          </w:p>
        </w:tc>
        <w:tc>
          <w:tcPr>
            <w:tcW w:w="2476" w:type="dxa"/>
          </w:tcPr>
          <w:p>
            <w:pPr>
              <w:pStyle w:val="Compact"/>
              <w:suppressLineNumbers/>
              <w:spacing w:before="20" w:after="20" w:line="240" w:lineRule="auto"/>
              <w:ind w:left="0" w:firstLine="0"/>
              <w:jc w:val="left"/>
            </w:pPr>
            <w:r>
              <w:rPr>
                <w:sz w:val="17"/>
                <w:szCs w:val="17"/>
              </w:rPr>
              <w:t xml:space="preserve">Three seed sets</w:t>
            </w:r>
          </w:p>
        </w:tc>
        <w:tc>
          <w:tcPr>
            <w:tcW w:w="2314" w:type="dxa"/>
          </w:tcPr>
          <w:p>
            <w:pPr>
              <w:pStyle w:val="Compact"/>
              <w:suppressLineNumbers/>
              <w:spacing w:before="20" w:after="20" w:line="240" w:lineRule="auto"/>
              <w:ind w:left="0" w:firstLine="0"/>
              <w:jc w:val="left"/>
            </w:pPr>
            <w:r>
              <w:rPr>
                <w:sz w:val="17"/>
                <w:szCs w:val="17"/>
              </w:rPr>
              <w:t xml:space="preserve">Network UCS R² varies by 0.08–0.37</w:t>
            </w:r>
          </w:p>
        </w:tc>
        <w:tc>
          <w:tcPr>
            <w:tcW w:w="2402" w:type="dxa"/>
          </w:tcPr>
          <w:p>
            <w:pPr>
              <w:pStyle w:val="Compact"/>
              <w:suppressLineNumbers/>
              <w:spacing w:before="20" w:after="20" w:line="240" w:lineRule="auto"/>
              <w:ind w:left="0" w:firstLine="0"/>
              <w:jc w:val="left"/>
            </w:pPr>
            <w:r>
              <w:rPr>
                <w:sz w:val="17"/>
                <w:szCs w:val="17"/>
              </w:rPr>
              <w:t xml:space="preserve">Single-seed rankings unreliable</w:t>
            </w:r>
          </w:p>
        </w:tc>
      </w:tr>
      <w:tr>
        <w:trPr>
          <w:cantSplit/>
        </w:trPr>
        <w:tc>
          <w:tcPr>
            <w:tcW w:w="2165" w:type="dxa"/>
          </w:tcPr>
          <w:p>
            <w:pPr>
              <w:pStyle w:val="Compact"/>
              <w:suppressLineNumbers/>
              <w:spacing w:before="20" w:after="20" w:line="240" w:lineRule="auto"/>
              <w:ind w:left="0" w:firstLine="0"/>
              <w:jc w:val="left"/>
            </w:pPr>
            <w:r>
              <w:rPr>
                <w:sz w:val="17"/>
                <w:szCs w:val="17"/>
              </w:rPr>
              <w:t xml:space="preserve">Model selection leakage</w:t>
            </w:r>
          </w:p>
        </w:tc>
        <w:tc>
          <w:tcPr>
            <w:tcW w:w="2476" w:type="dxa"/>
          </w:tcPr>
          <w:p>
            <w:pPr>
              <w:pStyle w:val="Compact"/>
              <w:suppressLineNumbers/>
              <w:spacing w:before="20" w:after="20" w:line="240" w:lineRule="auto"/>
              <w:ind w:left="0" w:firstLine="0"/>
              <w:jc w:val="left"/>
            </w:pPr>
            <w:r>
              <w:rPr>
                <w:sz w:val="17"/>
                <w:szCs w:val="17"/>
              </w:rPr>
              <w:t xml:space="preserve">Nested study-grouped selection</w:t>
            </w:r>
          </w:p>
        </w:tc>
        <w:tc>
          <w:tcPr>
            <w:tcW w:w="2314" w:type="dxa"/>
          </w:tcPr>
          <w:p>
            <w:pPr>
              <w:pStyle w:val="Compact"/>
              <w:suppressLineNumbers/>
              <w:spacing w:before="20" w:after="20" w:line="240" w:lineRule="auto"/>
              <w:ind w:left="0" w:firstLine="0"/>
              <w:jc w:val="left"/>
            </w:pPr>
            <w:r>
              <w:rPr>
                <w:sz w:val="17"/>
                <w:szCs w:val="17"/>
              </w:rPr>
              <w:t xml:space="preserve">R² 0.15 (UCS), −0.12 (CBR)</w:t>
            </w:r>
          </w:p>
        </w:tc>
        <w:tc>
          <w:tcPr>
            <w:tcW w:w="2402" w:type="dxa"/>
          </w:tcPr>
          <w:p>
            <w:pPr>
              <w:pStyle w:val="Compact"/>
              <w:suppressLineNumbers/>
              <w:spacing w:before="20" w:after="20" w:line="240" w:lineRule="auto"/>
              <w:ind w:left="0" w:firstLine="0"/>
              <w:jc w:val="left"/>
            </w:pPr>
            <w:r>
              <w:rPr>
                <w:sz w:val="17"/>
                <w:szCs w:val="17"/>
              </w:rPr>
              <w:t xml:space="preserve">No gain over fixed models</w:t>
            </w:r>
          </w:p>
        </w:tc>
      </w:tr>
      <w:tr>
        <w:trPr>
          <w:cantSplit/>
        </w:trPr>
        <w:tc>
          <w:tcPr>
            <w:tcW w:w="2165" w:type="dxa"/>
          </w:tcPr>
          <w:p>
            <w:pPr>
              <w:pStyle w:val="Compact"/>
              <w:suppressLineNumbers/>
              <w:spacing w:before="20" w:after="20" w:line="240" w:lineRule="auto"/>
              <w:ind w:left="0" w:firstLine="0"/>
              <w:jc w:val="left"/>
            </w:pPr>
            <w:r>
              <w:rPr>
                <w:sz w:val="17"/>
                <w:szCs w:val="17"/>
              </w:rPr>
              <w:t xml:space="preserve">Influential studies</w:t>
            </w:r>
          </w:p>
        </w:tc>
        <w:tc>
          <w:tcPr>
            <w:tcW w:w="2476" w:type="dxa"/>
          </w:tcPr>
          <w:p>
            <w:pPr>
              <w:pStyle w:val="Compact"/>
              <w:suppressLineNumbers/>
              <w:spacing w:before="20" w:after="20" w:line="240" w:lineRule="auto"/>
              <w:ind w:left="0" w:firstLine="0"/>
              <w:jc w:val="left"/>
            </w:pPr>
            <w:r>
              <w:rPr>
                <w:sz w:val="17"/>
                <w:szCs w:val="17"/>
              </w:rPr>
              <w:t xml:space="preserve">Remove each study from the evaluation</w:t>
            </w:r>
          </w:p>
        </w:tc>
        <w:tc>
          <w:tcPr>
            <w:tcW w:w="2314" w:type="dxa"/>
          </w:tcPr>
          <w:p>
            <w:pPr>
              <w:pStyle w:val="Compact"/>
              <w:suppressLineNumbers/>
              <w:spacing w:before="20" w:after="20" w:line="240" w:lineRule="auto"/>
              <w:ind w:left="0" w:firstLine="0"/>
              <w:jc w:val="left"/>
            </w:pPr>
            <w:r>
              <w:rPr>
                <w:sz w:val="17"/>
                <w:szCs w:val="17"/>
              </w:rPr>
              <w:t xml:space="preserve">SVR UCS R² −0.29 to 0.25</w:t>
            </w:r>
          </w:p>
        </w:tc>
        <w:tc>
          <w:tcPr>
            <w:tcW w:w="2402" w:type="dxa"/>
          </w:tcPr>
          <w:p>
            <w:pPr>
              <w:pStyle w:val="Compact"/>
              <w:suppressLineNumbers/>
              <w:spacing w:before="20" w:after="20" w:line="240" w:lineRule="auto"/>
              <w:ind w:left="0" w:firstLine="0"/>
              <w:jc w:val="left"/>
            </w:pPr>
            <w:r>
              <w:rPr>
                <w:sz w:val="17"/>
                <w:szCs w:val="17"/>
              </w:rPr>
              <w:t xml:space="preserve">Pooled R² fragile</w:t>
            </w:r>
          </w:p>
        </w:tc>
      </w:tr>
      <w:tr>
        <w:trPr>
          <w:cantSplit/>
        </w:trPr>
        <w:tc>
          <w:tcPr>
            <w:tcW w:w="2165" w:type="dxa"/>
          </w:tcPr>
          <w:p>
            <w:pPr>
              <w:pStyle w:val="Compact"/>
              <w:suppressLineNumbers/>
              <w:spacing w:before="20" w:after="20" w:line="240" w:lineRule="auto"/>
              <w:ind w:left="0" w:firstLine="0"/>
              <w:jc w:val="left"/>
            </w:pPr>
            <w:r>
              <w:rPr>
                <w:sz w:val="17"/>
                <w:szCs w:val="17"/>
              </w:rPr>
              <w:t xml:space="preserve">Missing-value indicators</w:t>
            </w:r>
          </w:p>
        </w:tc>
        <w:tc>
          <w:tcPr>
            <w:tcW w:w="2476" w:type="dxa"/>
          </w:tcPr>
          <w:p>
            <w:pPr>
              <w:pStyle w:val="Compact"/>
              <w:suppressLineNumbers/>
              <w:spacing w:before="20" w:after="20" w:line="240" w:lineRule="auto"/>
              <w:ind w:left="0" w:firstLine="0"/>
              <w:jc w:val="left"/>
            </w:pPr>
            <w:r>
              <w:rPr>
                <w:sz w:val="17"/>
                <w:szCs w:val="17"/>
              </w:rPr>
              <w:t xml:space="preserve">Remove all indicators</w:t>
            </w:r>
          </w:p>
        </w:tc>
        <w:tc>
          <w:tcPr>
            <w:tcW w:w="2314" w:type="dxa"/>
          </w:tcPr>
          <w:p>
            <w:pPr>
              <w:pStyle w:val="Compact"/>
              <w:suppressLineNumbers/>
              <w:spacing w:before="20" w:after="20" w:line="240" w:lineRule="auto"/>
              <w:ind w:left="0" w:firstLine="0"/>
              <w:jc w:val="left"/>
            </w:pPr>
            <w:r>
              <w:rPr>
                <w:sz w:val="17"/>
                <w:szCs w:val="17"/>
              </w:rPr>
              <w:t xml:space="preserve">Pooled SVR R² 0.15 → −0.09; per-study RMSE +0.003</w:t>
            </w:r>
          </w:p>
        </w:tc>
        <w:tc>
          <w:tcPr>
            <w:tcW w:w="2402" w:type="dxa"/>
          </w:tcPr>
          <w:p>
            <w:pPr>
              <w:pStyle w:val="Compact"/>
              <w:suppressLineNumbers/>
              <w:spacing w:before="20" w:after="20" w:line="240" w:lineRule="auto"/>
              <w:ind w:left="0" w:firstLine="0"/>
              <w:jc w:val="left"/>
            </w:pPr>
            <w:r>
              <w:rPr>
                <w:sz w:val="17"/>
                <w:szCs w:val="17"/>
              </w:rPr>
              <w:t xml:space="preserve">Pooled UCS result not robust</w:t>
            </w:r>
          </w:p>
        </w:tc>
      </w:tr>
      <w:tr>
        <w:trPr>
          <w:cantSplit/>
        </w:trPr>
        <w:tc>
          <w:tcPr>
            <w:tcW w:w="2165" w:type="dxa"/>
          </w:tcPr>
          <w:p>
            <w:pPr>
              <w:pStyle w:val="Compact"/>
              <w:suppressLineNumbers/>
              <w:spacing w:before="20" w:after="20" w:line="240" w:lineRule="auto"/>
              <w:ind w:left="0" w:firstLine="0"/>
              <w:jc w:val="left"/>
            </w:pPr>
            <w:r>
              <w:rPr>
                <w:sz w:val="17"/>
                <w:szCs w:val="17"/>
              </w:rPr>
              <w:t xml:space="preserve">Feature order</w:t>
            </w:r>
          </w:p>
        </w:tc>
        <w:tc>
          <w:tcPr>
            <w:tcW w:w="2476" w:type="dxa"/>
          </w:tcPr>
          <w:p>
            <w:pPr>
              <w:pStyle w:val="Compact"/>
              <w:suppressLineNumbers/>
              <w:spacing w:before="20" w:after="20" w:line="240" w:lineRule="auto"/>
              <w:ind w:left="0" w:firstLine="0"/>
              <w:jc w:val="left"/>
            </w:pPr>
            <w:r>
              <w:rPr>
                <w:sz w:val="17"/>
                <w:szCs w:val="17"/>
              </w:rPr>
              <w:t xml:space="preserve">Four orders for CNN, LSTM, hybrid B</w:t>
            </w:r>
          </w:p>
        </w:tc>
        <w:tc>
          <w:tcPr>
            <w:tcW w:w="2314" w:type="dxa"/>
          </w:tcPr>
          <w:p>
            <w:pPr>
              <w:pStyle w:val="Compact"/>
              <w:suppressLineNumbers/>
              <w:spacing w:before="20" w:after="20" w:line="240" w:lineRule="auto"/>
              <w:ind w:left="0" w:firstLine="0"/>
              <w:jc w:val="left"/>
            </w:pPr>
            <w:r>
              <w:rPr>
                <w:sz w:val="17"/>
                <w:szCs w:val="17"/>
              </w:rPr>
              <w:t xml:space="preserve">Effect as large as seed effect</w:t>
            </w:r>
          </w:p>
        </w:tc>
        <w:tc>
          <w:tcPr>
            <w:tcW w:w="2402" w:type="dxa"/>
          </w:tcPr>
          <w:p>
            <w:pPr>
              <w:pStyle w:val="Compact"/>
              <w:suppressLineNumbers/>
              <w:spacing w:before="20" w:after="20" w:line="240" w:lineRule="auto"/>
              <w:ind w:left="0" w:firstLine="0"/>
              <w:jc w:val="left"/>
            </w:pPr>
            <w:r>
              <w:rPr>
                <w:sz w:val="17"/>
                <w:szCs w:val="17"/>
              </w:rPr>
              <w:t xml:space="preserve">Sequence branches not justified</w:t>
            </w:r>
          </w:p>
        </w:tc>
      </w:tr>
      <w:tr>
        <w:trPr>
          <w:cantSplit/>
        </w:trPr>
        <w:tc>
          <w:tcPr>
            <w:tcW w:w="2165" w:type="dxa"/>
          </w:tcPr>
          <w:p>
            <w:pPr>
              <w:pStyle w:val="Compact"/>
              <w:suppressLineNumbers/>
              <w:spacing w:before="20" w:after="20" w:line="240" w:lineRule="auto"/>
              <w:ind w:left="0" w:firstLine="0"/>
              <w:jc w:val="left"/>
            </w:pPr>
            <w:r>
              <w:rPr>
                <w:sz w:val="17"/>
                <w:szCs w:val="17"/>
              </w:rPr>
              <w:t xml:space="preserve">Related studies</w:t>
            </w:r>
          </w:p>
        </w:tc>
        <w:tc>
          <w:tcPr>
            <w:tcW w:w="2476" w:type="dxa"/>
          </w:tcPr>
          <w:p>
            <w:pPr>
              <w:pStyle w:val="Compact"/>
              <w:suppressLineNumbers/>
              <w:spacing w:before="20" w:after="20" w:line="240" w:lineRule="auto"/>
              <w:ind w:left="0" w:firstLine="0"/>
              <w:jc w:val="left"/>
            </w:pPr>
            <w:r>
              <w:rPr>
                <w:sz w:val="17"/>
                <w:szCs w:val="17"/>
              </w:rPr>
              <w:t xml:space="preserve">S02 and S08 held out together</w:t>
            </w:r>
          </w:p>
        </w:tc>
        <w:tc>
          <w:tcPr>
            <w:tcW w:w="2314" w:type="dxa"/>
          </w:tcPr>
          <w:p>
            <w:pPr>
              <w:pStyle w:val="Compact"/>
              <w:suppressLineNumbers/>
              <w:spacing w:before="20" w:after="20" w:line="240" w:lineRule="auto"/>
              <w:ind w:left="0" w:firstLine="0"/>
              <w:jc w:val="left"/>
            </w:pPr>
            <w:r>
              <w:rPr>
                <w:sz w:val="17"/>
                <w:szCs w:val="17"/>
              </w:rPr>
              <w:t xml:space="preserve">Classical R² change ≤ 0.05</w:t>
            </w:r>
          </w:p>
        </w:tc>
        <w:tc>
          <w:tcPr>
            <w:tcW w:w="2402" w:type="dxa"/>
          </w:tcPr>
          <w:p>
            <w:pPr>
              <w:pStyle w:val="Compact"/>
              <w:suppressLineNumbers/>
              <w:spacing w:before="20" w:after="20" w:line="240" w:lineRule="auto"/>
              <w:ind w:left="0" w:firstLine="0"/>
              <w:jc w:val="left"/>
            </w:pPr>
            <w:r>
              <w:rPr>
                <w:sz w:val="17"/>
                <w:szCs w:val="17"/>
              </w:rPr>
              <w:t xml:space="preserve">Conclusions unchanged</w:t>
            </w:r>
          </w:p>
        </w:tc>
      </w:tr>
      <w:tr>
        <w:trPr>
          <w:cantSplit/>
        </w:trPr>
        <w:tc>
          <w:tcPr>
            <w:tcW w:w="2165" w:type="dxa"/>
          </w:tcPr>
          <w:p>
            <w:pPr>
              <w:pStyle w:val="Compact"/>
              <w:suppressLineNumbers/>
              <w:spacing w:before="20" w:after="20" w:line="240" w:lineRule="auto"/>
              <w:ind w:left="0" w:firstLine="0"/>
              <w:jc w:val="left"/>
            </w:pPr>
            <w:r>
              <w:rPr>
                <w:sz w:val="17"/>
                <w:szCs w:val="17"/>
              </w:rPr>
              <w:t xml:space="preserve">Censored CBR</w:t>
            </w:r>
          </w:p>
        </w:tc>
        <w:tc>
          <w:tcPr>
            <w:tcW w:w="2476" w:type="dxa"/>
          </w:tcPr>
          <w:p>
            <w:pPr>
              <w:pStyle w:val="Compact"/>
              <w:suppressLineNumbers/>
              <w:spacing w:before="20" w:after="20" w:line="240" w:lineRule="auto"/>
              <w:ind w:left="0" w:firstLine="0"/>
              <w:jc w:val="left"/>
            </w:pPr>
            <w:r>
              <w:rPr>
                <w:sz w:val="17"/>
                <w:szCs w:val="17"/>
              </w:rPr>
              <w:t xml:space="preserve">Exclude 5 values</w:t>
            </w:r>
          </w:p>
        </w:tc>
        <w:tc>
          <w:tcPr>
            <w:tcW w:w="2314" w:type="dxa"/>
          </w:tcPr>
          <w:p>
            <w:pPr>
              <w:pStyle w:val="Compact"/>
              <w:suppressLineNumbers/>
              <w:spacing w:before="20" w:after="20" w:line="240" w:lineRule="auto"/>
              <w:ind w:left="0" w:firstLine="0"/>
              <w:jc w:val="left"/>
            </w:pPr>
            <w:r>
              <w:rPr>
                <w:sz w:val="17"/>
                <w:szCs w:val="17"/>
              </w:rPr>
              <w:t xml:space="preserve">ΔR² −0.09 to +0.01</w:t>
            </w:r>
          </w:p>
        </w:tc>
        <w:tc>
          <w:tcPr>
            <w:tcW w:w="2402" w:type="dxa"/>
          </w:tcPr>
          <w:p>
            <w:pPr>
              <w:pStyle w:val="Compact"/>
              <w:suppressLineNumbers/>
              <w:spacing w:before="20" w:after="20" w:line="240" w:lineRule="auto"/>
              <w:ind w:left="0" w:firstLine="0"/>
              <w:jc w:val="left"/>
            </w:pPr>
            <w:r>
              <w:rPr>
                <w:sz w:val="17"/>
                <w:szCs w:val="17"/>
              </w:rPr>
              <w:t xml:space="preserve">Conclusions unchanged</w:t>
            </w:r>
          </w:p>
        </w:tc>
      </w:tr>
      <w:tr>
        <w:trPr>
          <w:cantSplit/>
        </w:trPr>
        <w:tc>
          <w:tcPr>
            <w:tcW w:w="2165" w:type="dxa"/>
          </w:tcPr>
          <w:p>
            <w:pPr>
              <w:pStyle w:val="Compact"/>
              <w:suppressLineNumbers/>
              <w:spacing w:before="20" w:after="20" w:line="240" w:lineRule="auto"/>
              <w:ind w:left="0" w:firstLine="0"/>
              <w:jc w:val="left"/>
            </w:pPr>
            <w:r>
              <w:rPr>
                <w:sz w:val="17"/>
                <w:szCs w:val="17"/>
              </w:rPr>
              <w:t xml:space="preserve">Multiplicity</w:t>
            </w:r>
          </w:p>
        </w:tc>
        <w:tc>
          <w:tcPr>
            <w:tcW w:w="2476" w:type="dxa"/>
          </w:tcPr>
          <w:p>
            <w:pPr>
              <w:pStyle w:val="Compact"/>
              <w:suppressLineNumbers/>
              <w:spacing w:before="20" w:after="20" w:line="240" w:lineRule="auto"/>
              <w:ind w:left="0" w:firstLine="0"/>
              <w:jc w:val="left"/>
            </w:pPr>
            <w:r>
              <w:rPr>
                <w:sz w:val="17"/>
                <w:szCs w:val="17"/>
              </w:rPr>
              <w:t xml:space="preserve">Holm adjustment over 14 models</w:t>
            </w:r>
          </w:p>
        </w:tc>
        <w:tc>
          <w:tcPr>
            <w:tcW w:w="2314" w:type="dxa"/>
          </w:tcPr>
          <w:p>
            <w:pPr>
              <w:pStyle w:val="Compact"/>
              <w:suppressLineNumbers/>
              <w:spacing w:before="20" w:after="20" w:line="240" w:lineRule="auto"/>
              <w:ind w:left="0" w:firstLine="0"/>
              <w:jc w:val="left"/>
            </w:pPr>
            <w:r>
              <w:rPr>
                <w:sz w:val="17"/>
                <w:szCs w:val="17"/>
              </w:rPr>
              <w:t xml:space="preserve">All adjusted p = 1.0</w:t>
            </w:r>
          </w:p>
        </w:tc>
        <w:tc>
          <w:tcPr>
            <w:tcW w:w="2402" w:type="dxa"/>
          </w:tcPr>
          <w:p>
            <w:pPr>
              <w:pStyle w:val="Compact"/>
              <w:suppressLineNumbers/>
              <w:spacing w:before="20" w:after="20" w:line="240" w:lineRule="auto"/>
              <w:ind w:left="0" w:firstLine="0"/>
              <w:jc w:val="left"/>
            </w:pPr>
            <w:r>
              <w:rPr>
                <w:sz w:val="17"/>
                <w:szCs w:val="17"/>
              </w:rPr>
              <w:t xml:space="preserve">No model better than the mean</w:t>
            </w:r>
          </w:p>
        </w:tc>
      </w:tr>
      <w:tr>
        <w:trPr>
          <w:cantSplit/>
        </w:trPr>
        <w:tc>
          <w:tcPr>
            <w:tcW w:w="2165" w:type="dxa"/>
          </w:tcPr>
          <w:p>
            <w:pPr>
              <w:pStyle w:val="Compact"/>
              <w:suppressLineNumbers/>
              <w:spacing w:before="20" w:after="20" w:line="240" w:lineRule="auto"/>
              <w:ind w:left="0" w:firstLine="0"/>
              <w:jc w:val="left"/>
            </w:pPr>
            <w:r>
              <w:rPr>
                <w:sz w:val="17"/>
                <w:szCs w:val="17"/>
              </w:rPr>
              <w:t xml:space="preserve">Local calibration</w:t>
            </w:r>
          </w:p>
        </w:tc>
        <w:tc>
          <w:tcPr>
            <w:tcW w:w="2476" w:type="dxa"/>
          </w:tcPr>
          <w:p>
            <w:pPr>
              <w:pStyle w:val="Compact"/>
              <w:suppressLineNumbers/>
              <w:spacing w:before="20" w:after="20" w:line="240" w:lineRule="auto"/>
              <w:ind w:left="0" w:firstLine="0"/>
              <w:jc w:val="left"/>
            </w:pPr>
            <w:r>
              <w:rPr>
                <w:sz w:val="17"/>
                <w:szCs w:val="17"/>
              </w:rPr>
              <w:t xml:space="preserve">Simulation (300 draws) and one external study</w:t>
            </w:r>
          </w:p>
        </w:tc>
        <w:tc>
          <w:tcPr>
            <w:tcW w:w="2314" w:type="dxa"/>
          </w:tcPr>
          <w:p>
            <w:pPr>
              <w:pStyle w:val="Compact"/>
              <w:suppressLineNumbers/>
              <w:spacing w:before="20" w:after="20" w:line="240" w:lineRule="auto"/>
              <w:ind w:left="0" w:firstLine="0"/>
              <w:jc w:val="left"/>
            </w:pPr>
            <w:r>
              <w:rPr>
                <w:sz w:val="17"/>
                <w:szCs w:val="17"/>
              </w:rPr>
              <w:t xml:space="preserve">Gain in simulation; no gain from untreated control externally</w:t>
            </w:r>
          </w:p>
        </w:tc>
        <w:tc>
          <w:tcPr>
            <w:tcW w:w="2402" w:type="dxa"/>
          </w:tcPr>
          <w:p>
            <w:pPr>
              <w:pStyle w:val="Compact"/>
              <w:suppressLineNumbers/>
              <w:spacing w:before="20" w:after="20" w:line="240" w:lineRule="auto"/>
              <w:ind w:left="0" w:firstLine="0"/>
              <w:jc w:val="left"/>
            </w:pPr>
            <w:r>
              <w:rPr>
                <w:sz w:val="17"/>
                <w:szCs w:val="17"/>
              </w:rPr>
              <w:t xml:space="preserve">Exploratory; confirm with new tests</w:t>
            </w:r>
          </w:p>
        </w:tc>
      </w:tr>
      <w:tr>
        <w:trPr>
          <w:cantSplit/>
        </w:trPr>
        <w:tc>
          <w:tcPr>
            <w:tcW w:w="2165" w:type="dxa"/>
          </w:tcPr>
          <w:p>
            <w:pPr>
              <w:pStyle w:val="Compact"/>
              <w:suppressLineNumbers/>
              <w:spacing w:before="20" w:after="20" w:line="240" w:lineRule="auto"/>
              <w:ind w:left="0" w:firstLine="0"/>
              <w:jc w:val="left"/>
            </w:pPr>
            <w:r>
              <w:rPr>
                <w:sz w:val="17"/>
                <w:szCs w:val="17"/>
              </w:rPr>
              <w:t xml:space="preserve">CBR mesh</w:t>
            </w:r>
          </w:p>
        </w:tc>
        <w:tc>
          <w:tcPr>
            <w:tcW w:w="2476" w:type="dxa"/>
          </w:tcPr>
          <w:p>
            <w:pPr>
              <w:pStyle w:val="Compact"/>
              <w:suppressLineNumbers/>
              <w:spacing w:before="20" w:after="20" w:line="240" w:lineRule="auto"/>
              <w:ind w:left="0" w:firstLine="0"/>
              <w:jc w:val="left"/>
            </w:pPr>
            <w:r>
              <w:rPr>
                <w:sz w:val="17"/>
                <w:szCs w:val="17"/>
              </w:rPr>
              <w:t xml:space="preserve">Four uniform levels, five parameter sets; graded meshes</w:t>
            </w:r>
          </w:p>
        </w:tc>
        <w:tc>
          <w:tcPr>
            <w:tcW w:w="2314" w:type="dxa"/>
          </w:tcPr>
          <w:p>
            <w:pPr>
              <w:pStyle w:val="Compact"/>
              <w:suppressLineNumbers/>
              <w:spacing w:before="20" w:after="20" w:line="240" w:lineRule="auto"/>
              <w:ind w:left="0" w:firstLine="0"/>
              <w:jc w:val="left"/>
            </w:pPr>
            <w:r>
              <w:rPr>
                <w:sz w:val="17"/>
                <w:szCs w:val="17"/>
              </w:rPr>
              <w:t xml:space="preserve">GCI 3.6–35%; L1 bias 9–91%</w:t>
            </w:r>
          </w:p>
        </w:tc>
        <w:tc>
          <w:tcPr>
            <w:tcW w:w="2402" w:type="dxa"/>
          </w:tcPr>
          <w:p>
            <w:pPr>
              <w:pStyle w:val="Compact"/>
              <w:suppressLineNumbers/>
              <w:spacing w:before="20" w:after="20" w:line="240" w:lineRule="auto"/>
              <w:ind w:left="0" w:firstLine="0"/>
              <w:jc w:val="left"/>
            </w:pPr>
            <w:r>
              <w:rPr>
                <w:sz w:val="17"/>
                <w:szCs w:val="17"/>
              </w:rPr>
              <w:t xml:space="preserve">Absolute FE CBR not quantitative</w:t>
            </w:r>
          </w:p>
        </w:tc>
      </w:tr>
      <w:tr>
        <w:trPr>
          <w:cantSplit/>
        </w:trPr>
        <w:tc>
          <w:tcPr>
            <w:tcW w:w="2165" w:type="dxa"/>
          </w:tcPr>
          <w:p>
            <w:pPr>
              <w:pStyle w:val="Compact"/>
              <w:suppressLineNumbers/>
              <w:spacing w:before="20" w:after="20" w:line="240" w:lineRule="auto"/>
              <w:ind w:left="0" w:firstLine="0"/>
              <w:jc w:val="left"/>
            </w:pPr>
            <w:r>
              <w:rPr>
                <w:sz w:val="17"/>
                <w:szCs w:val="17"/>
              </w:rPr>
              <w:t xml:space="preserve">Constitutive assumptions</w:t>
            </w:r>
          </w:p>
        </w:tc>
        <w:tc>
          <w:tcPr>
            <w:tcW w:w="2476" w:type="dxa"/>
          </w:tcPr>
          <w:p>
            <w:pPr>
              <w:pStyle w:val="Compact"/>
              <w:suppressLineNumbers/>
              <w:spacing w:before="20" w:after="20" w:line="240" w:lineRule="auto"/>
              <w:ind w:left="0" w:firstLine="0"/>
              <w:jc w:val="left"/>
            </w:pPr>
            <w:r>
              <w:rPr>
                <w:sz w:val="17"/>
                <w:szCs w:val="17"/>
              </w:rPr>
              <w:t xml:space="preserve">Dilation, cone, hardening</w:t>
            </w:r>
          </w:p>
        </w:tc>
        <w:tc>
          <w:tcPr>
            <w:tcW w:w="2314" w:type="dxa"/>
          </w:tcPr>
          <w:p>
            <w:pPr>
              <w:pStyle w:val="Compact"/>
              <w:suppressLineNumbers/>
              <w:spacing w:before="20" w:after="20" w:line="240" w:lineRule="auto"/>
              <w:ind w:left="0" w:firstLine="0"/>
              <w:jc w:val="left"/>
            </w:pPr>
            <w:r>
              <w:rPr>
                <w:sz w:val="17"/>
                <w:szCs w:val="17"/>
              </w:rPr>
              <w:t xml:space="preserve">CBR −50% to +40%</w:t>
            </w:r>
          </w:p>
        </w:tc>
        <w:tc>
          <w:tcPr>
            <w:tcW w:w="2402" w:type="dxa"/>
          </w:tcPr>
          <w:p>
            <w:pPr>
              <w:pStyle w:val="Compact"/>
              <w:suppressLineNumbers/>
              <w:spacing w:before="20" w:after="20" w:line="240" w:lineRule="auto"/>
              <w:ind w:left="0" w:firstLine="0"/>
              <w:jc w:val="left"/>
            </w:pPr>
            <w:r>
              <w:rPr>
                <w:sz w:val="17"/>
                <w:szCs w:val="17"/>
              </w:rPr>
              <w:t xml:space="preserve">Factor 1.5–2 model-form uncertainty</w:t>
            </w:r>
          </w:p>
        </w:tc>
      </w:tr>
      <w:tr>
        <w:trPr>
          <w:cantSplit/>
        </w:trPr>
        <w:tc>
          <w:tcPr>
            <w:tcW w:w="2165" w:type="dxa"/>
          </w:tcPr>
          <w:p>
            <w:pPr>
              <w:pStyle w:val="Compact"/>
              <w:suppressLineNumbers/>
              <w:spacing w:before="20" w:after="20" w:line="240" w:lineRule="auto"/>
              <w:ind w:left="0" w:firstLine="0"/>
              <w:jc w:val="left"/>
            </w:pPr>
            <w:r>
              <w:rPr>
                <w:sz w:val="17"/>
                <w:szCs w:val="17"/>
              </w:rPr>
              <w:t xml:space="preserve">FE validation</w:t>
            </w:r>
          </w:p>
        </w:tc>
        <w:tc>
          <w:tcPr>
            <w:tcW w:w="2476" w:type="dxa"/>
          </w:tcPr>
          <w:p>
            <w:pPr>
              <w:pStyle w:val="Compact"/>
              <w:suppressLineNumbers/>
              <w:spacing w:before="20" w:after="20" w:line="240" w:lineRule="auto"/>
              <w:ind w:left="0" w:firstLine="0"/>
              <w:jc w:val="left"/>
            </w:pPr>
            <w:r>
              <w:rPr>
                <w:sz w:val="17"/>
                <w:szCs w:val="17"/>
              </w:rPr>
              <w:t xml:space="preserve">Not possible: no measured curves</w:t>
            </w:r>
          </w:p>
        </w:tc>
        <w:tc>
          <w:tcPr>
            <w:tcW w:w="2314" w:type="dxa"/>
          </w:tcPr>
          <w:p>
            <w:pPr>
              <w:pStyle w:val="Compact"/>
              <w:suppressLineNumbers/>
              <w:spacing w:before="20" w:after="20" w:line="240" w:lineRule="auto"/>
              <w:ind w:left="0" w:firstLine="0"/>
              <w:jc w:val="left"/>
            </w:pPr>
            <w:r>
              <w:rPr>
                <w:sz w:val="17"/>
                <w:szCs w:val="17"/>
              </w:rPr>
              <w:t xml:space="preserve">—</w:t>
            </w:r>
          </w:p>
        </w:tc>
        <w:tc>
          <w:tcPr>
            <w:tcW w:w="2402" w:type="dxa"/>
          </w:tcPr>
          <w:p>
            <w:pPr>
              <w:pStyle w:val="Compact"/>
              <w:suppressLineNumbers/>
              <w:spacing w:before="20" w:after="20" w:line="240" w:lineRule="auto"/>
              <w:ind w:left="0" w:firstLine="0"/>
              <w:jc w:val="left"/>
            </w:pPr>
            <w:r>
              <w:rPr>
                <w:sz w:val="17"/>
                <w:szCs w:val="17"/>
              </w:rPr>
              <w:t xml:space="preserve">FE numerically verified only</w:t>
            </w:r>
          </w:p>
        </w:tc>
      </w:tr>
      <w:tr>
        <w:trPr>
          <w:cantSplit/>
        </w:trPr>
        <w:tc>
          <w:tcPr>
            <w:tcW w:w="2165" w:type="dxa"/>
          </w:tcPr>
          <w:p>
            <w:pPr>
              <w:pStyle w:val="Compact"/>
              <w:suppressLineNumbers/>
              <w:spacing w:before="20" w:after="20" w:line="240" w:lineRule="auto"/>
              <w:ind w:left="0" w:firstLine="0"/>
              <w:jc w:val="left"/>
            </w:pPr>
            <w:r>
              <w:rPr>
                <w:sz w:val="17"/>
                <w:szCs w:val="17"/>
              </w:rPr>
              <w:t xml:space="preserve">Number of studies</w:t>
            </w:r>
          </w:p>
        </w:tc>
        <w:tc>
          <w:tcPr>
            <w:tcW w:w="2476" w:type="dxa"/>
          </w:tcPr>
          <w:p>
            <w:pPr>
              <w:pStyle w:val="Compact"/>
              <w:suppressLineNumbers/>
              <w:spacing w:before="20" w:after="20" w:line="240" w:lineRule="auto"/>
              <w:ind w:left="0" w:firstLine="0"/>
              <w:jc w:val="left"/>
            </w:pPr>
            <w:r>
              <w:rPr>
                <w:sz w:val="17"/>
                <w:szCs w:val="17"/>
              </w:rPr>
              <w:t xml:space="preserve">19 UCS, 10 CBR</w:t>
            </w:r>
          </w:p>
        </w:tc>
        <w:tc>
          <w:tcPr>
            <w:tcW w:w="2314" w:type="dxa"/>
          </w:tcPr>
          <w:p>
            <w:pPr>
              <w:pStyle w:val="Compact"/>
              <w:suppressLineNumbers/>
              <w:spacing w:before="20" w:after="20" w:line="240" w:lineRule="auto"/>
              <w:ind w:left="0" w:firstLine="0"/>
              <w:jc w:val="left"/>
            </w:pPr>
            <w:r>
              <w:rPr>
                <w:sz w:val="17"/>
                <w:szCs w:val="17"/>
              </w:rPr>
              <w:t xml:space="preserve">Low power</w:t>
            </w:r>
          </w:p>
        </w:tc>
        <w:tc>
          <w:tcPr>
            <w:tcW w:w="2402" w:type="dxa"/>
          </w:tcPr>
          <w:p>
            <w:pPr>
              <w:pStyle w:val="Compact"/>
              <w:suppressLineNumbers/>
              <w:spacing w:before="20" w:after="20" w:line="240" w:lineRule="auto"/>
              <w:ind w:left="0" w:firstLine="0"/>
              <w:jc w:val="left"/>
            </w:pPr>
            <w:r>
              <w:rPr>
                <w:sz w:val="17"/>
                <w:szCs w:val="17"/>
              </w:rPr>
              <w:t xml:space="preserve">Equivalence cannot be claimed</w:t>
            </w:r>
          </w:p>
        </w:tc>
      </w:tr>
    </w:tbl>
    <w:p>
      <w:pPr>
        <w:pStyle w:val="BodyText"/>
        <w:suppressLineNumbers/>
      </w:pPr>
      <w:r>
        <w:br w:type="page"/>
      </w:r>
    </w:p>
    <w:p>
      <w:pPr>
        <w:pStyle w:val="BodyText"/>
      </w:pPr>
      <w:r>
        <w:drawing>
          <wp:inline>
            <wp:extent cx="5334000" cy="2686467"/>
            <wp:effectExtent b="0" l="0" r="0" t="0"/>
            <wp:docPr descr="" title="" id="24" name="Picture"/>
            <a:graphic>
              <a:graphicData uri="http://schemas.openxmlformats.org/drawingml/2006/picture">
                <pic:pic>
                  <pic:nvPicPr>
                    <pic:cNvPr descr="/home/claude/figs/gge/Fig05.png" id="25" name="Picture"/>
                    <pic:cNvPicPr>
                      <a:picLocks noChangeArrowheads="1" noChangeAspect="1"/>
                    </pic:cNvPicPr>
                  </pic:nvPicPr>
                  <pic:blipFill>
                    <a:blip r:embed="rId23"/>
                    <a:stretch>
                      <a:fillRect/>
                    </a:stretch>
                  </pic:blipFill>
                  <pic:spPr bwMode="auto">
                    <a:xfrm>
                      <a:off x="0" y="0"/>
                      <a:ext cx="5334000" cy="2686467"/>
                    </a:xfrm>
                    <a:prstGeom prst="rect">
                      <a:avLst/>
                    </a:prstGeom>
                    <a:noFill/>
                    <a:ln w="9525">
                      <a:noFill/>
                      <a:headEnd/>
                      <a:tailEnd/>
                    </a:ln>
                  </pic:spPr>
                </pic:pic>
              </a:graphicData>
            </a:graphic>
          </wp:inline>
        </w:drawing>
      </w:r>
    </w:p>
    <w:p>
      <w:pPr>
        <w:pStyle w:val="FigCap"/>
      </w:pPr>
      <w:r>
        <w:rPr>
          <w:b/>
          <w:bCs/>
        </w:rPr>
        <w:t xml:space="preserve">Fig. S4</w:t>
      </w:r>
      <w:r>
        <w:t xml:space="preserve"> </w:t>
      </w:r>
      <w:r>
        <w:t xml:space="preserve">Measured versus leave-one-study-out predicted values (mean over seed sets) for SVR: (a) UCS, 19 held-out studies; and (b) CBR, 10 held-out studies. Symbols distinguish studies; the solid line is equality, and dashed lines mark a factor of 2.</w:t>
      </w:r>
    </w:p>
    <w:p>
      <w:pPr>
        <w:pStyle w:val="BodyText"/>
        <w:suppressLineNumbers/>
      </w:pPr>
      <w:r>
        <w:br w:type="page"/>
      </w:r>
    </w:p>
    <w:p>
      <w:pPr>
        <w:pStyle w:val="BodyText"/>
      </w:pPr>
      <w:r>
        <w:drawing>
          <wp:inline>
            <wp:extent cx="5334000" cy="2491795"/>
            <wp:effectExtent b="0" l="0" r="0" t="0"/>
            <wp:docPr descr="" title="" id="27" name="Picture"/>
            <a:graphic>
              <a:graphicData uri="http://schemas.openxmlformats.org/drawingml/2006/picture">
                <pic:pic>
                  <pic:nvPicPr>
                    <pic:cNvPr descr="/home/claude/figs/gge/Fig08.png" id="28" name="Picture"/>
                    <pic:cNvPicPr>
                      <a:picLocks noChangeArrowheads="1" noChangeAspect="1"/>
                    </pic:cNvPicPr>
                  </pic:nvPicPr>
                  <pic:blipFill>
                    <a:blip r:embed="rId26"/>
                    <a:stretch>
                      <a:fillRect/>
                    </a:stretch>
                  </pic:blipFill>
                  <pic:spPr bwMode="auto">
                    <a:xfrm>
                      <a:off x="0" y="0"/>
                      <a:ext cx="5334000" cy="2491795"/>
                    </a:xfrm>
                    <a:prstGeom prst="rect">
                      <a:avLst/>
                    </a:prstGeom>
                    <a:noFill/>
                    <a:ln w="9525">
                      <a:noFill/>
                      <a:headEnd/>
                      <a:tailEnd/>
                    </a:ln>
                  </pic:spPr>
                </pic:pic>
              </a:graphicData>
            </a:graphic>
          </wp:inline>
        </w:drawing>
      </w:r>
    </w:p>
    <w:p>
      <w:pPr>
        <w:pStyle w:val="FigCap"/>
      </w:pPr>
      <w:r>
        <w:rPr>
          <w:b/>
          <w:bCs/>
        </w:rPr>
        <w:t xml:space="preserve">Fig. S5</w:t>
      </w:r>
      <w:r>
        <w:t xml:space="preserve"> </w:t>
      </w:r>
      <w:r>
        <w:t xml:space="preserve">3D UCS model: (a) von Mises stress at 2% axial strain with rough platens (c = 150 kPa, φ = 25°, E = 100 MPa; deformation magnified three times); (b) normalized stress–strain curves of the representative case and of the 32 Latin-hypercube runs; and (c) ratio of computed to closed-form strength for smooth and rough platens at three mesh levels.</w:t>
      </w:r>
    </w:p>
    <w:p>
      <w:pPr>
        <w:pStyle w:val="BodyText"/>
        <w:suppressLineNumbers/>
      </w:pPr>
      <w:r>
        <w:br w:type="page"/>
      </w:r>
    </w:p>
    <w:p>
      <w:pPr>
        <w:pStyle w:val="TabCap"/>
        <w:suppressLineNumbers/>
      </w:pPr>
      <w:r>
        <w:rPr>
          <w:b/>
          <w:bCs/>
        </w:rPr>
        <w:t xml:space="preserve">Table S21</w:t>
      </w:r>
      <w:r>
        <w:t xml:space="preserve"> </w:t>
      </w:r>
      <w:r>
        <w:t xml:space="preserve">Mixed-effects and restricted-input baselines under leave-one-study-out validation, and mixed-model calibration</w:t>
      </w:r>
    </w:p>
    <w:tbl>
      <w:tblPr>
        <w:tblStyle w:val="Table"/>
        <w:tblW w:w="9360" w:type="dxa"/>
        <w:jc w:val="start"/>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705"/>
        <w:gridCol w:w="1881"/>
        <w:gridCol w:w="1471"/>
        <w:gridCol w:w="1058"/>
        <w:gridCol w:w="740"/>
        <w:gridCol w:w="1503"/>
        <w:gridCol w:w="823"/>
        <w:gridCol w:w="1175"/>
      </w:tblGrid>
      <w:tr>
        <w:trPr>
          <w:cantSplit/>
          <w:tblHeader/>
        </w:trPr>
        <w:tc>
          <w:tcPr>
            <w:tcW w:w="705"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Target</w:t>
            </w:r>
          </w:p>
        </w:tc>
        <w:tc>
          <w:tcPr>
            <w:tcW w:w="1881"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Predictor</w:t>
            </w:r>
          </w:p>
        </w:tc>
        <w:tc>
          <w:tcPr>
            <w:tcW w:w="1471"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Inputs</w:t>
            </w:r>
          </w:p>
        </w:tc>
        <w:tc>
          <w:tcPr>
            <w:tcW w:w="1058"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Mean per-study RMSE</w:t>
            </w:r>
          </w:p>
        </w:tc>
        <w:tc>
          <w:tcPr>
            <w:tcW w:w="740"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LOSO R²</w:t>
            </w:r>
          </w:p>
        </w:tc>
        <w:tc>
          <w:tcPr>
            <w:tcW w:w="1503"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Δ vs training mean (95% CI)</w:t>
            </w:r>
          </w:p>
        </w:tc>
        <w:tc>
          <w:tcPr>
            <w:tcW w:w="823"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Studies better</w:t>
            </w:r>
          </w:p>
        </w:tc>
        <w:tc>
          <w:tcPr>
            <w:tcW w:w="1175"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p (Wilcoxon)</w:t>
            </w:r>
          </w:p>
        </w:tc>
      </w:tr>
      <w:tr>
        <w:trPr>
          <w:cantSplit/>
        </w:trPr>
        <w:tc>
          <w:tcPr>
            <w:tcW w:w="705" w:type="dxa"/>
          </w:tcPr>
          <w:p>
            <w:pPr>
              <w:pStyle w:val="Compact"/>
              <w:suppressLineNumbers/>
              <w:spacing w:before="20" w:after="20" w:line="240" w:lineRule="auto"/>
              <w:ind w:left="0" w:firstLine="0"/>
              <w:jc w:val="left"/>
            </w:pPr>
            <w:r>
              <w:rPr>
                <w:sz w:val="17"/>
                <w:szCs w:val="17"/>
              </w:rPr>
              <w:t xml:space="preserve">UCS</w:t>
            </w:r>
          </w:p>
        </w:tc>
        <w:tc>
          <w:tcPr>
            <w:tcW w:w="1881" w:type="dxa"/>
          </w:tcPr>
          <w:p>
            <w:pPr>
              <w:pStyle w:val="Compact"/>
              <w:suppressLineNumbers/>
              <w:spacing w:before="20" w:after="20" w:line="240" w:lineRule="auto"/>
              <w:ind w:left="0" w:firstLine="0"/>
              <w:jc w:val="left"/>
            </w:pPr>
            <w:r>
              <w:rPr>
                <w:sz w:val="17"/>
                <w:szCs w:val="17"/>
              </w:rPr>
              <w:t xml:space="preserve">Training mean</w:t>
            </w:r>
          </w:p>
        </w:tc>
        <w:tc>
          <w:tcPr>
            <w:tcW w:w="1471" w:type="dxa"/>
          </w:tcPr>
          <w:p>
            <w:pPr>
              <w:pStyle w:val="Compact"/>
              <w:suppressLineNumbers/>
              <w:spacing w:before="20" w:after="20" w:line="240" w:lineRule="auto"/>
              <w:ind w:left="0" w:firstLine="0"/>
              <w:jc w:val="left"/>
            </w:pPr>
            <w:r>
              <w:rPr>
                <w:sz w:val="17"/>
                <w:szCs w:val="17"/>
              </w:rPr>
              <w:t xml:space="preserve">—</w:t>
            </w:r>
          </w:p>
        </w:tc>
        <w:tc>
          <w:tcPr>
            <w:tcW w:w="1058" w:type="dxa"/>
          </w:tcPr>
          <w:p>
            <w:pPr>
              <w:pStyle w:val="Compact"/>
              <w:suppressLineNumbers/>
              <w:spacing w:before="20" w:after="20" w:line="240" w:lineRule="auto"/>
              <w:ind w:left="0" w:firstLine="0"/>
              <w:jc w:val="right"/>
            </w:pPr>
            <w:r>
              <w:rPr>
                <w:sz w:val="17"/>
                <w:szCs w:val="17"/>
              </w:rPr>
              <w:t xml:space="preserve">0.413</w:t>
            </w:r>
          </w:p>
        </w:tc>
        <w:tc>
          <w:tcPr>
            <w:tcW w:w="740" w:type="dxa"/>
          </w:tcPr>
          <w:p>
            <w:pPr>
              <w:pStyle w:val="Compact"/>
              <w:suppressLineNumbers/>
              <w:spacing w:before="20" w:after="20" w:line="240" w:lineRule="auto"/>
              <w:ind w:left="0" w:firstLine="0"/>
              <w:jc w:val="right"/>
            </w:pPr>
            <w:r>
              <w:rPr>
                <w:sz w:val="17"/>
                <w:szCs w:val="17"/>
              </w:rPr>
              <w:t xml:space="preserve">−0.10</w:t>
            </w:r>
          </w:p>
        </w:tc>
        <w:tc>
          <w:tcPr>
            <w:tcW w:w="1503" w:type="dxa"/>
          </w:tcPr>
          <w:p>
            <w:pPr>
              <w:pStyle w:val="Compact"/>
              <w:suppressLineNumbers/>
              <w:spacing w:before="20" w:after="20" w:line="240" w:lineRule="auto"/>
              <w:ind w:left="0" w:firstLine="0"/>
              <w:jc w:val="left"/>
            </w:pPr>
            <w:r>
              <w:rPr>
                <w:sz w:val="17"/>
                <w:szCs w:val="17"/>
              </w:rPr>
              <w:t xml:space="preserve">—</w:t>
            </w:r>
          </w:p>
        </w:tc>
        <w:tc>
          <w:tcPr>
            <w:tcW w:w="823" w:type="dxa"/>
          </w:tcPr>
          <w:p>
            <w:pPr>
              <w:pStyle w:val="Compact"/>
              <w:suppressLineNumbers/>
              <w:spacing w:before="20" w:after="20" w:line="240" w:lineRule="auto"/>
              <w:ind w:left="0" w:firstLine="0"/>
              <w:jc w:val="left"/>
            </w:pPr>
            <w:r>
              <w:rPr>
                <w:sz w:val="17"/>
                <w:szCs w:val="17"/>
              </w:rPr>
              <w:t xml:space="preserve">—</w:t>
            </w:r>
          </w:p>
        </w:tc>
        <w:tc>
          <w:tcPr>
            <w:tcW w:w="1175" w:type="dxa"/>
          </w:tcPr>
          <w:p>
            <w:pPr>
              <w:pStyle w:val="Compact"/>
              <w:suppressLineNumbers/>
              <w:spacing w:before="20" w:after="20" w:line="240" w:lineRule="auto"/>
              <w:ind w:left="0" w:firstLine="0"/>
              <w:jc w:val="right"/>
            </w:pPr>
            <w:r>
              <w:rPr>
                <w:sz w:val="17"/>
                <w:szCs w:val="17"/>
              </w:rPr>
              <w:t xml:space="preserve">—</w:t>
            </w:r>
          </w:p>
        </w:tc>
      </w:tr>
      <w:tr>
        <w:trPr>
          <w:cantSplit/>
        </w:trPr>
        <w:tc>
          <w:tcPr>
            <w:tcW w:w="705" w:type="dxa"/>
          </w:tcPr>
          <w:p>
            <w:pPr>
              <w:pStyle w:val="Compact"/>
              <w:suppressLineNumbers/>
              <w:spacing w:before="20" w:after="20" w:line="240" w:lineRule="auto"/>
              <w:ind w:left="0" w:firstLine="0"/>
              <w:jc w:val="left"/>
            </w:pPr>
            <w:r>
              <w:rPr>
                <w:sz w:val="17"/>
                <w:szCs w:val="17"/>
              </w:rPr>
              <w:t xml:space="preserve">UCS</w:t>
            </w:r>
          </w:p>
        </w:tc>
        <w:tc>
          <w:tcPr>
            <w:tcW w:w="1881" w:type="dxa"/>
          </w:tcPr>
          <w:p>
            <w:pPr>
              <w:pStyle w:val="Compact"/>
              <w:suppressLineNumbers/>
              <w:spacing w:before="20" w:after="20" w:line="240" w:lineRule="auto"/>
              <w:ind w:left="0" w:firstLine="0"/>
              <w:jc w:val="left"/>
            </w:pPr>
            <w:r>
              <w:rPr>
                <w:sz w:val="17"/>
                <w:szCs w:val="17"/>
              </w:rPr>
              <w:t xml:space="preserve">Random-intercept LMM</w:t>
            </w:r>
          </w:p>
        </w:tc>
        <w:tc>
          <w:tcPr>
            <w:tcW w:w="1471" w:type="dxa"/>
          </w:tcPr>
          <w:p>
            <w:pPr>
              <w:pStyle w:val="Compact"/>
              <w:suppressLineNumbers/>
              <w:spacing w:before="20" w:after="20" w:line="240" w:lineRule="auto"/>
              <w:ind w:left="0" w:firstLine="0"/>
              <w:jc w:val="left"/>
            </w:pPr>
            <w:r>
              <w:rPr>
                <w:sz w:val="17"/>
                <w:szCs w:val="17"/>
              </w:rPr>
              <w:t xml:space="preserve">none</w:t>
            </w:r>
          </w:p>
        </w:tc>
        <w:tc>
          <w:tcPr>
            <w:tcW w:w="1058" w:type="dxa"/>
          </w:tcPr>
          <w:p>
            <w:pPr>
              <w:pStyle w:val="Compact"/>
              <w:suppressLineNumbers/>
              <w:spacing w:before="20" w:after="20" w:line="240" w:lineRule="auto"/>
              <w:ind w:left="0" w:firstLine="0"/>
              <w:jc w:val="right"/>
            </w:pPr>
            <w:r>
              <w:rPr>
                <w:sz w:val="17"/>
                <w:szCs w:val="17"/>
              </w:rPr>
              <w:t xml:space="preserve">0.420</w:t>
            </w:r>
          </w:p>
        </w:tc>
        <w:tc>
          <w:tcPr>
            <w:tcW w:w="740" w:type="dxa"/>
          </w:tcPr>
          <w:p>
            <w:pPr>
              <w:pStyle w:val="Compact"/>
              <w:suppressLineNumbers/>
              <w:spacing w:before="20" w:after="20" w:line="240" w:lineRule="auto"/>
              <w:ind w:left="0" w:firstLine="0"/>
              <w:jc w:val="right"/>
            </w:pPr>
            <w:r>
              <w:rPr>
                <w:sz w:val="17"/>
                <w:szCs w:val="17"/>
              </w:rPr>
              <w:t xml:space="preserve">−0.09</w:t>
            </w:r>
          </w:p>
        </w:tc>
        <w:tc>
          <w:tcPr>
            <w:tcW w:w="1503" w:type="dxa"/>
          </w:tcPr>
          <w:p>
            <w:pPr>
              <w:pStyle w:val="Compact"/>
              <w:suppressLineNumbers/>
              <w:spacing w:before="20" w:after="20" w:line="240" w:lineRule="auto"/>
              <w:ind w:left="0" w:firstLine="0"/>
              <w:jc w:val="left"/>
            </w:pPr>
            <w:r>
              <w:rPr>
                <w:sz w:val="17"/>
                <w:szCs w:val="17"/>
              </w:rPr>
              <w:t xml:space="preserve">+0.007 (−0.008 to 0.023)</w:t>
            </w:r>
          </w:p>
        </w:tc>
        <w:tc>
          <w:tcPr>
            <w:tcW w:w="823" w:type="dxa"/>
          </w:tcPr>
          <w:p>
            <w:pPr>
              <w:pStyle w:val="Compact"/>
              <w:suppressLineNumbers/>
              <w:spacing w:before="20" w:after="20" w:line="240" w:lineRule="auto"/>
              <w:ind w:left="0" w:firstLine="0"/>
              <w:jc w:val="left"/>
            </w:pPr>
            <w:r>
              <w:rPr>
                <w:sz w:val="17"/>
                <w:szCs w:val="17"/>
              </w:rPr>
              <w:t xml:space="preserve">8/19</w:t>
            </w:r>
          </w:p>
        </w:tc>
        <w:tc>
          <w:tcPr>
            <w:tcW w:w="1175" w:type="dxa"/>
          </w:tcPr>
          <w:p>
            <w:pPr>
              <w:pStyle w:val="Compact"/>
              <w:suppressLineNumbers/>
              <w:spacing w:before="20" w:after="20" w:line="240" w:lineRule="auto"/>
              <w:ind w:left="0" w:firstLine="0"/>
              <w:jc w:val="right"/>
            </w:pPr>
            <w:r>
              <w:rPr>
                <w:sz w:val="17"/>
                <w:szCs w:val="17"/>
              </w:rPr>
              <w:t xml:space="preserve">0.40</w:t>
            </w:r>
          </w:p>
        </w:tc>
      </w:tr>
      <w:tr>
        <w:trPr>
          <w:cantSplit/>
        </w:trPr>
        <w:tc>
          <w:tcPr>
            <w:tcW w:w="705" w:type="dxa"/>
          </w:tcPr>
          <w:p>
            <w:pPr>
              <w:pStyle w:val="Compact"/>
              <w:suppressLineNumbers/>
              <w:spacing w:before="20" w:after="20" w:line="240" w:lineRule="auto"/>
              <w:ind w:left="0" w:firstLine="0"/>
              <w:jc w:val="left"/>
            </w:pPr>
            <w:r>
              <w:rPr>
                <w:sz w:val="17"/>
                <w:szCs w:val="17"/>
              </w:rPr>
              <w:t xml:space="preserve">UCS</w:t>
            </w:r>
          </w:p>
        </w:tc>
        <w:tc>
          <w:tcPr>
            <w:tcW w:w="1881" w:type="dxa"/>
          </w:tcPr>
          <w:p>
            <w:pPr>
              <w:pStyle w:val="Compact"/>
              <w:suppressLineNumbers/>
              <w:spacing w:before="20" w:after="20" w:line="240" w:lineRule="auto"/>
              <w:ind w:left="0" w:firstLine="0"/>
              <w:jc w:val="left"/>
            </w:pPr>
            <w:r>
              <w:rPr>
                <w:sz w:val="17"/>
                <w:szCs w:val="17"/>
              </w:rPr>
              <w:t xml:space="preserve">Random-intercept LMM</w:t>
            </w:r>
          </w:p>
        </w:tc>
        <w:tc>
          <w:tcPr>
            <w:tcW w:w="1471" w:type="dxa"/>
          </w:tcPr>
          <w:p>
            <w:pPr>
              <w:pStyle w:val="Compact"/>
              <w:suppressLineNumbers/>
              <w:spacing w:before="20" w:after="20" w:line="240" w:lineRule="auto"/>
              <w:ind w:left="0" w:firstLine="0"/>
              <w:jc w:val="left"/>
            </w:pPr>
            <w:r>
              <w:rPr>
                <w:sz w:val="17"/>
                <w:szCs w:val="17"/>
              </w:rPr>
              <w:t xml:space="preserve">doses, curing, condition</w:t>
            </w:r>
          </w:p>
        </w:tc>
        <w:tc>
          <w:tcPr>
            <w:tcW w:w="1058" w:type="dxa"/>
          </w:tcPr>
          <w:p>
            <w:pPr>
              <w:pStyle w:val="Compact"/>
              <w:suppressLineNumbers/>
              <w:spacing w:before="20" w:after="20" w:line="240" w:lineRule="auto"/>
              <w:ind w:left="0" w:firstLine="0"/>
              <w:jc w:val="right"/>
            </w:pPr>
            <w:r>
              <w:rPr>
                <w:sz w:val="17"/>
                <w:szCs w:val="17"/>
              </w:rPr>
              <w:t xml:space="preserve">0.393</w:t>
            </w:r>
          </w:p>
        </w:tc>
        <w:tc>
          <w:tcPr>
            <w:tcW w:w="740" w:type="dxa"/>
          </w:tcPr>
          <w:p>
            <w:pPr>
              <w:pStyle w:val="Compact"/>
              <w:suppressLineNumbers/>
              <w:spacing w:before="20" w:after="20" w:line="240" w:lineRule="auto"/>
              <w:ind w:left="0" w:firstLine="0"/>
              <w:jc w:val="right"/>
            </w:pPr>
            <w:r>
              <w:rPr>
                <w:sz w:val="17"/>
                <w:szCs w:val="17"/>
              </w:rPr>
              <w:t xml:space="preserve">−0.03</w:t>
            </w:r>
          </w:p>
        </w:tc>
        <w:tc>
          <w:tcPr>
            <w:tcW w:w="1503" w:type="dxa"/>
          </w:tcPr>
          <w:p>
            <w:pPr>
              <w:pStyle w:val="Compact"/>
              <w:suppressLineNumbers/>
              <w:spacing w:before="20" w:after="20" w:line="240" w:lineRule="auto"/>
              <w:ind w:left="0" w:firstLine="0"/>
              <w:jc w:val="left"/>
            </w:pPr>
            <w:r>
              <w:rPr>
                <w:sz w:val="17"/>
                <w:szCs w:val="17"/>
              </w:rPr>
              <w:t xml:space="preserve">−0.020 (−0.094 to 0.065)</w:t>
            </w:r>
          </w:p>
        </w:tc>
        <w:tc>
          <w:tcPr>
            <w:tcW w:w="823" w:type="dxa"/>
          </w:tcPr>
          <w:p>
            <w:pPr>
              <w:pStyle w:val="Compact"/>
              <w:suppressLineNumbers/>
              <w:spacing w:before="20" w:after="20" w:line="240" w:lineRule="auto"/>
              <w:ind w:left="0" w:firstLine="0"/>
              <w:jc w:val="left"/>
            </w:pPr>
            <w:r>
              <w:rPr>
                <w:sz w:val="17"/>
                <w:szCs w:val="17"/>
              </w:rPr>
              <w:t xml:space="preserve">11/19</w:t>
            </w:r>
          </w:p>
        </w:tc>
        <w:tc>
          <w:tcPr>
            <w:tcW w:w="1175" w:type="dxa"/>
          </w:tcPr>
          <w:p>
            <w:pPr>
              <w:pStyle w:val="Compact"/>
              <w:suppressLineNumbers/>
              <w:spacing w:before="20" w:after="20" w:line="240" w:lineRule="auto"/>
              <w:ind w:left="0" w:firstLine="0"/>
              <w:jc w:val="right"/>
            </w:pPr>
            <w:r>
              <w:rPr>
                <w:sz w:val="17"/>
                <w:szCs w:val="17"/>
              </w:rPr>
              <w:t xml:space="preserve">0.29</w:t>
            </w:r>
          </w:p>
        </w:tc>
      </w:tr>
      <w:tr>
        <w:trPr>
          <w:cantSplit/>
        </w:trPr>
        <w:tc>
          <w:tcPr>
            <w:tcW w:w="705" w:type="dxa"/>
          </w:tcPr>
          <w:p>
            <w:pPr>
              <w:pStyle w:val="Compact"/>
              <w:suppressLineNumbers/>
              <w:spacing w:before="20" w:after="20" w:line="240" w:lineRule="auto"/>
              <w:ind w:left="0" w:firstLine="0"/>
              <w:jc w:val="left"/>
            </w:pPr>
            <w:r>
              <w:rPr>
                <w:sz w:val="17"/>
                <w:szCs w:val="17"/>
              </w:rPr>
              <w:t xml:space="preserve">UCS</w:t>
            </w:r>
          </w:p>
        </w:tc>
        <w:tc>
          <w:tcPr>
            <w:tcW w:w="1881" w:type="dxa"/>
          </w:tcPr>
          <w:p>
            <w:pPr>
              <w:pStyle w:val="Compact"/>
              <w:suppressLineNumbers/>
              <w:spacing w:before="20" w:after="20" w:line="240" w:lineRule="auto"/>
              <w:ind w:left="0" w:firstLine="0"/>
              <w:jc w:val="left"/>
            </w:pPr>
            <w:r>
              <w:rPr>
                <w:sz w:val="17"/>
                <w:szCs w:val="17"/>
              </w:rPr>
              <w:t xml:space="preserve">Random-intercept LMM</w:t>
            </w:r>
          </w:p>
        </w:tc>
        <w:tc>
          <w:tcPr>
            <w:tcW w:w="1471" w:type="dxa"/>
          </w:tcPr>
          <w:p>
            <w:pPr>
              <w:pStyle w:val="Compact"/>
              <w:suppressLineNumbers/>
              <w:spacing w:before="20" w:after="20" w:line="240" w:lineRule="auto"/>
              <w:ind w:left="0" w:firstLine="0"/>
              <w:jc w:val="left"/>
            </w:pPr>
            <w:r>
              <w:rPr>
                <w:sz w:val="17"/>
                <w:szCs w:val="17"/>
              </w:rPr>
              <w:t xml:space="preserve">+ family indicators</w:t>
            </w:r>
          </w:p>
        </w:tc>
        <w:tc>
          <w:tcPr>
            <w:tcW w:w="1058" w:type="dxa"/>
          </w:tcPr>
          <w:p>
            <w:pPr>
              <w:pStyle w:val="Compact"/>
              <w:suppressLineNumbers/>
              <w:spacing w:before="20" w:after="20" w:line="240" w:lineRule="auto"/>
              <w:ind w:left="0" w:firstLine="0"/>
              <w:jc w:val="right"/>
            </w:pPr>
            <w:r>
              <w:rPr>
                <w:sz w:val="17"/>
                <w:szCs w:val="17"/>
              </w:rPr>
              <w:t xml:space="preserve">0.589</w:t>
            </w:r>
          </w:p>
        </w:tc>
        <w:tc>
          <w:tcPr>
            <w:tcW w:w="740" w:type="dxa"/>
          </w:tcPr>
          <w:p>
            <w:pPr>
              <w:pStyle w:val="Compact"/>
              <w:suppressLineNumbers/>
              <w:spacing w:before="20" w:after="20" w:line="240" w:lineRule="auto"/>
              <w:ind w:left="0" w:firstLine="0"/>
              <w:jc w:val="right"/>
            </w:pPr>
            <w:r>
              <w:rPr>
                <w:sz w:val="17"/>
                <w:szCs w:val="17"/>
              </w:rPr>
              <w:t xml:space="preserve">−2.21</w:t>
            </w:r>
          </w:p>
        </w:tc>
        <w:tc>
          <w:tcPr>
            <w:tcW w:w="1503" w:type="dxa"/>
          </w:tcPr>
          <w:p>
            <w:pPr>
              <w:pStyle w:val="Compact"/>
              <w:suppressLineNumbers/>
              <w:spacing w:before="20" w:after="20" w:line="240" w:lineRule="auto"/>
              <w:ind w:left="0" w:firstLine="0"/>
              <w:jc w:val="left"/>
            </w:pPr>
            <w:r>
              <w:rPr>
                <w:sz w:val="17"/>
                <w:szCs w:val="17"/>
              </w:rPr>
              <w:t xml:space="preserve">+0.176 (0.030 to 0.343)</w:t>
            </w:r>
          </w:p>
        </w:tc>
        <w:tc>
          <w:tcPr>
            <w:tcW w:w="823" w:type="dxa"/>
          </w:tcPr>
          <w:p>
            <w:pPr>
              <w:pStyle w:val="Compact"/>
              <w:suppressLineNumbers/>
              <w:spacing w:before="20" w:after="20" w:line="240" w:lineRule="auto"/>
              <w:ind w:left="0" w:firstLine="0"/>
              <w:jc w:val="left"/>
            </w:pPr>
            <w:r>
              <w:rPr>
                <w:sz w:val="17"/>
                <w:szCs w:val="17"/>
              </w:rPr>
              <w:t xml:space="preserve">5/19</w:t>
            </w:r>
          </w:p>
        </w:tc>
        <w:tc>
          <w:tcPr>
            <w:tcW w:w="1175" w:type="dxa"/>
          </w:tcPr>
          <w:p>
            <w:pPr>
              <w:pStyle w:val="Compact"/>
              <w:suppressLineNumbers/>
              <w:spacing w:before="20" w:after="20" w:line="240" w:lineRule="auto"/>
              <w:ind w:left="0" w:firstLine="0"/>
              <w:jc w:val="right"/>
            </w:pPr>
            <w:r>
              <w:rPr>
                <w:sz w:val="17"/>
                <w:szCs w:val="17"/>
              </w:rPr>
              <w:t xml:space="preserve">0.04</w:t>
            </w:r>
          </w:p>
        </w:tc>
      </w:tr>
      <w:tr>
        <w:trPr>
          <w:cantSplit/>
        </w:trPr>
        <w:tc>
          <w:tcPr>
            <w:tcW w:w="705" w:type="dxa"/>
          </w:tcPr>
          <w:p>
            <w:pPr>
              <w:pStyle w:val="Compact"/>
              <w:suppressLineNumbers/>
              <w:spacing w:before="20" w:after="20" w:line="240" w:lineRule="auto"/>
              <w:ind w:left="0" w:firstLine="0"/>
              <w:jc w:val="left"/>
            </w:pPr>
            <w:r>
              <w:rPr>
                <w:sz w:val="17"/>
                <w:szCs w:val="17"/>
              </w:rPr>
              <w:t xml:space="preserve">UCS</w:t>
            </w:r>
          </w:p>
        </w:tc>
        <w:tc>
          <w:tcPr>
            <w:tcW w:w="1881" w:type="dxa"/>
          </w:tcPr>
          <w:p>
            <w:pPr>
              <w:pStyle w:val="Compact"/>
              <w:suppressLineNumbers/>
              <w:spacing w:before="20" w:after="20" w:line="240" w:lineRule="auto"/>
              <w:ind w:left="0" w:firstLine="0"/>
              <w:jc w:val="left"/>
            </w:pPr>
            <w:r>
              <w:rPr>
                <w:sz w:val="17"/>
                <w:szCs w:val="17"/>
              </w:rPr>
              <w:t xml:space="preserve">Random-intercept LMM</w:t>
            </w:r>
          </w:p>
        </w:tc>
        <w:tc>
          <w:tcPr>
            <w:tcW w:w="1471" w:type="dxa"/>
          </w:tcPr>
          <w:p>
            <w:pPr>
              <w:pStyle w:val="Compact"/>
              <w:suppressLineNumbers/>
              <w:spacing w:before="20" w:after="20" w:line="240" w:lineRule="auto"/>
              <w:ind w:left="0" w:firstLine="0"/>
              <w:jc w:val="left"/>
            </w:pPr>
            <w:r>
              <w:rPr>
                <w:sz w:val="17"/>
                <w:szCs w:val="17"/>
              </w:rPr>
              <w:t xml:space="preserve">+ families, soil properties</w:t>
            </w:r>
          </w:p>
        </w:tc>
        <w:tc>
          <w:tcPr>
            <w:tcW w:w="1058" w:type="dxa"/>
          </w:tcPr>
          <w:p>
            <w:pPr>
              <w:pStyle w:val="Compact"/>
              <w:suppressLineNumbers/>
              <w:spacing w:before="20" w:after="20" w:line="240" w:lineRule="auto"/>
              <w:ind w:left="0" w:firstLine="0"/>
              <w:jc w:val="right"/>
            </w:pPr>
            <w:r>
              <w:rPr>
                <w:sz w:val="17"/>
                <w:szCs w:val="17"/>
              </w:rPr>
              <w:t xml:space="preserve">2.702</w:t>
            </w:r>
          </w:p>
        </w:tc>
        <w:tc>
          <w:tcPr>
            <w:tcW w:w="740" w:type="dxa"/>
          </w:tcPr>
          <w:p>
            <w:pPr>
              <w:pStyle w:val="Compact"/>
              <w:suppressLineNumbers/>
              <w:spacing w:before="20" w:after="20" w:line="240" w:lineRule="auto"/>
              <w:ind w:left="0" w:firstLine="0"/>
              <w:jc w:val="right"/>
            </w:pPr>
            <w:r>
              <w:rPr>
                <w:sz w:val="17"/>
                <w:szCs w:val="17"/>
              </w:rPr>
              <w:t xml:space="preserve">−79.32</w:t>
            </w:r>
          </w:p>
        </w:tc>
        <w:tc>
          <w:tcPr>
            <w:tcW w:w="1503" w:type="dxa"/>
          </w:tcPr>
          <w:p>
            <w:pPr>
              <w:pStyle w:val="Compact"/>
              <w:suppressLineNumbers/>
              <w:spacing w:before="20" w:after="20" w:line="240" w:lineRule="auto"/>
              <w:ind w:left="0" w:firstLine="0"/>
              <w:jc w:val="left"/>
            </w:pPr>
            <w:r>
              <w:rPr>
                <w:sz w:val="17"/>
                <w:szCs w:val="17"/>
              </w:rPr>
              <w:t xml:space="preserve">+2.289 (0.959 to 3.978)</w:t>
            </w:r>
          </w:p>
        </w:tc>
        <w:tc>
          <w:tcPr>
            <w:tcW w:w="823" w:type="dxa"/>
          </w:tcPr>
          <w:p>
            <w:pPr>
              <w:pStyle w:val="Compact"/>
              <w:suppressLineNumbers/>
              <w:spacing w:before="20" w:after="20" w:line="240" w:lineRule="auto"/>
              <w:ind w:left="0" w:firstLine="0"/>
              <w:jc w:val="left"/>
            </w:pPr>
            <w:r>
              <w:rPr>
                <w:sz w:val="17"/>
                <w:szCs w:val="17"/>
              </w:rPr>
              <w:t xml:space="preserve">3/19</w:t>
            </w:r>
          </w:p>
        </w:tc>
        <w:tc>
          <w:tcPr>
            <w:tcW w:w="1175" w:type="dxa"/>
          </w:tcPr>
          <w:p>
            <w:pPr>
              <w:pStyle w:val="Compact"/>
              <w:suppressLineNumbers/>
              <w:spacing w:before="20" w:after="20" w:line="240" w:lineRule="auto"/>
              <w:ind w:left="0" w:firstLine="0"/>
              <w:jc w:val="right"/>
            </w:pPr>
            <w:r>
              <w:rPr>
                <w:sz w:val="17"/>
                <w:szCs w:val="17"/>
              </w:rPr>
              <w:t xml:space="preserve">&lt;0.001</w:t>
            </w:r>
          </w:p>
        </w:tc>
      </w:tr>
      <w:tr>
        <w:trPr>
          <w:cantSplit/>
        </w:trPr>
        <w:tc>
          <w:tcPr>
            <w:tcW w:w="705" w:type="dxa"/>
          </w:tcPr>
          <w:p>
            <w:pPr>
              <w:pStyle w:val="Compact"/>
              <w:suppressLineNumbers/>
              <w:spacing w:before="20" w:after="20" w:line="240" w:lineRule="auto"/>
              <w:ind w:left="0" w:firstLine="0"/>
              <w:jc w:val="left"/>
            </w:pPr>
            <w:r>
              <w:rPr>
                <w:sz w:val="17"/>
                <w:szCs w:val="17"/>
              </w:rPr>
              <w:t xml:space="preserve">UCS</w:t>
            </w:r>
          </w:p>
        </w:tc>
        <w:tc>
          <w:tcPr>
            <w:tcW w:w="1881" w:type="dxa"/>
          </w:tcPr>
          <w:p>
            <w:pPr>
              <w:pStyle w:val="Compact"/>
              <w:suppressLineNumbers/>
              <w:spacing w:before="20" w:after="20" w:line="240" w:lineRule="auto"/>
              <w:ind w:left="0" w:firstLine="0"/>
              <w:jc w:val="left"/>
            </w:pPr>
            <w:r>
              <w:rPr>
                <w:sz w:val="17"/>
                <w:szCs w:val="17"/>
              </w:rPr>
              <w:t xml:space="preserve">SVR (re-implemented)</w:t>
            </w:r>
          </w:p>
        </w:tc>
        <w:tc>
          <w:tcPr>
            <w:tcW w:w="1471" w:type="dxa"/>
          </w:tcPr>
          <w:p>
            <w:pPr>
              <w:pStyle w:val="Compact"/>
              <w:suppressLineNumbers/>
              <w:spacing w:before="20" w:after="20" w:line="240" w:lineRule="auto"/>
              <w:ind w:left="0" w:firstLine="0"/>
              <w:jc w:val="left"/>
            </w:pPr>
            <w:r>
              <w:rPr>
                <w:sz w:val="17"/>
                <w:szCs w:val="17"/>
              </w:rPr>
              <w:t xml:space="preserve">all (one-hot families, indicators)</w:t>
            </w:r>
          </w:p>
        </w:tc>
        <w:tc>
          <w:tcPr>
            <w:tcW w:w="1058" w:type="dxa"/>
          </w:tcPr>
          <w:p>
            <w:pPr>
              <w:pStyle w:val="Compact"/>
              <w:suppressLineNumbers/>
              <w:spacing w:before="20" w:after="20" w:line="240" w:lineRule="auto"/>
              <w:ind w:left="0" w:firstLine="0"/>
              <w:jc w:val="right"/>
            </w:pPr>
            <w:r>
              <w:rPr>
                <w:sz w:val="17"/>
                <w:szCs w:val="17"/>
              </w:rPr>
              <w:t xml:space="preserve">0.387</w:t>
            </w:r>
          </w:p>
        </w:tc>
        <w:tc>
          <w:tcPr>
            <w:tcW w:w="740" w:type="dxa"/>
          </w:tcPr>
          <w:p>
            <w:pPr>
              <w:pStyle w:val="Compact"/>
              <w:suppressLineNumbers/>
              <w:spacing w:before="20" w:after="20" w:line="240" w:lineRule="auto"/>
              <w:ind w:left="0" w:firstLine="0"/>
              <w:jc w:val="right"/>
            </w:pPr>
            <w:r>
              <w:rPr>
                <w:sz w:val="17"/>
                <w:szCs w:val="17"/>
              </w:rPr>
              <w:t xml:space="preserve">0.21</w:t>
            </w:r>
          </w:p>
        </w:tc>
        <w:tc>
          <w:tcPr>
            <w:tcW w:w="1503" w:type="dxa"/>
          </w:tcPr>
          <w:p>
            <w:pPr>
              <w:pStyle w:val="Compact"/>
              <w:suppressLineNumbers/>
              <w:spacing w:before="20" w:after="20" w:line="240" w:lineRule="auto"/>
              <w:ind w:left="0" w:firstLine="0"/>
              <w:jc w:val="left"/>
            </w:pPr>
            <w:r>
              <w:rPr>
                <w:sz w:val="17"/>
                <w:szCs w:val="17"/>
              </w:rPr>
              <w:t xml:space="preserve">−0.026 (−0.094 to 0.043)</w:t>
            </w:r>
          </w:p>
        </w:tc>
        <w:tc>
          <w:tcPr>
            <w:tcW w:w="823" w:type="dxa"/>
          </w:tcPr>
          <w:p>
            <w:pPr>
              <w:pStyle w:val="Compact"/>
              <w:suppressLineNumbers/>
              <w:spacing w:before="20" w:after="20" w:line="240" w:lineRule="auto"/>
              <w:ind w:left="0" w:firstLine="0"/>
              <w:jc w:val="left"/>
            </w:pPr>
            <w:r>
              <w:rPr>
                <w:sz w:val="17"/>
                <w:szCs w:val="17"/>
              </w:rPr>
              <w:t xml:space="preserve">12/19</w:t>
            </w:r>
          </w:p>
        </w:tc>
        <w:tc>
          <w:tcPr>
            <w:tcW w:w="1175" w:type="dxa"/>
          </w:tcPr>
          <w:p>
            <w:pPr>
              <w:pStyle w:val="Compact"/>
              <w:suppressLineNumbers/>
              <w:spacing w:before="20" w:after="20" w:line="240" w:lineRule="auto"/>
              <w:ind w:left="0" w:firstLine="0"/>
              <w:jc w:val="right"/>
            </w:pPr>
            <w:r>
              <w:rPr>
                <w:sz w:val="17"/>
                <w:szCs w:val="17"/>
              </w:rPr>
              <w:t xml:space="preserve">0.37</w:t>
            </w:r>
          </w:p>
        </w:tc>
      </w:tr>
      <w:tr>
        <w:trPr>
          <w:cantSplit/>
        </w:trPr>
        <w:tc>
          <w:tcPr>
            <w:tcW w:w="705" w:type="dxa"/>
          </w:tcPr>
          <w:p>
            <w:pPr>
              <w:pStyle w:val="Compact"/>
              <w:suppressLineNumbers/>
              <w:spacing w:before="20" w:after="20" w:line="240" w:lineRule="auto"/>
              <w:ind w:left="0" w:firstLine="0"/>
              <w:jc w:val="left"/>
            </w:pPr>
            <w:r>
              <w:rPr>
                <w:sz w:val="17"/>
                <w:szCs w:val="17"/>
              </w:rPr>
              <w:t xml:space="preserve">UCS</w:t>
            </w:r>
          </w:p>
        </w:tc>
        <w:tc>
          <w:tcPr>
            <w:tcW w:w="1881" w:type="dxa"/>
          </w:tcPr>
          <w:p>
            <w:pPr>
              <w:pStyle w:val="Compact"/>
              <w:suppressLineNumbers/>
              <w:spacing w:before="20" w:after="20" w:line="240" w:lineRule="auto"/>
              <w:ind w:left="0" w:firstLine="0"/>
              <w:jc w:val="left"/>
            </w:pPr>
            <w:r>
              <w:rPr>
                <w:sz w:val="17"/>
                <w:szCs w:val="17"/>
              </w:rPr>
              <w:t xml:space="preserve">SVR (re-implemented)</w:t>
            </w:r>
          </w:p>
        </w:tc>
        <w:tc>
          <w:tcPr>
            <w:tcW w:w="1471" w:type="dxa"/>
          </w:tcPr>
          <w:p>
            <w:pPr>
              <w:pStyle w:val="Compact"/>
              <w:suppressLineNumbers/>
              <w:spacing w:before="20" w:after="20" w:line="240" w:lineRule="auto"/>
              <w:ind w:left="0" w:firstLine="0"/>
              <w:jc w:val="left"/>
            </w:pPr>
            <w:r>
              <w:rPr>
                <w:sz w:val="17"/>
                <w:szCs w:val="17"/>
              </w:rPr>
              <w:t xml:space="preserve">within-study inputs + families</w:t>
            </w:r>
          </w:p>
        </w:tc>
        <w:tc>
          <w:tcPr>
            <w:tcW w:w="1058" w:type="dxa"/>
          </w:tcPr>
          <w:p>
            <w:pPr>
              <w:pStyle w:val="Compact"/>
              <w:suppressLineNumbers/>
              <w:spacing w:before="20" w:after="20" w:line="240" w:lineRule="auto"/>
              <w:ind w:left="0" w:firstLine="0"/>
              <w:jc w:val="right"/>
            </w:pPr>
            <w:r>
              <w:rPr>
                <w:sz w:val="17"/>
                <w:szCs w:val="17"/>
              </w:rPr>
              <w:t xml:space="preserve">0.482</w:t>
            </w:r>
          </w:p>
        </w:tc>
        <w:tc>
          <w:tcPr>
            <w:tcW w:w="740" w:type="dxa"/>
          </w:tcPr>
          <w:p>
            <w:pPr>
              <w:pStyle w:val="Compact"/>
              <w:suppressLineNumbers/>
              <w:spacing w:before="20" w:after="20" w:line="240" w:lineRule="auto"/>
              <w:ind w:left="0" w:firstLine="0"/>
              <w:jc w:val="right"/>
            </w:pPr>
            <w:r>
              <w:rPr>
                <w:sz w:val="17"/>
                <w:szCs w:val="17"/>
              </w:rPr>
              <w:t xml:space="preserve">−0.29</w:t>
            </w:r>
          </w:p>
        </w:tc>
        <w:tc>
          <w:tcPr>
            <w:tcW w:w="1503" w:type="dxa"/>
          </w:tcPr>
          <w:p>
            <w:pPr>
              <w:pStyle w:val="Compact"/>
              <w:suppressLineNumbers/>
              <w:spacing w:before="20" w:after="20" w:line="240" w:lineRule="auto"/>
              <w:ind w:left="0" w:firstLine="0"/>
              <w:jc w:val="left"/>
            </w:pPr>
            <w:r>
              <w:rPr>
                <w:sz w:val="17"/>
                <w:szCs w:val="17"/>
              </w:rPr>
              <w:t xml:space="preserve">+0.069 (−0.022 to 0.160)</w:t>
            </w:r>
          </w:p>
        </w:tc>
        <w:tc>
          <w:tcPr>
            <w:tcW w:w="823" w:type="dxa"/>
          </w:tcPr>
          <w:p>
            <w:pPr>
              <w:pStyle w:val="Compact"/>
              <w:suppressLineNumbers/>
              <w:spacing w:before="20" w:after="20" w:line="240" w:lineRule="auto"/>
              <w:ind w:left="0" w:firstLine="0"/>
              <w:jc w:val="left"/>
            </w:pPr>
            <w:r>
              <w:rPr>
                <w:sz w:val="17"/>
                <w:szCs w:val="17"/>
              </w:rPr>
              <w:t xml:space="preserve">7/19</w:t>
            </w:r>
          </w:p>
        </w:tc>
        <w:tc>
          <w:tcPr>
            <w:tcW w:w="1175" w:type="dxa"/>
          </w:tcPr>
          <w:p>
            <w:pPr>
              <w:pStyle w:val="Compact"/>
              <w:suppressLineNumbers/>
              <w:spacing w:before="20" w:after="20" w:line="240" w:lineRule="auto"/>
              <w:ind w:left="0" w:firstLine="0"/>
              <w:jc w:val="right"/>
            </w:pPr>
            <w:r>
              <w:rPr>
                <w:sz w:val="17"/>
                <w:szCs w:val="17"/>
              </w:rPr>
              <w:t xml:space="preserve">0.23</w:t>
            </w:r>
          </w:p>
        </w:tc>
      </w:tr>
      <w:tr>
        <w:trPr>
          <w:cantSplit/>
        </w:trPr>
        <w:tc>
          <w:tcPr>
            <w:tcW w:w="705" w:type="dxa"/>
          </w:tcPr>
          <w:p>
            <w:pPr>
              <w:pStyle w:val="Compact"/>
              <w:suppressLineNumbers/>
              <w:spacing w:before="20" w:after="20" w:line="240" w:lineRule="auto"/>
              <w:ind w:left="0" w:firstLine="0"/>
              <w:jc w:val="left"/>
            </w:pPr>
            <w:r>
              <w:rPr>
                <w:sz w:val="17"/>
                <w:szCs w:val="17"/>
              </w:rPr>
              <w:t xml:space="preserve">UCS</w:t>
            </w:r>
          </w:p>
        </w:tc>
        <w:tc>
          <w:tcPr>
            <w:tcW w:w="1881" w:type="dxa"/>
          </w:tcPr>
          <w:p>
            <w:pPr>
              <w:pStyle w:val="Compact"/>
              <w:suppressLineNumbers/>
              <w:spacing w:before="20" w:after="20" w:line="240" w:lineRule="auto"/>
              <w:ind w:left="0" w:firstLine="0"/>
              <w:jc w:val="left"/>
            </w:pPr>
            <w:r>
              <w:rPr>
                <w:sz w:val="17"/>
                <w:szCs w:val="17"/>
              </w:rPr>
              <w:t xml:space="preserve">Ridge</w:t>
            </w:r>
          </w:p>
        </w:tc>
        <w:tc>
          <w:tcPr>
            <w:tcW w:w="1471" w:type="dxa"/>
          </w:tcPr>
          <w:p>
            <w:pPr>
              <w:pStyle w:val="Compact"/>
              <w:suppressLineNumbers/>
              <w:spacing w:before="20" w:after="20" w:line="240" w:lineRule="auto"/>
              <w:ind w:left="0" w:firstLine="0"/>
              <w:jc w:val="left"/>
            </w:pPr>
            <w:r>
              <w:rPr>
                <w:sz w:val="17"/>
                <w:szCs w:val="17"/>
              </w:rPr>
              <w:t xml:space="preserve">within-study inputs + families</w:t>
            </w:r>
          </w:p>
        </w:tc>
        <w:tc>
          <w:tcPr>
            <w:tcW w:w="1058" w:type="dxa"/>
          </w:tcPr>
          <w:p>
            <w:pPr>
              <w:pStyle w:val="Compact"/>
              <w:suppressLineNumbers/>
              <w:spacing w:before="20" w:after="20" w:line="240" w:lineRule="auto"/>
              <w:ind w:left="0" w:firstLine="0"/>
              <w:jc w:val="right"/>
            </w:pPr>
            <w:r>
              <w:rPr>
                <w:sz w:val="17"/>
                <w:szCs w:val="17"/>
              </w:rPr>
              <w:t xml:space="preserve">0.566</w:t>
            </w:r>
          </w:p>
        </w:tc>
        <w:tc>
          <w:tcPr>
            <w:tcW w:w="740" w:type="dxa"/>
          </w:tcPr>
          <w:p>
            <w:pPr>
              <w:pStyle w:val="Compact"/>
              <w:suppressLineNumbers/>
              <w:spacing w:before="20" w:after="20" w:line="240" w:lineRule="auto"/>
              <w:ind w:left="0" w:firstLine="0"/>
              <w:jc w:val="right"/>
            </w:pPr>
            <w:r>
              <w:rPr>
                <w:sz w:val="17"/>
                <w:szCs w:val="17"/>
              </w:rPr>
              <w:t xml:space="preserve">−1.14</w:t>
            </w:r>
          </w:p>
        </w:tc>
        <w:tc>
          <w:tcPr>
            <w:tcW w:w="1503" w:type="dxa"/>
          </w:tcPr>
          <w:p>
            <w:pPr>
              <w:pStyle w:val="Compact"/>
              <w:suppressLineNumbers/>
              <w:spacing w:before="20" w:after="20" w:line="240" w:lineRule="auto"/>
              <w:ind w:left="0" w:firstLine="0"/>
              <w:jc w:val="left"/>
            </w:pPr>
            <w:r>
              <w:rPr>
                <w:sz w:val="17"/>
                <w:szCs w:val="17"/>
              </w:rPr>
              <w:t xml:space="preserve">+0.153 (0.042 to 0.266)</w:t>
            </w:r>
          </w:p>
        </w:tc>
        <w:tc>
          <w:tcPr>
            <w:tcW w:w="823" w:type="dxa"/>
          </w:tcPr>
          <w:p>
            <w:pPr>
              <w:pStyle w:val="Compact"/>
              <w:suppressLineNumbers/>
              <w:spacing w:before="20" w:after="20" w:line="240" w:lineRule="auto"/>
              <w:ind w:left="0" w:firstLine="0"/>
              <w:jc w:val="left"/>
            </w:pPr>
            <w:r>
              <w:rPr>
                <w:sz w:val="17"/>
                <w:szCs w:val="17"/>
              </w:rPr>
              <w:t xml:space="preserve">6/19</w:t>
            </w:r>
          </w:p>
        </w:tc>
        <w:tc>
          <w:tcPr>
            <w:tcW w:w="1175" w:type="dxa"/>
          </w:tcPr>
          <w:p>
            <w:pPr>
              <w:pStyle w:val="Compact"/>
              <w:suppressLineNumbers/>
              <w:spacing w:before="20" w:after="20" w:line="240" w:lineRule="auto"/>
              <w:ind w:left="0" w:firstLine="0"/>
              <w:jc w:val="right"/>
            </w:pPr>
            <w:r>
              <w:rPr>
                <w:sz w:val="17"/>
                <w:szCs w:val="17"/>
              </w:rPr>
              <w:t xml:space="preserve">0.03</w:t>
            </w:r>
          </w:p>
        </w:tc>
      </w:tr>
      <w:tr>
        <w:trPr>
          <w:cantSplit/>
        </w:trPr>
        <w:tc>
          <w:tcPr>
            <w:tcW w:w="705" w:type="dxa"/>
          </w:tcPr>
          <w:p>
            <w:pPr>
              <w:pStyle w:val="Compact"/>
              <w:suppressLineNumbers/>
              <w:spacing w:before="20" w:after="20" w:line="240" w:lineRule="auto"/>
              <w:ind w:left="0" w:firstLine="0"/>
              <w:jc w:val="left"/>
            </w:pPr>
            <w:r>
              <w:rPr>
                <w:sz w:val="17"/>
                <w:szCs w:val="17"/>
              </w:rPr>
              <w:t xml:space="preserve">CBR</w:t>
            </w:r>
          </w:p>
        </w:tc>
        <w:tc>
          <w:tcPr>
            <w:tcW w:w="1881" w:type="dxa"/>
          </w:tcPr>
          <w:p>
            <w:pPr>
              <w:pStyle w:val="Compact"/>
              <w:suppressLineNumbers/>
              <w:spacing w:before="20" w:after="20" w:line="240" w:lineRule="auto"/>
              <w:ind w:left="0" w:firstLine="0"/>
              <w:jc w:val="left"/>
            </w:pPr>
            <w:r>
              <w:rPr>
                <w:sz w:val="17"/>
                <w:szCs w:val="17"/>
              </w:rPr>
              <w:t xml:space="preserve">Training mean</w:t>
            </w:r>
          </w:p>
        </w:tc>
        <w:tc>
          <w:tcPr>
            <w:tcW w:w="1471" w:type="dxa"/>
          </w:tcPr>
          <w:p>
            <w:pPr>
              <w:pStyle w:val="Compact"/>
              <w:suppressLineNumbers/>
              <w:spacing w:before="20" w:after="20" w:line="240" w:lineRule="auto"/>
              <w:ind w:left="0" w:firstLine="0"/>
              <w:jc w:val="left"/>
            </w:pPr>
            <w:r>
              <w:rPr>
                <w:sz w:val="17"/>
                <w:szCs w:val="17"/>
              </w:rPr>
              <w:t xml:space="preserve">—</w:t>
            </w:r>
          </w:p>
        </w:tc>
        <w:tc>
          <w:tcPr>
            <w:tcW w:w="1058" w:type="dxa"/>
          </w:tcPr>
          <w:p>
            <w:pPr>
              <w:pStyle w:val="Compact"/>
              <w:suppressLineNumbers/>
              <w:spacing w:before="20" w:after="20" w:line="240" w:lineRule="auto"/>
              <w:ind w:left="0" w:firstLine="0"/>
              <w:jc w:val="right"/>
            </w:pPr>
            <w:r>
              <w:rPr>
                <w:sz w:val="17"/>
                <w:szCs w:val="17"/>
              </w:rPr>
              <w:t xml:space="preserve">0.392</w:t>
            </w:r>
          </w:p>
        </w:tc>
        <w:tc>
          <w:tcPr>
            <w:tcW w:w="740" w:type="dxa"/>
          </w:tcPr>
          <w:p>
            <w:pPr>
              <w:pStyle w:val="Compact"/>
              <w:suppressLineNumbers/>
              <w:spacing w:before="20" w:after="20" w:line="240" w:lineRule="auto"/>
              <w:ind w:left="0" w:firstLine="0"/>
              <w:jc w:val="right"/>
            </w:pPr>
            <w:r>
              <w:rPr>
                <w:sz w:val="17"/>
                <w:szCs w:val="17"/>
              </w:rPr>
              <w:t xml:space="preserve">−0.10</w:t>
            </w:r>
          </w:p>
        </w:tc>
        <w:tc>
          <w:tcPr>
            <w:tcW w:w="1503" w:type="dxa"/>
          </w:tcPr>
          <w:p>
            <w:pPr>
              <w:pStyle w:val="Compact"/>
              <w:suppressLineNumbers/>
              <w:spacing w:before="20" w:after="20" w:line="240" w:lineRule="auto"/>
              <w:ind w:left="0" w:firstLine="0"/>
              <w:jc w:val="left"/>
            </w:pPr>
            <w:r>
              <w:rPr>
                <w:sz w:val="17"/>
                <w:szCs w:val="17"/>
              </w:rPr>
              <w:t xml:space="preserve">—</w:t>
            </w:r>
          </w:p>
        </w:tc>
        <w:tc>
          <w:tcPr>
            <w:tcW w:w="823" w:type="dxa"/>
          </w:tcPr>
          <w:p>
            <w:pPr>
              <w:pStyle w:val="Compact"/>
              <w:suppressLineNumbers/>
              <w:spacing w:before="20" w:after="20" w:line="240" w:lineRule="auto"/>
              <w:ind w:left="0" w:firstLine="0"/>
              <w:jc w:val="left"/>
            </w:pPr>
            <w:r>
              <w:rPr>
                <w:sz w:val="17"/>
                <w:szCs w:val="17"/>
              </w:rPr>
              <w:t xml:space="preserve">—</w:t>
            </w:r>
          </w:p>
        </w:tc>
        <w:tc>
          <w:tcPr>
            <w:tcW w:w="1175" w:type="dxa"/>
          </w:tcPr>
          <w:p>
            <w:pPr>
              <w:pStyle w:val="Compact"/>
              <w:suppressLineNumbers/>
              <w:spacing w:before="20" w:after="20" w:line="240" w:lineRule="auto"/>
              <w:ind w:left="0" w:firstLine="0"/>
              <w:jc w:val="right"/>
            </w:pPr>
            <w:r>
              <w:rPr>
                <w:sz w:val="17"/>
                <w:szCs w:val="17"/>
              </w:rPr>
              <w:t xml:space="preserve">—</w:t>
            </w:r>
          </w:p>
        </w:tc>
      </w:tr>
      <w:tr>
        <w:trPr>
          <w:cantSplit/>
        </w:trPr>
        <w:tc>
          <w:tcPr>
            <w:tcW w:w="705" w:type="dxa"/>
          </w:tcPr>
          <w:p>
            <w:pPr>
              <w:pStyle w:val="Compact"/>
              <w:suppressLineNumbers/>
              <w:spacing w:before="20" w:after="20" w:line="240" w:lineRule="auto"/>
              <w:ind w:left="0" w:firstLine="0"/>
              <w:jc w:val="left"/>
            </w:pPr>
            <w:r>
              <w:rPr>
                <w:sz w:val="17"/>
                <w:szCs w:val="17"/>
              </w:rPr>
              <w:t xml:space="preserve">CBR</w:t>
            </w:r>
          </w:p>
        </w:tc>
        <w:tc>
          <w:tcPr>
            <w:tcW w:w="1881" w:type="dxa"/>
          </w:tcPr>
          <w:p>
            <w:pPr>
              <w:pStyle w:val="Compact"/>
              <w:suppressLineNumbers/>
              <w:spacing w:before="20" w:after="20" w:line="240" w:lineRule="auto"/>
              <w:ind w:left="0" w:firstLine="0"/>
              <w:jc w:val="left"/>
            </w:pPr>
            <w:r>
              <w:rPr>
                <w:sz w:val="17"/>
                <w:szCs w:val="17"/>
              </w:rPr>
              <w:t xml:space="preserve">Random-intercept LMM</w:t>
            </w:r>
          </w:p>
        </w:tc>
        <w:tc>
          <w:tcPr>
            <w:tcW w:w="1471" w:type="dxa"/>
          </w:tcPr>
          <w:p>
            <w:pPr>
              <w:pStyle w:val="Compact"/>
              <w:suppressLineNumbers/>
              <w:spacing w:before="20" w:after="20" w:line="240" w:lineRule="auto"/>
              <w:ind w:left="0" w:firstLine="0"/>
              <w:jc w:val="left"/>
            </w:pPr>
            <w:r>
              <w:rPr>
                <w:sz w:val="17"/>
                <w:szCs w:val="17"/>
              </w:rPr>
              <w:t xml:space="preserve">none</w:t>
            </w:r>
          </w:p>
        </w:tc>
        <w:tc>
          <w:tcPr>
            <w:tcW w:w="1058" w:type="dxa"/>
          </w:tcPr>
          <w:p>
            <w:pPr>
              <w:pStyle w:val="Compact"/>
              <w:suppressLineNumbers/>
              <w:spacing w:before="20" w:after="20" w:line="240" w:lineRule="auto"/>
              <w:ind w:left="0" w:firstLine="0"/>
              <w:jc w:val="right"/>
            </w:pPr>
            <w:r>
              <w:rPr>
                <w:sz w:val="17"/>
                <w:szCs w:val="17"/>
              </w:rPr>
              <w:t xml:space="preserve">0.397</w:t>
            </w:r>
          </w:p>
        </w:tc>
        <w:tc>
          <w:tcPr>
            <w:tcW w:w="740" w:type="dxa"/>
          </w:tcPr>
          <w:p>
            <w:pPr>
              <w:pStyle w:val="Compact"/>
              <w:suppressLineNumbers/>
              <w:spacing w:before="20" w:after="20" w:line="240" w:lineRule="auto"/>
              <w:ind w:left="0" w:firstLine="0"/>
              <w:jc w:val="right"/>
            </w:pPr>
            <w:r>
              <w:rPr>
                <w:sz w:val="17"/>
                <w:szCs w:val="17"/>
              </w:rPr>
              <w:t xml:space="preserve">−0.06</w:t>
            </w:r>
          </w:p>
        </w:tc>
        <w:tc>
          <w:tcPr>
            <w:tcW w:w="1503" w:type="dxa"/>
          </w:tcPr>
          <w:p>
            <w:pPr>
              <w:pStyle w:val="Compact"/>
              <w:suppressLineNumbers/>
              <w:spacing w:before="20" w:after="20" w:line="240" w:lineRule="auto"/>
              <w:ind w:left="0" w:firstLine="0"/>
              <w:jc w:val="left"/>
            </w:pPr>
            <w:r>
              <w:rPr>
                <w:sz w:val="17"/>
                <w:szCs w:val="17"/>
              </w:rPr>
              <w:t xml:space="preserve">+0.006 (−0.003 to 0.013)</w:t>
            </w:r>
          </w:p>
        </w:tc>
        <w:tc>
          <w:tcPr>
            <w:tcW w:w="823" w:type="dxa"/>
          </w:tcPr>
          <w:p>
            <w:pPr>
              <w:pStyle w:val="Compact"/>
              <w:suppressLineNumbers/>
              <w:spacing w:before="20" w:after="20" w:line="240" w:lineRule="auto"/>
              <w:ind w:left="0" w:firstLine="0"/>
              <w:jc w:val="left"/>
            </w:pPr>
            <w:r>
              <w:rPr>
                <w:sz w:val="17"/>
                <w:szCs w:val="17"/>
              </w:rPr>
              <w:t xml:space="preserve">2/10</w:t>
            </w:r>
          </w:p>
        </w:tc>
        <w:tc>
          <w:tcPr>
            <w:tcW w:w="1175" w:type="dxa"/>
          </w:tcPr>
          <w:p>
            <w:pPr>
              <w:pStyle w:val="Compact"/>
              <w:suppressLineNumbers/>
              <w:spacing w:before="20" w:after="20" w:line="240" w:lineRule="auto"/>
              <w:ind w:left="0" w:firstLine="0"/>
              <w:jc w:val="right"/>
            </w:pPr>
            <w:r>
              <w:rPr>
                <w:sz w:val="17"/>
                <w:szCs w:val="17"/>
              </w:rPr>
              <w:t xml:space="preserve">0.16</w:t>
            </w:r>
          </w:p>
        </w:tc>
      </w:tr>
      <w:tr>
        <w:trPr>
          <w:cantSplit/>
        </w:trPr>
        <w:tc>
          <w:tcPr>
            <w:tcW w:w="705" w:type="dxa"/>
          </w:tcPr>
          <w:p>
            <w:pPr>
              <w:pStyle w:val="Compact"/>
              <w:suppressLineNumbers/>
              <w:spacing w:before="20" w:after="20" w:line="240" w:lineRule="auto"/>
              <w:ind w:left="0" w:firstLine="0"/>
              <w:jc w:val="left"/>
            </w:pPr>
            <w:r>
              <w:rPr>
                <w:sz w:val="17"/>
                <w:szCs w:val="17"/>
              </w:rPr>
              <w:t xml:space="preserve">CBR</w:t>
            </w:r>
          </w:p>
        </w:tc>
        <w:tc>
          <w:tcPr>
            <w:tcW w:w="1881" w:type="dxa"/>
          </w:tcPr>
          <w:p>
            <w:pPr>
              <w:pStyle w:val="Compact"/>
              <w:suppressLineNumbers/>
              <w:spacing w:before="20" w:after="20" w:line="240" w:lineRule="auto"/>
              <w:ind w:left="0" w:firstLine="0"/>
              <w:jc w:val="left"/>
            </w:pPr>
            <w:r>
              <w:rPr>
                <w:sz w:val="17"/>
                <w:szCs w:val="17"/>
              </w:rPr>
              <w:t xml:space="preserve">Random-intercept LMM</w:t>
            </w:r>
          </w:p>
        </w:tc>
        <w:tc>
          <w:tcPr>
            <w:tcW w:w="1471" w:type="dxa"/>
          </w:tcPr>
          <w:p>
            <w:pPr>
              <w:pStyle w:val="Compact"/>
              <w:suppressLineNumbers/>
              <w:spacing w:before="20" w:after="20" w:line="240" w:lineRule="auto"/>
              <w:ind w:left="0" w:firstLine="0"/>
              <w:jc w:val="left"/>
            </w:pPr>
            <w:r>
              <w:rPr>
                <w:sz w:val="17"/>
                <w:szCs w:val="17"/>
              </w:rPr>
              <w:t xml:space="preserve">doses, curing, condition</w:t>
            </w:r>
          </w:p>
        </w:tc>
        <w:tc>
          <w:tcPr>
            <w:tcW w:w="1058" w:type="dxa"/>
          </w:tcPr>
          <w:p>
            <w:pPr>
              <w:pStyle w:val="Compact"/>
              <w:suppressLineNumbers/>
              <w:spacing w:before="20" w:after="20" w:line="240" w:lineRule="auto"/>
              <w:ind w:left="0" w:firstLine="0"/>
              <w:jc w:val="right"/>
            </w:pPr>
            <w:r>
              <w:rPr>
                <w:sz w:val="17"/>
                <w:szCs w:val="17"/>
              </w:rPr>
              <w:t xml:space="preserve">0.476</w:t>
            </w:r>
          </w:p>
        </w:tc>
        <w:tc>
          <w:tcPr>
            <w:tcW w:w="740" w:type="dxa"/>
          </w:tcPr>
          <w:p>
            <w:pPr>
              <w:pStyle w:val="Compact"/>
              <w:suppressLineNumbers/>
              <w:spacing w:before="20" w:after="20" w:line="240" w:lineRule="auto"/>
              <w:ind w:left="0" w:firstLine="0"/>
              <w:jc w:val="right"/>
            </w:pPr>
            <w:r>
              <w:rPr>
                <w:sz w:val="17"/>
                <w:szCs w:val="17"/>
              </w:rPr>
              <w:t xml:space="preserve">−0.25</w:t>
            </w:r>
          </w:p>
        </w:tc>
        <w:tc>
          <w:tcPr>
            <w:tcW w:w="1503" w:type="dxa"/>
          </w:tcPr>
          <w:p>
            <w:pPr>
              <w:pStyle w:val="Compact"/>
              <w:suppressLineNumbers/>
              <w:spacing w:before="20" w:after="20" w:line="240" w:lineRule="auto"/>
              <w:ind w:left="0" w:firstLine="0"/>
              <w:jc w:val="left"/>
            </w:pPr>
            <w:r>
              <w:rPr>
                <w:sz w:val="17"/>
                <w:szCs w:val="17"/>
              </w:rPr>
              <w:t xml:space="preserve">+0.085 (−0.024 to 0.205)</w:t>
            </w:r>
          </w:p>
        </w:tc>
        <w:tc>
          <w:tcPr>
            <w:tcW w:w="823" w:type="dxa"/>
          </w:tcPr>
          <w:p>
            <w:pPr>
              <w:pStyle w:val="Compact"/>
              <w:suppressLineNumbers/>
              <w:spacing w:before="20" w:after="20" w:line="240" w:lineRule="auto"/>
              <w:ind w:left="0" w:firstLine="0"/>
              <w:jc w:val="left"/>
            </w:pPr>
            <w:r>
              <w:rPr>
                <w:sz w:val="17"/>
                <w:szCs w:val="17"/>
              </w:rPr>
              <w:t xml:space="preserve">4/10</w:t>
            </w:r>
          </w:p>
        </w:tc>
        <w:tc>
          <w:tcPr>
            <w:tcW w:w="1175" w:type="dxa"/>
          </w:tcPr>
          <w:p>
            <w:pPr>
              <w:pStyle w:val="Compact"/>
              <w:suppressLineNumbers/>
              <w:spacing w:before="20" w:after="20" w:line="240" w:lineRule="auto"/>
              <w:ind w:left="0" w:firstLine="0"/>
              <w:jc w:val="right"/>
            </w:pPr>
            <w:r>
              <w:rPr>
                <w:sz w:val="17"/>
                <w:szCs w:val="17"/>
              </w:rPr>
              <w:t xml:space="preserve">0.32</w:t>
            </w:r>
          </w:p>
        </w:tc>
      </w:tr>
      <w:tr>
        <w:trPr>
          <w:cantSplit/>
        </w:trPr>
        <w:tc>
          <w:tcPr>
            <w:tcW w:w="705" w:type="dxa"/>
          </w:tcPr>
          <w:p>
            <w:pPr>
              <w:pStyle w:val="Compact"/>
              <w:suppressLineNumbers/>
              <w:spacing w:before="20" w:after="20" w:line="240" w:lineRule="auto"/>
              <w:ind w:left="0" w:firstLine="0"/>
              <w:jc w:val="left"/>
            </w:pPr>
            <w:r>
              <w:rPr>
                <w:sz w:val="17"/>
                <w:szCs w:val="17"/>
              </w:rPr>
              <w:t xml:space="preserve">CBR</w:t>
            </w:r>
          </w:p>
        </w:tc>
        <w:tc>
          <w:tcPr>
            <w:tcW w:w="1881" w:type="dxa"/>
          </w:tcPr>
          <w:p>
            <w:pPr>
              <w:pStyle w:val="Compact"/>
              <w:suppressLineNumbers/>
              <w:spacing w:before="20" w:after="20" w:line="240" w:lineRule="auto"/>
              <w:ind w:left="0" w:firstLine="0"/>
              <w:jc w:val="left"/>
            </w:pPr>
            <w:r>
              <w:rPr>
                <w:sz w:val="17"/>
                <w:szCs w:val="17"/>
              </w:rPr>
              <w:t xml:space="preserve">Random-intercept LMM</w:t>
            </w:r>
          </w:p>
        </w:tc>
        <w:tc>
          <w:tcPr>
            <w:tcW w:w="1471" w:type="dxa"/>
          </w:tcPr>
          <w:p>
            <w:pPr>
              <w:pStyle w:val="Compact"/>
              <w:suppressLineNumbers/>
              <w:spacing w:before="20" w:after="20" w:line="240" w:lineRule="auto"/>
              <w:ind w:left="0" w:firstLine="0"/>
              <w:jc w:val="left"/>
            </w:pPr>
            <w:r>
              <w:rPr>
                <w:sz w:val="17"/>
                <w:szCs w:val="17"/>
              </w:rPr>
              <w:t xml:space="preserve">+ family indicators</w:t>
            </w:r>
          </w:p>
        </w:tc>
        <w:tc>
          <w:tcPr>
            <w:tcW w:w="1058" w:type="dxa"/>
          </w:tcPr>
          <w:p>
            <w:pPr>
              <w:pStyle w:val="Compact"/>
              <w:suppressLineNumbers/>
              <w:spacing w:before="20" w:after="20" w:line="240" w:lineRule="auto"/>
              <w:ind w:left="0" w:firstLine="0"/>
              <w:jc w:val="right"/>
            </w:pPr>
            <w:r>
              <w:rPr>
                <w:sz w:val="17"/>
                <w:szCs w:val="17"/>
              </w:rPr>
              <w:t xml:space="preserve">0.540</w:t>
            </w:r>
          </w:p>
        </w:tc>
        <w:tc>
          <w:tcPr>
            <w:tcW w:w="740" w:type="dxa"/>
          </w:tcPr>
          <w:p>
            <w:pPr>
              <w:pStyle w:val="Compact"/>
              <w:suppressLineNumbers/>
              <w:spacing w:before="20" w:after="20" w:line="240" w:lineRule="auto"/>
              <w:ind w:left="0" w:firstLine="0"/>
              <w:jc w:val="right"/>
            </w:pPr>
            <w:r>
              <w:rPr>
                <w:sz w:val="17"/>
                <w:szCs w:val="17"/>
              </w:rPr>
              <w:t xml:space="preserve">−0.64</w:t>
            </w:r>
          </w:p>
        </w:tc>
        <w:tc>
          <w:tcPr>
            <w:tcW w:w="1503" w:type="dxa"/>
          </w:tcPr>
          <w:p>
            <w:pPr>
              <w:pStyle w:val="Compact"/>
              <w:suppressLineNumbers/>
              <w:spacing w:before="20" w:after="20" w:line="240" w:lineRule="auto"/>
              <w:ind w:left="0" w:firstLine="0"/>
              <w:jc w:val="left"/>
            </w:pPr>
            <w:r>
              <w:rPr>
                <w:sz w:val="17"/>
                <w:szCs w:val="17"/>
              </w:rPr>
              <w:t xml:space="preserve">+0.148 (0.028 to 0.266)</w:t>
            </w:r>
          </w:p>
        </w:tc>
        <w:tc>
          <w:tcPr>
            <w:tcW w:w="823" w:type="dxa"/>
          </w:tcPr>
          <w:p>
            <w:pPr>
              <w:pStyle w:val="Compact"/>
              <w:suppressLineNumbers/>
              <w:spacing w:before="20" w:after="20" w:line="240" w:lineRule="auto"/>
              <w:ind w:left="0" w:firstLine="0"/>
              <w:jc w:val="left"/>
            </w:pPr>
            <w:r>
              <w:rPr>
                <w:sz w:val="17"/>
                <w:szCs w:val="17"/>
              </w:rPr>
              <w:t xml:space="preserve">3/10</w:t>
            </w:r>
          </w:p>
        </w:tc>
        <w:tc>
          <w:tcPr>
            <w:tcW w:w="1175" w:type="dxa"/>
          </w:tcPr>
          <w:p>
            <w:pPr>
              <w:pStyle w:val="Compact"/>
              <w:suppressLineNumbers/>
              <w:spacing w:before="20" w:after="20" w:line="240" w:lineRule="auto"/>
              <w:ind w:left="0" w:firstLine="0"/>
              <w:jc w:val="right"/>
            </w:pPr>
            <w:r>
              <w:rPr>
                <w:sz w:val="17"/>
                <w:szCs w:val="17"/>
              </w:rPr>
              <w:t xml:space="preserve">0.08</w:t>
            </w:r>
          </w:p>
        </w:tc>
      </w:tr>
      <w:tr>
        <w:trPr>
          <w:cantSplit/>
        </w:trPr>
        <w:tc>
          <w:tcPr>
            <w:tcW w:w="705" w:type="dxa"/>
          </w:tcPr>
          <w:p>
            <w:pPr>
              <w:pStyle w:val="Compact"/>
              <w:suppressLineNumbers/>
              <w:spacing w:before="20" w:after="20" w:line="240" w:lineRule="auto"/>
              <w:ind w:left="0" w:firstLine="0"/>
              <w:jc w:val="left"/>
            </w:pPr>
            <w:r>
              <w:rPr>
                <w:sz w:val="17"/>
                <w:szCs w:val="17"/>
              </w:rPr>
              <w:t xml:space="preserve">CBR</w:t>
            </w:r>
          </w:p>
        </w:tc>
        <w:tc>
          <w:tcPr>
            <w:tcW w:w="1881" w:type="dxa"/>
          </w:tcPr>
          <w:p>
            <w:pPr>
              <w:pStyle w:val="Compact"/>
              <w:suppressLineNumbers/>
              <w:spacing w:before="20" w:after="20" w:line="240" w:lineRule="auto"/>
              <w:ind w:left="0" w:firstLine="0"/>
              <w:jc w:val="left"/>
            </w:pPr>
            <w:r>
              <w:rPr>
                <w:sz w:val="17"/>
                <w:szCs w:val="17"/>
              </w:rPr>
              <w:t xml:space="preserve">Random-intercept LMM</w:t>
            </w:r>
          </w:p>
        </w:tc>
        <w:tc>
          <w:tcPr>
            <w:tcW w:w="1471" w:type="dxa"/>
          </w:tcPr>
          <w:p>
            <w:pPr>
              <w:pStyle w:val="Compact"/>
              <w:suppressLineNumbers/>
              <w:spacing w:before="20" w:after="20" w:line="240" w:lineRule="auto"/>
              <w:ind w:left="0" w:firstLine="0"/>
              <w:jc w:val="left"/>
            </w:pPr>
            <w:r>
              <w:rPr>
                <w:sz w:val="17"/>
                <w:szCs w:val="17"/>
              </w:rPr>
              <w:t xml:space="preserve">+ families, soil properties</w:t>
            </w:r>
          </w:p>
        </w:tc>
        <w:tc>
          <w:tcPr>
            <w:tcW w:w="1058" w:type="dxa"/>
          </w:tcPr>
          <w:p>
            <w:pPr>
              <w:pStyle w:val="Compact"/>
              <w:suppressLineNumbers/>
              <w:spacing w:before="20" w:after="20" w:line="240" w:lineRule="auto"/>
              <w:ind w:left="0" w:firstLine="0"/>
              <w:jc w:val="right"/>
            </w:pPr>
            <w:r>
              <w:rPr>
                <w:sz w:val="17"/>
                <w:szCs w:val="17"/>
              </w:rPr>
              <w:t xml:space="preserve">0.552</w:t>
            </w:r>
          </w:p>
        </w:tc>
        <w:tc>
          <w:tcPr>
            <w:tcW w:w="740" w:type="dxa"/>
          </w:tcPr>
          <w:p>
            <w:pPr>
              <w:pStyle w:val="Compact"/>
              <w:suppressLineNumbers/>
              <w:spacing w:before="20" w:after="20" w:line="240" w:lineRule="auto"/>
              <w:ind w:left="0" w:firstLine="0"/>
              <w:jc w:val="right"/>
            </w:pPr>
            <w:r>
              <w:rPr>
                <w:sz w:val="17"/>
                <w:szCs w:val="17"/>
              </w:rPr>
              <w:t xml:space="preserve">−0.70</w:t>
            </w:r>
          </w:p>
        </w:tc>
        <w:tc>
          <w:tcPr>
            <w:tcW w:w="1503" w:type="dxa"/>
          </w:tcPr>
          <w:p>
            <w:pPr>
              <w:pStyle w:val="Compact"/>
              <w:suppressLineNumbers/>
              <w:spacing w:before="20" w:after="20" w:line="240" w:lineRule="auto"/>
              <w:ind w:left="0" w:firstLine="0"/>
              <w:jc w:val="left"/>
            </w:pPr>
            <w:r>
              <w:rPr>
                <w:sz w:val="17"/>
                <w:szCs w:val="17"/>
              </w:rPr>
              <w:t xml:space="preserve">+0.161 (0.039 to 0.296)</w:t>
            </w:r>
          </w:p>
        </w:tc>
        <w:tc>
          <w:tcPr>
            <w:tcW w:w="823" w:type="dxa"/>
          </w:tcPr>
          <w:p>
            <w:pPr>
              <w:pStyle w:val="Compact"/>
              <w:suppressLineNumbers/>
              <w:spacing w:before="20" w:after="20" w:line="240" w:lineRule="auto"/>
              <w:ind w:left="0" w:firstLine="0"/>
              <w:jc w:val="left"/>
            </w:pPr>
            <w:r>
              <w:rPr>
                <w:sz w:val="17"/>
                <w:szCs w:val="17"/>
              </w:rPr>
              <w:t xml:space="preserve">2/10</w:t>
            </w:r>
          </w:p>
        </w:tc>
        <w:tc>
          <w:tcPr>
            <w:tcW w:w="1175" w:type="dxa"/>
          </w:tcPr>
          <w:p>
            <w:pPr>
              <w:pStyle w:val="Compact"/>
              <w:suppressLineNumbers/>
              <w:spacing w:before="20" w:after="20" w:line="240" w:lineRule="auto"/>
              <w:ind w:left="0" w:firstLine="0"/>
              <w:jc w:val="right"/>
            </w:pPr>
            <w:r>
              <w:rPr>
                <w:sz w:val="17"/>
                <w:szCs w:val="17"/>
              </w:rPr>
              <w:t xml:space="preserve">0.06</w:t>
            </w:r>
          </w:p>
        </w:tc>
      </w:tr>
      <w:tr>
        <w:trPr>
          <w:cantSplit/>
        </w:trPr>
        <w:tc>
          <w:tcPr>
            <w:tcW w:w="705" w:type="dxa"/>
          </w:tcPr>
          <w:p>
            <w:pPr>
              <w:pStyle w:val="Compact"/>
              <w:suppressLineNumbers/>
              <w:spacing w:before="20" w:after="20" w:line="240" w:lineRule="auto"/>
              <w:ind w:left="0" w:firstLine="0"/>
              <w:jc w:val="left"/>
            </w:pPr>
            <w:r>
              <w:rPr>
                <w:sz w:val="17"/>
                <w:szCs w:val="17"/>
              </w:rPr>
              <w:t xml:space="preserve">CBR</w:t>
            </w:r>
          </w:p>
        </w:tc>
        <w:tc>
          <w:tcPr>
            <w:tcW w:w="1881" w:type="dxa"/>
          </w:tcPr>
          <w:p>
            <w:pPr>
              <w:pStyle w:val="Compact"/>
              <w:suppressLineNumbers/>
              <w:spacing w:before="20" w:after="20" w:line="240" w:lineRule="auto"/>
              <w:ind w:left="0" w:firstLine="0"/>
              <w:jc w:val="left"/>
            </w:pPr>
            <w:r>
              <w:rPr>
                <w:sz w:val="17"/>
                <w:szCs w:val="17"/>
              </w:rPr>
              <w:t xml:space="preserve">SVR (re-implemented)</w:t>
            </w:r>
          </w:p>
        </w:tc>
        <w:tc>
          <w:tcPr>
            <w:tcW w:w="1471" w:type="dxa"/>
          </w:tcPr>
          <w:p>
            <w:pPr>
              <w:pStyle w:val="Compact"/>
              <w:suppressLineNumbers/>
              <w:spacing w:before="20" w:after="20" w:line="240" w:lineRule="auto"/>
              <w:ind w:left="0" w:firstLine="0"/>
              <w:jc w:val="left"/>
            </w:pPr>
            <w:r>
              <w:rPr>
                <w:sz w:val="17"/>
                <w:szCs w:val="17"/>
              </w:rPr>
              <w:t xml:space="preserve">all (one-hot families, indicators)</w:t>
            </w:r>
          </w:p>
        </w:tc>
        <w:tc>
          <w:tcPr>
            <w:tcW w:w="1058" w:type="dxa"/>
          </w:tcPr>
          <w:p>
            <w:pPr>
              <w:pStyle w:val="Compact"/>
              <w:suppressLineNumbers/>
              <w:spacing w:before="20" w:after="20" w:line="240" w:lineRule="auto"/>
              <w:ind w:left="0" w:firstLine="0"/>
              <w:jc w:val="right"/>
            </w:pPr>
            <w:r>
              <w:rPr>
                <w:sz w:val="17"/>
                <w:szCs w:val="17"/>
              </w:rPr>
              <w:t xml:space="preserve">0.424</w:t>
            </w:r>
          </w:p>
        </w:tc>
        <w:tc>
          <w:tcPr>
            <w:tcW w:w="740" w:type="dxa"/>
          </w:tcPr>
          <w:p>
            <w:pPr>
              <w:pStyle w:val="Compact"/>
              <w:suppressLineNumbers/>
              <w:spacing w:before="20" w:after="20" w:line="240" w:lineRule="auto"/>
              <w:ind w:left="0" w:firstLine="0"/>
              <w:jc w:val="right"/>
            </w:pPr>
            <w:r>
              <w:rPr>
                <w:sz w:val="17"/>
                <w:szCs w:val="17"/>
              </w:rPr>
              <w:t xml:space="preserve">−0.03</w:t>
            </w:r>
          </w:p>
        </w:tc>
        <w:tc>
          <w:tcPr>
            <w:tcW w:w="1503" w:type="dxa"/>
          </w:tcPr>
          <w:p>
            <w:pPr>
              <w:pStyle w:val="Compact"/>
              <w:suppressLineNumbers/>
              <w:spacing w:before="20" w:after="20" w:line="240" w:lineRule="auto"/>
              <w:ind w:left="0" w:firstLine="0"/>
              <w:jc w:val="left"/>
            </w:pPr>
            <w:r>
              <w:rPr>
                <w:sz w:val="17"/>
                <w:szCs w:val="17"/>
              </w:rPr>
              <w:t xml:space="preserve">+0.032 (−0.028 to 0.102)</w:t>
            </w:r>
          </w:p>
        </w:tc>
        <w:tc>
          <w:tcPr>
            <w:tcW w:w="823" w:type="dxa"/>
          </w:tcPr>
          <w:p>
            <w:pPr>
              <w:pStyle w:val="Compact"/>
              <w:suppressLineNumbers/>
              <w:spacing w:before="20" w:after="20" w:line="240" w:lineRule="auto"/>
              <w:ind w:left="0" w:firstLine="0"/>
              <w:jc w:val="left"/>
            </w:pPr>
            <w:r>
              <w:rPr>
                <w:sz w:val="17"/>
                <w:szCs w:val="17"/>
              </w:rPr>
              <w:t xml:space="preserve">5/10</w:t>
            </w:r>
          </w:p>
        </w:tc>
        <w:tc>
          <w:tcPr>
            <w:tcW w:w="1175" w:type="dxa"/>
          </w:tcPr>
          <w:p>
            <w:pPr>
              <w:pStyle w:val="Compact"/>
              <w:suppressLineNumbers/>
              <w:spacing w:before="20" w:after="20" w:line="240" w:lineRule="auto"/>
              <w:ind w:left="0" w:firstLine="0"/>
              <w:jc w:val="right"/>
            </w:pPr>
            <w:r>
              <w:rPr>
                <w:sz w:val="17"/>
                <w:szCs w:val="17"/>
              </w:rPr>
              <w:t xml:space="preserve">0.43</w:t>
            </w:r>
          </w:p>
        </w:tc>
      </w:tr>
      <w:tr>
        <w:trPr>
          <w:cantSplit/>
        </w:trPr>
        <w:tc>
          <w:tcPr>
            <w:tcW w:w="705" w:type="dxa"/>
          </w:tcPr>
          <w:p>
            <w:pPr>
              <w:pStyle w:val="Compact"/>
              <w:suppressLineNumbers/>
              <w:spacing w:before="20" w:after="20" w:line="240" w:lineRule="auto"/>
              <w:ind w:left="0" w:firstLine="0"/>
              <w:jc w:val="left"/>
            </w:pPr>
            <w:r>
              <w:rPr>
                <w:sz w:val="17"/>
                <w:szCs w:val="17"/>
              </w:rPr>
              <w:t xml:space="preserve">CBR</w:t>
            </w:r>
          </w:p>
        </w:tc>
        <w:tc>
          <w:tcPr>
            <w:tcW w:w="1881" w:type="dxa"/>
          </w:tcPr>
          <w:p>
            <w:pPr>
              <w:pStyle w:val="Compact"/>
              <w:suppressLineNumbers/>
              <w:spacing w:before="20" w:after="20" w:line="240" w:lineRule="auto"/>
              <w:ind w:left="0" w:firstLine="0"/>
              <w:jc w:val="left"/>
            </w:pPr>
            <w:r>
              <w:rPr>
                <w:sz w:val="17"/>
                <w:szCs w:val="17"/>
              </w:rPr>
              <w:t xml:space="preserve">SVR (re-implemented)</w:t>
            </w:r>
          </w:p>
        </w:tc>
        <w:tc>
          <w:tcPr>
            <w:tcW w:w="1471" w:type="dxa"/>
          </w:tcPr>
          <w:p>
            <w:pPr>
              <w:pStyle w:val="Compact"/>
              <w:suppressLineNumbers/>
              <w:spacing w:before="20" w:after="20" w:line="240" w:lineRule="auto"/>
              <w:ind w:left="0" w:firstLine="0"/>
              <w:jc w:val="left"/>
            </w:pPr>
            <w:r>
              <w:rPr>
                <w:sz w:val="17"/>
                <w:szCs w:val="17"/>
              </w:rPr>
              <w:t xml:space="preserve">within-study inputs + families</w:t>
            </w:r>
          </w:p>
        </w:tc>
        <w:tc>
          <w:tcPr>
            <w:tcW w:w="1058" w:type="dxa"/>
          </w:tcPr>
          <w:p>
            <w:pPr>
              <w:pStyle w:val="Compact"/>
              <w:suppressLineNumbers/>
              <w:spacing w:before="20" w:after="20" w:line="240" w:lineRule="auto"/>
              <w:ind w:left="0" w:firstLine="0"/>
              <w:jc w:val="right"/>
            </w:pPr>
            <w:r>
              <w:rPr>
                <w:sz w:val="17"/>
                <w:szCs w:val="17"/>
              </w:rPr>
              <w:t xml:space="preserve">0.439</w:t>
            </w:r>
          </w:p>
        </w:tc>
        <w:tc>
          <w:tcPr>
            <w:tcW w:w="740" w:type="dxa"/>
          </w:tcPr>
          <w:p>
            <w:pPr>
              <w:pStyle w:val="Compact"/>
              <w:suppressLineNumbers/>
              <w:spacing w:before="20" w:after="20" w:line="240" w:lineRule="auto"/>
              <w:ind w:left="0" w:firstLine="0"/>
              <w:jc w:val="right"/>
            </w:pPr>
            <w:r>
              <w:rPr>
                <w:sz w:val="17"/>
                <w:szCs w:val="17"/>
              </w:rPr>
              <w:t xml:space="preserve">−0.01</w:t>
            </w:r>
          </w:p>
        </w:tc>
        <w:tc>
          <w:tcPr>
            <w:tcW w:w="1503" w:type="dxa"/>
          </w:tcPr>
          <w:p>
            <w:pPr>
              <w:pStyle w:val="Compact"/>
              <w:suppressLineNumbers/>
              <w:spacing w:before="20" w:after="20" w:line="240" w:lineRule="auto"/>
              <w:ind w:left="0" w:firstLine="0"/>
              <w:jc w:val="left"/>
            </w:pPr>
            <w:r>
              <w:rPr>
                <w:sz w:val="17"/>
                <w:szCs w:val="17"/>
              </w:rPr>
              <w:t xml:space="preserve">+0.047 (−0.041 to 0.140)</w:t>
            </w:r>
          </w:p>
        </w:tc>
        <w:tc>
          <w:tcPr>
            <w:tcW w:w="823" w:type="dxa"/>
          </w:tcPr>
          <w:p>
            <w:pPr>
              <w:pStyle w:val="Compact"/>
              <w:suppressLineNumbers/>
              <w:spacing w:before="20" w:after="20" w:line="240" w:lineRule="auto"/>
              <w:ind w:left="0" w:firstLine="0"/>
              <w:jc w:val="left"/>
            </w:pPr>
            <w:r>
              <w:rPr>
                <w:sz w:val="17"/>
                <w:szCs w:val="17"/>
              </w:rPr>
              <w:t xml:space="preserve">5/10</w:t>
            </w:r>
          </w:p>
        </w:tc>
        <w:tc>
          <w:tcPr>
            <w:tcW w:w="1175" w:type="dxa"/>
          </w:tcPr>
          <w:p>
            <w:pPr>
              <w:pStyle w:val="Compact"/>
              <w:suppressLineNumbers/>
              <w:spacing w:before="20" w:after="20" w:line="240" w:lineRule="auto"/>
              <w:ind w:left="0" w:firstLine="0"/>
              <w:jc w:val="right"/>
            </w:pPr>
            <w:r>
              <w:rPr>
                <w:sz w:val="17"/>
                <w:szCs w:val="17"/>
              </w:rPr>
              <w:t xml:space="preserve">0.43</w:t>
            </w:r>
          </w:p>
        </w:tc>
      </w:tr>
      <w:tr>
        <w:trPr>
          <w:cantSplit/>
        </w:trPr>
        <w:tc>
          <w:tcPr>
            <w:tcW w:w="705" w:type="dxa"/>
          </w:tcPr>
          <w:p>
            <w:pPr>
              <w:pStyle w:val="Compact"/>
              <w:suppressLineNumbers/>
              <w:spacing w:before="20" w:after="20" w:line="240" w:lineRule="auto"/>
              <w:ind w:left="0" w:firstLine="0"/>
              <w:jc w:val="left"/>
            </w:pPr>
            <w:r>
              <w:rPr>
                <w:sz w:val="17"/>
                <w:szCs w:val="17"/>
              </w:rPr>
              <w:t xml:space="preserve">CBR</w:t>
            </w:r>
          </w:p>
        </w:tc>
        <w:tc>
          <w:tcPr>
            <w:tcW w:w="1881" w:type="dxa"/>
          </w:tcPr>
          <w:p>
            <w:pPr>
              <w:pStyle w:val="Compact"/>
              <w:suppressLineNumbers/>
              <w:spacing w:before="20" w:after="20" w:line="240" w:lineRule="auto"/>
              <w:ind w:left="0" w:firstLine="0"/>
              <w:jc w:val="left"/>
            </w:pPr>
            <w:r>
              <w:rPr>
                <w:sz w:val="17"/>
                <w:szCs w:val="17"/>
              </w:rPr>
              <w:t xml:space="preserve">Ridge</w:t>
            </w:r>
          </w:p>
        </w:tc>
        <w:tc>
          <w:tcPr>
            <w:tcW w:w="1471" w:type="dxa"/>
          </w:tcPr>
          <w:p>
            <w:pPr>
              <w:pStyle w:val="Compact"/>
              <w:suppressLineNumbers/>
              <w:spacing w:before="20" w:after="20" w:line="240" w:lineRule="auto"/>
              <w:ind w:left="0" w:firstLine="0"/>
              <w:jc w:val="left"/>
            </w:pPr>
            <w:r>
              <w:rPr>
                <w:sz w:val="17"/>
                <w:szCs w:val="17"/>
              </w:rPr>
              <w:t xml:space="preserve">within-study inputs + families</w:t>
            </w:r>
          </w:p>
        </w:tc>
        <w:tc>
          <w:tcPr>
            <w:tcW w:w="1058" w:type="dxa"/>
          </w:tcPr>
          <w:p>
            <w:pPr>
              <w:pStyle w:val="Compact"/>
              <w:suppressLineNumbers/>
              <w:spacing w:before="20" w:after="20" w:line="240" w:lineRule="auto"/>
              <w:ind w:left="0" w:firstLine="0"/>
              <w:jc w:val="right"/>
            </w:pPr>
            <w:r>
              <w:rPr>
                <w:sz w:val="17"/>
                <w:szCs w:val="17"/>
              </w:rPr>
              <w:t xml:space="preserve">0.521</w:t>
            </w:r>
          </w:p>
        </w:tc>
        <w:tc>
          <w:tcPr>
            <w:tcW w:w="740" w:type="dxa"/>
          </w:tcPr>
          <w:p>
            <w:pPr>
              <w:pStyle w:val="Compact"/>
              <w:suppressLineNumbers/>
              <w:spacing w:before="20" w:after="20" w:line="240" w:lineRule="auto"/>
              <w:ind w:left="0" w:firstLine="0"/>
              <w:jc w:val="right"/>
            </w:pPr>
            <w:r>
              <w:rPr>
                <w:sz w:val="17"/>
                <w:szCs w:val="17"/>
              </w:rPr>
              <w:t xml:space="preserve">−0.53</w:t>
            </w:r>
          </w:p>
        </w:tc>
        <w:tc>
          <w:tcPr>
            <w:tcW w:w="1503" w:type="dxa"/>
          </w:tcPr>
          <w:p>
            <w:pPr>
              <w:pStyle w:val="Compact"/>
              <w:suppressLineNumbers/>
              <w:spacing w:before="20" w:after="20" w:line="240" w:lineRule="auto"/>
              <w:ind w:left="0" w:firstLine="0"/>
              <w:jc w:val="left"/>
            </w:pPr>
            <w:r>
              <w:rPr>
                <w:sz w:val="17"/>
                <w:szCs w:val="17"/>
              </w:rPr>
              <w:t xml:space="preserve">+0.130 (0.003 to 0.260)</w:t>
            </w:r>
          </w:p>
        </w:tc>
        <w:tc>
          <w:tcPr>
            <w:tcW w:w="823" w:type="dxa"/>
          </w:tcPr>
          <w:p>
            <w:pPr>
              <w:pStyle w:val="Compact"/>
              <w:suppressLineNumbers/>
              <w:spacing w:before="20" w:after="20" w:line="240" w:lineRule="auto"/>
              <w:ind w:left="0" w:firstLine="0"/>
              <w:jc w:val="left"/>
            </w:pPr>
            <w:r>
              <w:rPr>
                <w:sz w:val="17"/>
                <w:szCs w:val="17"/>
              </w:rPr>
              <w:t xml:space="preserve">4/10</w:t>
            </w:r>
          </w:p>
        </w:tc>
        <w:tc>
          <w:tcPr>
            <w:tcW w:w="1175" w:type="dxa"/>
          </w:tcPr>
          <w:p>
            <w:pPr>
              <w:pStyle w:val="Compact"/>
              <w:suppressLineNumbers/>
              <w:spacing w:before="20" w:after="20" w:line="240" w:lineRule="auto"/>
              <w:ind w:left="0" w:firstLine="0"/>
              <w:jc w:val="right"/>
            </w:pPr>
            <w:r>
              <w:rPr>
                <w:sz w:val="17"/>
                <w:szCs w:val="17"/>
              </w:rPr>
              <w:t xml:space="preserve">0.19</w:t>
            </w:r>
          </w:p>
        </w:tc>
      </w:tr>
    </w:tbl>
    <w:p/>
    <w:tbl>
      <w:tblPr>
        <w:tblStyle w:val="Table"/>
        <w:tblW w:w="9360" w:type="dxa"/>
        <w:jc w:val="start"/>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1261"/>
        <w:gridCol w:w="731"/>
        <w:gridCol w:w="1398"/>
        <w:gridCol w:w="1499"/>
        <w:gridCol w:w="1499"/>
        <w:gridCol w:w="1499"/>
        <w:gridCol w:w="1471"/>
      </w:tblGrid>
      <w:tr>
        <w:trPr>
          <w:cantSplit/>
          <w:tblHeader/>
        </w:trPr>
        <w:tc>
          <w:tcPr>
            <w:tcW w:w="1261"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Target</w:t>
            </w:r>
          </w:p>
        </w:tc>
        <w:tc>
          <w:tcPr>
            <w:tcW w:w="731"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k</w:t>
            </w:r>
          </w:p>
        </w:tc>
        <w:tc>
          <w:tcPr>
            <w:tcW w:w="1398"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Local mean</w:t>
            </w:r>
          </w:p>
        </w:tc>
        <w:tc>
          <w:tcPr>
            <w:tcW w:w="1499"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LMM + full shift</w:t>
            </w:r>
          </w:p>
        </w:tc>
        <w:tc>
          <w:tcPr>
            <w:tcW w:w="1499"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LMM + BLUP shift</w:t>
            </w:r>
          </w:p>
        </w:tc>
        <w:tc>
          <w:tcPr>
            <w:tcW w:w="1499"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SVR + full shift</w:t>
            </w:r>
          </w:p>
        </w:tc>
        <w:tc>
          <w:tcPr>
            <w:tcW w:w="1471"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Studies</w:t>
            </w:r>
          </w:p>
        </w:tc>
      </w:tr>
      <w:tr>
        <w:trPr>
          <w:cantSplit/>
        </w:trPr>
        <w:tc>
          <w:tcPr>
            <w:tcW w:w="1261" w:type="dxa"/>
          </w:tcPr>
          <w:p>
            <w:pPr>
              <w:pStyle w:val="Compact"/>
              <w:suppressLineNumbers/>
              <w:spacing w:before="20" w:after="20" w:line="240" w:lineRule="auto"/>
              <w:ind w:left="0" w:firstLine="0"/>
              <w:jc w:val="left"/>
            </w:pPr>
            <w:r>
              <w:rPr>
                <w:sz w:val="17"/>
                <w:szCs w:val="17"/>
              </w:rPr>
              <w:t xml:space="preserve">UCS</w:t>
            </w:r>
          </w:p>
        </w:tc>
        <w:tc>
          <w:tcPr>
            <w:tcW w:w="731" w:type="dxa"/>
          </w:tcPr>
          <w:p>
            <w:pPr>
              <w:pStyle w:val="Compact"/>
              <w:suppressLineNumbers/>
              <w:spacing w:before="20" w:after="20" w:line="240" w:lineRule="auto"/>
              <w:ind w:left="0" w:firstLine="0"/>
              <w:jc w:val="right"/>
            </w:pPr>
            <w:r>
              <w:rPr>
                <w:sz w:val="17"/>
                <w:szCs w:val="17"/>
              </w:rPr>
              <w:t xml:space="preserve">1</w:t>
            </w:r>
          </w:p>
        </w:tc>
        <w:tc>
          <w:tcPr>
            <w:tcW w:w="1398" w:type="dxa"/>
          </w:tcPr>
          <w:p>
            <w:pPr>
              <w:pStyle w:val="Compact"/>
              <w:suppressLineNumbers/>
              <w:spacing w:before="20" w:after="20" w:line="240" w:lineRule="auto"/>
              <w:ind w:left="0" w:firstLine="0"/>
              <w:jc w:val="right"/>
            </w:pPr>
            <w:r>
              <w:rPr>
                <w:sz w:val="17"/>
                <w:szCs w:val="17"/>
              </w:rPr>
              <w:t xml:space="preserve">0.263</w:t>
            </w:r>
          </w:p>
        </w:tc>
        <w:tc>
          <w:tcPr>
            <w:tcW w:w="1499" w:type="dxa"/>
          </w:tcPr>
          <w:p>
            <w:pPr>
              <w:pStyle w:val="Compact"/>
              <w:suppressLineNumbers/>
              <w:spacing w:before="20" w:after="20" w:line="240" w:lineRule="auto"/>
              <w:ind w:left="0" w:firstLine="0"/>
              <w:jc w:val="right"/>
            </w:pPr>
            <w:r>
              <w:rPr>
                <w:sz w:val="17"/>
                <w:szCs w:val="17"/>
              </w:rPr>
              <w:t xml:space="preserve">0.230</w:t>
            </w:r>
          </w:p>
        </w:tc>
        <w:tc>
          <w:tcPr>
            <w:tcW w:w="1499" w:type="dxa"/>
          </w:tcPr>
          <w:p>
            <w:pPr>
              <w:pStyle w:val="Compact"/>
              <w:suppressLineNumbers/>
              <w:spacing w:before="20" w:after="20" w:line="240" w:lineRule="auto"/>
              <w:ind w:left="0" w:firstLine="0"/>
              <w:jc w:val="right"/>
            </w:pPr>
            <w:r>
              <w:rPr>
                <w:sz w:val="17"/>
                <w:szCs w:val="17"/>
              </w:rPr>
              <w:t xml:space="preserve">0.226</w:t>
            </w:r>
          </w:p>
        </w:tc>
        <w:tc>
          <w:tcPr>
            <w:tcW w:w="1499" w:type="dxa"/>
          </w:tcPr>
          <w:p>
            <w:pPr>
              <w:pStyle w:val="Compact"/>
              <w:suppressLineNumbers/>
              <w:spacing w:before="20" w:after="20" w:line="240" w:lineRule="auto"/>
              <w:ind w:left="0" w:firstLine="0"/>
              <w:jc w:val="right"/>
            </w:pPr>
            <w:r>
              <w:rPr>
                <w:sz w:val="17"/>
                <w:szCs w:val="17"/>
              </w:rPr>
              <w:t xml:space="preserve">0.228</w:t>
            </w:r>
          </w:p>
        </w:tc>
        <w:tc>
          <w:tcPr>
            <w:tcW w:w="1471" w:type="dxa"/>
          </w:tcPr>
          <w:p>
            <w:pPr>
              <w:pStyle w:val="Compact"/>
              <w:suppressLineNumbers/>
              <w:spacing w:before="20" w:after="20" w:line="240" w:lineRule="auto"/>
              <w:ind w:left="0" w:firstLine="0"/>
              <w:jc w:val="right"/>
            </w:pPr>
            <w:r>
              <w:rPr>
                <w:sz w:val="17"/>
                <w:szCs w:val="17"/>
              </w:rPr>
              <w:t xml:space="preserve">18</w:t>
            </w:r>
          </w:p>
        </w:tc>
      </w:tr>
      <w:tr>
        <w:trPr>
          <w:cantSplit/>
        </w:trPr>
        <w:tc>
          <w:tcPr>
            <w:tcW w:w="1261" w:type="dxa"/>
          </w:tcPr>
          <w:p>
            <w:pPr>
              <w:pStyle w:val="Compact"/>
              <w:suppressLineNumbers/>
              <w:spacing w:before="20" w:after="20" w:line="240" w:lineRule="auto"/>
              <w:ind w:left="0" w:firstLine="0"/>
              <w:jc w:val="left"/>
            </w:pPr>
            <w:r>
              <w:rPr>
                <w:sz w:val="17"/>
                <w:szCs w:val="17"/>
              </w:rPr>
              <w:t xml:space="preserve">UCS</w:t>
            </w:r>
          </w:p>
        </w:tc>
        <w:tc>
          <w:tcPr>
            <w:tcW w:w="731" w:type="dxa"/>
          </w:tcPr>
          <w:p>
            <w:pPr>
              <w:pStyle w:val="Compact"/>
              <w:suppressLineNumbers/>
              <w:spacing w:before="20" w:after="20" w:line="240" w:lineRule="auto"/>
              <w:ind w:left="0" w:firstLine="0"/>
              <w:jc w:val="right"/>
            </w:pPr>
            <w:r>
              <w:rPr>
                <w:sz w:val="17"/>
                <w:szCs w:val="17"/>
              </w:rPr>
              <w:t xml:space="preserve">2</w:t>
            </w:r>
          </w:p>
        </w:tc>
        <w:tc>
          <w:tcPr>
            <w:tcW w:w="1398" w:type="dxa"/>
          </w:tcPr>
          <w:p>
            <w:pPr>
              <w:pStyle w:val="Compact"/>
              <w:suppressLineNumbers/>
              <w:spacing w:before="20" w:after="20" w:line="240" w:lineRule="auto"/>
              <w:ind w:left="0" w:firstLine="0"/>
              <w:jc w:val="right"/>
            </w:pPr>
            <w:r>
              <w:rPr>
                <w:sz w:val="17"/>
                <w:szCs w:val="17"/>
              </w:rPr>
              <w:t xml:space="preserve">0.224</w:t>
            </w:r>
          </w:p>
        </w:tc>
        <w:tc>
          <w:tcPr>
            <w:tcW w:w="1499" w:type="dxa"/>
          </w:tcPr>
          <w:p>
            <w:pPr>
              <w:pStyle w:val="Compact"/>
              <w:suppressLineNumbers/>
              <w:spacing w:before="20" w:after="20" w:line="240" w:lineRule="auto"/>
              <w:ind w:left="0" w:firstLine="0"/>
              <w:jc w:val="right"/>
            </w:pPr>
            <w:r>
              <w:rPr>
                <w:sz w:val="17"/>
                <w:szCs w:val="17"/>
              </w:rPr>
              <w:t xml:space="preserve">0.197</w:t>
            </w:r>
          </w:p>
        </w:tc>
        <w:tc>
          <w:tcPr>
            <w:tcW w:w="1499" w:type="dxa"/>
          </w:tcPr>
          <w:p>
            <w:pPr>
              <w:pStyle w:val="Compact"/>
              <w:suppressLineNumbers/>
              <w:spacing w:before="20" w:after="20" w:line="240" w:lineRule="auto"/>
              <w:ind w:left="0" w:firstLine="0"/>
              <w:jc w:val="right"/>
            </w:pPr>
            <w:r>
              <w:rPr>
                <w:sz w:val="17"/>
                <w:szCs w:val="17"/>
              </w:rPr>
              <w:t xml:space="preserve">0.196</w:t>
            </w:r>
          </w:p>
        </w:tc>
        <w:tc>
          <w:tcPr>
            <w:tcW w:w="1499" w:type="dxa"/>
          </w:tcPr>
          <w:p>
            <w:pPr>
              <w:pStyle w:val="Compact"/>
              <w:suppressLineNumbers/>
              <w:spacing w:before="20" w:after="20" w:line="240" w:lineRule="auto"/>
              <w:ind w:left="0" w:firstLine="0"/>
              <w:jc w:val="right"/>
            </w:pPr>
            <w:r>
              <w:rPr>
                <w:sz w:val="17"/>
                <w:szCs w:val="17"/>
              </w:rPr>
              <w:t xml:space="preserve">0.195</w:t>
            </w:r>
          </w:p>
        </w:tc>
        <w:tc>
          <w:tcPr>
            <w:tcW w:w="1471" w:type="dxa"/>
          </w:tcPr>
          <w:p>
            <w:pPr>
              <w:pStyle w:val="Compact"/>
              <w:suppressLineNumbers/>
              <w:spacing w:before="20" w:after="20" w:line="240" w:lineRule="auto"/>
              <w:ind w:left="0" w:firstLine="0"/>
              <w:jc w:val="right"/>
            </w:pPr>
            <w:r>
              <w:rPr>
                <w:sz w:val="17"/>
                <w:szCs w:val="17"/>
              </w:rPr>
              <w:t xml:space="preserve">18</w:t>
            </w:r>
          </w:p>
        </w:tc>
      </w:tr>
      <w:tr>
        <w:trPr>
          <w:cantSplit/>
        </w:trPr>
        <w:tc>
          <w:tcPr>
            <w:tcW w:w="1261" w:type="dxa"/>
          </w:tcPr>
          <w:p>
            <w:pPr>
              <w:pStyle w:val="Compact"/>
              <w:suppressLineNumbers/>
              <w:spacing w:before="20" w:after="20" w:line="240" w:lineRule="auto"/>
              <w:ind w:left="0" w:firstLine="0"/>
              <w:jc w:val="left"/>
            </w:pPr>
            <w:r>
              <w:rPr>
                <w:sz w:val="17"/>
                <w:szCs w:val="17"/>
              </w:rPr>
              <w:t xml:space="preserve">UCS</w:t>
            </w:r>
          </w:p>
        </w:tc>
        <w:tc>
          <w:tcPr>
            <w:tcW w:w="731" w:type="dxa"/>
          </w:tcPr>
          <w:p>
            <w:pPr>
              <w:pStyle w:val="Compact"/>
              <w:suppressLineNumbers/>
              <w:spacing w:before="20" w:after="20" w:line="240" w:lineRule="auto"/>
              <w:ind w:left="0" w:firstLine="0"/>
              <w:jc w:val="right"/>
            </w:pPr>
            <w:r>
              <w:rPr>
                <w:sz w:val="17"/>
                <w:szCs w:val="17"/>
              </w:rPr>
              <w:t xml:space="preserve">3</w:t>
            </w:r>
          </w:p>
        </w:tc>
        <w:tc>
          <w:tcPr>
            <w:tcW w:w="1398" w:type="dxa"/>
          </w:tcPr>
          <w:p>
            <w:pPr>
              <w:pStyle w:val="Compact"/>
              <w:suppressLineNumbers/>
              <w:spacing w:before="20" w:after="20" w:line="240" w:lineRule="auto"/>
              <w:ind w:left="0" w:firstLine="0"/>
              <w:jc w:val="right"/>
            </w:pPr>
            <w:r>
              <w:rPr>
                <w:sz w:val="17"/>
                <w:szCs w:val="17"/>
              </w:rPr>
              <w:t xml:space="preserve">0.221</w:t>
            </w:r>
          </w:p>
        </w:tc>
        <w:tc>
          <w:tcPr>
            <w:tcW w:w="1499" w:type="dxa"/>
          </w:tcPr>
          <w:p>
            <w:pPr>
              <w:pStyle w:val="Compact"/>
              <w:suppressLineNumbers/>
              <w:spacing w:before="20" w:after="20" w:line="240" w:lineRule="auto"/>
              <w:ind w:left="0" w:firstLine="0"/>
              <w:jc w:val="right"/>
            </w:pPr>
            <w:r>
              <w:rPr>
                <w:sz w:val="17"/>
                <w:szCs w:val="17"/>
              </w:rPr>
              <w:t xml:space="preserve">0.190</w:t>
            </w:r>
          </w:p>
        </w:tc>
        <w:tc>
          <w:tcPr>
            <w:tcW w:w="1499" w:type="dxa"/>
          </w:tcPr>
          <w:p>
            <w:pPr>
              <w:pStyle w:val="Compact"/>
              <w:suppressLineNumbers/>
              <w:spacing w:before="20" w:after="20" w:line="240" w:lineRule="auto"/>
              <w:ind w:left="0" w:firstLine="0"/>
              <w:jc w:val="right"/>
            </w:pPr>
            <w:r>
              <w:rPr>
                <w:sz w:val="17"/>
                <w:szCs w:val="17"/>
              </w:rPr>
              <w:t xml:space="preserve">0.190</w:t>
            </w:r>
          </w:p>
        </w:tc>
        <w:tc>
          <w:tcPr>
            <w:tcW w:w="1499" w:type="dxa"/>
          </w:tcPr>
          <w:p>
            <w:pPr>
              <w:pStyle w:val="Compact"/>
              <w:suppressLineNumbers/>
              <w:spacing w:before="20" w:after="20" w:line="240" w:lineRule="auto"/>
              <w:ind w:left="0" w:firstLine="0"/>
              <w:jc w:val="right"/>
            </w:pPr>
            <w:r>
              <w:rPr>
                <w:sz w:val="17"/>
                <w:szCs w:val="17"/>
              </w:rPr>
              <w:t xml:space="preserve">0.187</w:t>
            </w:r>
          </w:p>
        </w:tc>
        <w:tc>
          <w:tcPr>
            <w:tcW w:w="1471" w:type="dxa"/>
          </w:tcPr>
          <w:p>
            <w:pPr>
              <w:pStyle w:val="Compact"/>
              <w:suppressLineNumbers/>
              <w:spacing w:before="20" w:after="20" w:line="240" w:lineRule="auto"/>
              <w:ind w:left="0" w:firstLine="0"/>
              <w:jc w:val="right"/>
            </w:pPr>
            <w:r>
              <w:rPr>
                <w:sz w:val="17"/>
                <w:szCs w:val="17"/>
              </w:rPr>
              <w:t xml:space="preserve">17</w:t>
            </w:r>
          </w:p>
        </w:tc>
      </w:tr>
      <w:tr>
        <w:trPr>
          <w:cantSplit/>
        </w:trPr>
        <w:tc>
          <w:tcPr>
            <w:tcW w:w="1261" w:type="dxa"/>
          </w:tcPr>
          <w:p>
            <w:pPr>
              <w:pStyle w:val="Compact"/>
              <w:suppressLineNumbers/>
              <w:spacing w:before="20" w:after="20" w:line="240" w:lineRule="auto"/>
              <w:ind w:left="0" w:firstLine="0"/>
              <w:jc w:val="left"/>
            </w:pPr>
            <w:r>
              <w:rPr>
                <w:sz w:val="17"/>
                <w:szCs w:val="17"/>
              </w:rPr>
              <w:t xml:space="preserve">CBR</w:t>
            </w:r>
          </w:p>
        </w:tc>
        <w:tc>
          <w:tcPr>
            <w:tcW w:w="731" w:type="dxa"/>
          </w:tcPr>
          <w:p>
            <w:pPr>
              <w:pStyle w:val="Compact"/>
              <w:suppressLineNumbers/>
              <w:spacing w:before="20" w:after="20" w:line="240" w:lineRule="auto"/>
              <w:ind w:left="0" w:firstLine="0"/>
              <w:jc w:val="right"/>
            </w:pPr>
            <w:r>
              <w:rPr>
                <w:sz w:val="17"/>
                <w:szCs w:val="17"/>
              </w:rPr>
              <w:t xml:space="preserve">1</w:t>
            </w:r>
          </w:p>
        </w:tc>
        <w:tc>
          <w:tcPr>
            <w:tcW w:w="1398" w:type="dxa"/>
          </w:tcPr>
          <w:p>
            <w:pPr>
              <w:pStyle w:val="Compact"/>
              <w:suppressLineNumbers/>
              <w:spacing w:before="20" w:after="20" w:line="240" w:lineRule="auto"/>
              <w:ind w:left="0" w:firstLine="0"/>
              <w:jc w:val="right"/>
            </w:pPr>
            <w:r>
              <w:rPr>
                <w:sz w:val="17"/>
                <w:szCs w:val="17"/>
              </w:rPr>
              <w:t xml:space="preserve">0.343</w:t>
            </w:r>
          </w:p>
        </w:tc>
        <w:tc>
          <w:tcPr>
            <w:tcW w:w="1499" w:type="dxa"/>
          </w:tcPr>
          <w:p>
            <w:pPr>
              <w:pStyle w:val="Compact"/>
              <w:suppressLineNumbers/>
              <w:spacing w:before="20" w:after="20" w:line="240" w:lineRule="auto"/>
              <w:ind w:left="0" w:firstLine="0"/>
              <w:jc w:val="right"/>
            </w:pPr>
            <w:r>
              <w:rPr>
                <w:sz w:val="17"/>
                <w:szCs w:val="17"/>
              </w:rPr>
              <w:t xml:space="preserve">0.425</w:t>
            </w:r>
          </w:p>
        </w:tc>
        <w:tc>
          <w:tcPr>
            <w:tcW w:w="1499" w:type="dxa"/>
          </w:tcPr>
          <w:p>
            <w:pPr>
              <w:pStyle w:val="Compact"/>
              <w:suppressLineNumbers/>
              <w:spacing w:before="20" w:after="20" w:line="240" w:lineRule="auto"/>
              <w:ind w:left="0" w:firstLine="0"/>
              <w:jc w:val="right"/>
            </w:pPr>
            <w:r>
              <w:rPr>
                <w:sz w:val="17"/>
                <w:szCs w:val="17"/>
              </w:rPr>
              <w:t xml:space="preserve">0.408</w:t>
            </w:r>
          </w:p>
        </w:tc>
        <w:tc>
          <w:tcPr>
            <w:tcW w:w="1499" w:type="dxa"/>
          </w:tcPr>
          <w:p>
            <w:pPr>
              <w:pStyle w:val="Compact"/>
              <w:suppressLineNumbers/>
              <w:spacing w:before="20" w:after="20" w:line="240" w:lineRule="auto"/>
              <w:ind w:left="0" w:firstLine="0"/>
              <w:jc w:val="right"/>
            </w:pPr>
            <w:r>
              <w:rPr>
                <w:sz w:val="17"/>
                <w:szCs w:val="17"/>
              </w:rPr>
              <w:t xml:space="preserve">0.323</w:t>
            </w:r>
          </w:p>
        </w:tc>
        <w:tc>
          <w:tcPr>
            <w:tcW w:w="1471" w:type="dxa"/>
          </w:tcPr>
          <w:p>
            <w:pPr>
              <w:pStyle w:val="Compact"/>
              <w:suppressLineNumbers/>
              <w:spacing w:before="20" w:after="20" w:line="240" w:lineRule="auto"/>
              <w:ind w:left="0" w:firstLine="0"/>
              <w:jc w:val="right"/>
            </w:pPr>
            <w:r>
              <w:rPr>
                <w:sz w:val="17"/>
                <w:szCs w:val="17"/>
              </w:rPr>
              <w:t xml:space="preserve">9</w:t>
            </w:r>
          </w:p>
        </w:tc>
      </w:tr>
      <w:tr>
        <w:trPr>
          <w:cantSplit/>
        </w:trPr>
        <w:tc>
          <w:tcPr>
            <w:tcW w:w="1261" w:type="dxa"/>
          </w:tcPr>
          <w:p>
            <w:pPr>
              <w:pStyle w:val="Compact"/>
              <w:suppressLineNumbers/>
              <w:spacing w:before="20" w:after="20" w:line="240" w:lineRule="auto"/>
              <w:ind w:left="0" w:firstLine="0"/>
              <w:jc w:val="left"/>
            </w:pPr>
            <w:r>
              <w:rPr>
                <w:sz w:val="17"/>
                <w:szCs w:val="17"/>
              </w:rPr>
              <w:t xml:space="preserve">CBR</w:t>
            </w:r>
          </w:p>
        </w:tc>
        <w:tc>
          <w:tcPr>
            <w:tcW w:w="731" w:type="dxa"/>
          </w:tcPr>
          <w:p>
            <w:pPr>
              <w:pStyle w:val="Compact"/>
              <w:suppressLineNumbers/>
              <w:spacing w:before="20" w:after="20" w:line="240" w:lineRule="auto"/>
              <w:ind w:left="0" w:firstLine="0"/>
              <w:jc w:val="right"/>
            </w:pPr>
            <w:r>
              <w:rPr>
                <w:sz w:val="17"/>
                <w:szCs w:val="17"/>
              </w:rPr>
              <w:t xml:space="preserve">2</w:t>
            </w:r>
          </w:p>
        </w:tc>
        <w:tc>
          <w:tcPr>
            <w:tcW w:w="1398" w:type="dxa"/>
          </w:tcPr>
          <w:p>
            <w:pPr>
              <w:pStyle w:val="Compact"/>
              <w:suppressLineNumbers/>
              <w:spacing w:before="20" w:after="20" w:line="240" w:lineRule="auto"/>
              <w:ind w:left="0" w:firstLine="0"/>
              <w:jc w:val="right"/>
            </w:pPr>
            <w:r>
              <w:rPr>
                <w:sz w:val="17"/>
                <w:szCs w:val="17"/>
              </w:rPr>
              <w:t xml:space="preserve">0.308</w:t>
            </w:r>
          </w:p>
        </w:tc>
        <w:tc>
          <w:tcPr>
            <w:tcW w:w="1499" w:type="dxa"/>
          </w:tcPr>
          <w:p>
            <w:pPr>
              <w:pStyle w:val="Compact"/>
              <w:suppressLineNumbers/>
              <w:spacing w:before="20" w:after="20" w:line="240" w:lineRule="auto"/>
              <w:ind w:left="0" w:firstLine="0"/>
              <w:jc w:val="right"/>
            </w:pPr>
            <w:r>
              <w:rPr>
                <w:sz w:val="17"/>
                <w:szCs w:val="17"/>
              </w:rPr>
              <w:t xml:space="preserve">0.387</w:t>
            </w:r>
          </w:p>
        </w:tc>
        <w:tc>
          <w:tcPr>
            <w:tcW w:w="1499" w:type="dxa"/>
          </w:tcPr>
          <w:p>
            <w:pPr>
              <w:pStyle w:val="Compact"/>
              <w:suppressLineNumbers/>
              <w:spacing w:before="20" w:after="20" w:line="240" w:lineRule="auto"/>
              <w:ind w:left="0" w:firstLine="0"/>
              <w:jc w:val="right"/>
            </w:pPr>
            <w:r>
              <w:rPr>
                <w:sz w:val="17"/>
                <w:szCs w:val="17"/>
              </w:rPr>
              <w:t xml:space="preserve">0.382</w:t>
            </w:r>
          </w:p>
        </w:tc>
        <w:tc>
          <w:tcPr>
            <w:tcW w:w="1499" w:type="dxa"/>
          </w:tcPr>
          <w:p>
            <w:pPr>
              <w:pStyle w:val="Compact"/>
              <w:suppressLineNumbers/>
              <w:spacing w:before="20" w:after="20" w:line="240" w:lineRule="auto"/>
              <w:ind w:left="0" w:firstLine="0"/>
              <w:jc w:val="right"/>
            </w:pPr>
            <w:r>
              <w:rPr>
                <w:sz w:val="17"/>
                <w:szCs w:val="17"/>
              </w:rPr>
              <w:t xml:space="preserve">0.291</w:t>
            </w:r>
          </w:p>
        </w:tc>
        <w:tc>
          <w:tcPr>
            <w:tcW w:w="1471" w:type="dxa"/>
          </w:tcPr>
          <w:p>
            <w:pPr>
              <w:pStyle w:val="Compact"/>
              <w:suppressLineNumbers/>
              <w:spacing w:before="20" w:after="20" w:line="240" w:lineRule="auto"/>
              <w:ind w:left="0" w:firstLine="0"/>
              <w:jc w:val="right"/>
            </w:pPr>
            <w:r>
              <w:rPr>
                <w:sz w:val="17"/>
                <w:szCs w:val="17"/>
              </w:rPr>
              <w:t xml:space="preserve">9</w:t>
            </w:r>
          </w:p>
        </w:tc>
      </w:tr>
      <w:tr>
        <w:trPr>
          <w:cantSplit/>
        </w:trPr>
        <w:tc>
          <w:tcPr>
            <w:tcW w:w="1261" w:type="dxa"/>
          </w:tcPr>
          <w:p>
            <w:pPr>
              <w:pStyle w:val="Compact"/>
              <w:suppressLineNumbers/>
              <w:spacing w:before="20" w:after="20" w:line="240" w:lineRule="auto"/>
              <w:ind w:left="0" w:firstLine="0"/>
              <w:jc w:val="left"/>
            </w:pPr>
            <w:r>
              <w:rPr>
                <w:sz w:val="17"/>
                <w:szCs w:val="17"/>
              </w:rPr>
              <w:t xml:space="preserve">CBR</w:t>
            </w:r>
          </w:p>
        </w:tc>
        <w:tc>
          <w:tcPr>
            <w:tcW w:w="731" w:type="dxa"/>
          </w:tcPr>
          <w:p>
            <w:pPr>
              <w:pStyle w:val="Compact"/>
              <w:suppressLineNumbers/>
              <w:spacing w:before="20" w:after="20" w:line="240" w:lineRule="auto"/>
              <w:ind w:left="0" w:firstLine="0"/>
              <w:jc w:val="right"/>
            </w:pPr>
            <w:r>
              <w:rPr>
                <w:sz w:val="17"/>
                <w:szCs w:val="17"/>
              </w:rPr>
              <w:t xml:space="preserve">3</w:t>
            </w:r>
          </w:p>
        </w:tc>
        <w:tc>
          <w:tcPr>
            <w:tcW w:w="1398" w:type="dxa"/>
          </w:tcPr>
          <w:p>
            <w:pPr>
              <w:pStyle w:val="Compact"/>
              <w:suppressLineNumbers/>
              <w:spacing w:before="20" w:after="20" w:line="240" w:lineRule="auto"/>
              <w:ind w:left="0" w:firstLine="0"/>
              <w:jc w:val="right"/>
            </w:pPr>
            <w:r>
              <w:rPr>
                <w:sz w:val="17"/>
                <w:szCs w:val="17"/>
              </w:rPr>
              <w:t xml:space="preserve">0.283</w:t>
            </w:r>
          </w:p>
        </w:tc>
        <w:tc>
          <w:tcPr>
            <w:tcW w:w="1499" w:type="dxa"/>
          </w:tcPr>
          <w:p>
            <w:pPr>
              <w:pStyle w:val="Compact"/>
              <w:suppressLineNumbers/>
              <w:spacing w:before="20" w:after="20" w:line="240" w:lineRule="auto"/>
              <w:ind w:left="0" w:firstLine="0"/>
              <w:jc w:val="right"/>
            </w:pPr>
            <w:r>
              <w:rPr>
                <w:sz w:val="17"/>
                <w:szCs w:val="17"/>
              </w:rPr>
              <w:t xml:space="preserve">0.362</w:t>
            </w:r>
          </w:p>
        </w:tc>
        <w:tc>
          <w:tcPr>
            <w:tcW w:w="1499" w:type="dxa"/>
          </w:tcPr>
          <w:p>
            <w:pPr>
              <w:pStyle w:val="Compact"/>
              <w:suppressLineNumbers/>
              <w:spacing w:before="20" w:after="20" w:line="240" w:lineRule="auto"/>
              <w:ind w:left="0" w:firstLine="0"/>
              <w:jc w:val="right"/>
            </w:pPr>
            <w:r>
              <w:rPr>
                <w:sz w:val="17"/>
                <w:szCs w:val="17"/>
              </w:rPr>
              <w:t xml:space="preserve">0.361</w:t>
            </w:r>
          </w:p>
        </w:tc>
        <w:tc>
          <w:tcPr>
            <w:tcW w:w="1499" w:type="dxa"/>
          </w:tcPr>
          <w:p>
            <w:pPr>
              <w:pStyle w:val="Compact"/>
              <w:suppressLineNumbers/>
              <w:spacing w:before="20" w:after="20" w:line="240" w:lineRule="auto"/>
              <w:ind w:left="0" w:firstLine="0"/>
              <w:jc w:val="right"/>
            </w:pPr>
            <w:r>
              <w:rPr>
                <w:sz w:val="17"/>
                <w:szCs w:val="17"/>
              </w:rPr>
              <w:t xml:space="preserve">0.268</w:t>
            </w:r>
          </w:p>
        </w:tc>
        <w:tc>
          <w:tcPr>
            <w:tcW w:w="1471" w:type="dxa"/>
          </w:tcPr>
          <w:p>
            <w:pPr>
              <w:pStyle w:val="Compact"/>
              <w:suppressLineNumbers/>
              <w:spacing w:before="20" w:after="20" w:line="240" w:lineRule="auto"/>
              <w:ind w:left="0" w:firstLine="0"/>
              <w:jc w:val="right"/>
            </w:pPr>
            <w:r>
              <w:rPr>
                <w:sz w:val="17"/>
                <w:szCs w:val="17"/>
              </w:rPr>
              <w:t xml:space="preserve">9</w:t>
            </w:r>
          </w:p>
        </w:tc>
      </w:tr>
    </w:tbl>
    <w:p>
      <w:pPr>
        <w:pStyle w:val="TabNote"/>
        <w:suppressLineNumbers/>
      </w:pPr>
      <w:r>
        <w:t xml:space="preserve">Per-study RMSE in log</w:t>
      </w:r>
      <w:r>
        <w:rPr>
          <w:vertAlign w:val="subscript"/>
        </w:rPr>
        <w:t xml:space="preserve">10</w:t>
      </w:r>
      <w:r>
        <w:t xml:space="preserve"> </w:t>
      </w:r>
      <w:r>
        <w:t xml:space="preserve">units. LMM = linear mixed-effects model with a random intercept for each study, fitted by REML in each fold; for a held-out study, the prediction is the fixed part. The SVR was re-implemented (RBF kernel, C = 1, ε = 0.1) because the original model code is not in the deposited database; its values therefore differ from Table 3. Within-study inputs: biopolymer dose, missing-dose flag, second-additive dose, total dose, curing days, ln(1 + days), total dose × ln(1 + days) and, for CBR, the soaked and condition-not-stated indicators. Calibration: k local mixes (mix = study, doses and additives) drawn 300 times per study; studies with no more than k mixes are excluded. BLUP shift = full shift × n τ</w:t>
      </w:r>
      <w:r>
        <w:rPr>
          <w:vertAlign w:val="superscript"/>
        </w:rPr>
        <w:t xml:space="preserve">2</w:t>
      </w:r>
      <w:r>
        <w:t xml:space="preserve">/(n τ</w:t>
      </w:r>
      <w:r>
        <w:rPr>
          <w:vertAlign w:val="superscript"/>
        </w:rPr>
        <w:t xml:space="preserve">2</w:t>
      </w:r>
      <w:r>
        <w:t xml:space="preserve"> </w:t>
      </w:r>
      <w:r>
        <w:t xml:space="preserve">+ σ</w:t>
      </w:r>
      <w:r>
        <w:rPr>
          <w:vertAlign w:val="superscript"/>
        </w:rPr>
        <w:t xml:space="preserve">2</w:t>
      </w:r>
      <w:r>
        <w:t xml:space="preserve">). — = not applicable.</w:t>
      </w:r>
    </w:p>
    <w:p>
      <w:pPr>
        <w:pStyle w:val="BodyText"/>
        <w:suppressLineNumbers/>
      </w:pPr>
      <w:r>
        <w:br w:type="page"/>
      </w:r>
    </w:p>
    <w:p>
      <w:pPr>
        <w:pStyle w:val="TabCap"/>
        <w:suppressLineNumbers/>
      </w:pPr>
      <w:r>
        <w:rPr>
          <w:b/>
          <w:bCs/>
        </w:rPr>
        <w:t xml:space="preserve">Table S22</w:t>
      </w:r>
      <w:r>
        <w:t xml:space="preserve"> </w:t>
      </w:r>
      <w:r>
        <w:t xml:space="preserve">External test of the converged UCS–CBR link on Banne et al. (2024): unsoaked CBR (%) of four laterite soils with 0–3% guar gum</w:t>
      </w:r>
    </w:p>
    <w:tbl>
      <w:tblPr>
        <w:tblStyle w:val="Table"/>
        <w:tblW w:w="9360" w:type="dxa"/>
        <w:jc w:val="start"/>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1250"/>
        <w:gridCol w:w="714"/>
        <w:gridCol w:w="960"/>
        <w:gridCol w:w="1051"/>
        <w:gridCol w:w="892"/>
        <w:gridCol w:w="919"/>
        <w:gridCol w:w="1428"/>
        <w:gridCol w:w="1071"/>
        <w:gridCol w:w="1071"/>
      </w:tblGrid>
      <w:tr>
        <w:trPr>
          <w:cantSplit/>
          <w:tblHeader/>
        </w:trPr>
        <w:tc>
          <w:tcPr>
            <w:tcW w:w="1250" w:type="dxa"/>
            <w:tcBorders>
              <w:bottom w:val="single" w:sz="6" w:space="0" w:color="000000"/>
            </w:tcBorders>
          </w:tcPr>
          <w:p>
            <w:pPr>
              <w:pStyle w:val="Compact"/>
              <w:suppressLineNumbers/>
              <w:spacing w:before="20" w:after="20" w:line="240" w:lineRule="auto"/>
              <w:ind w:left="0" w:firstLine="0"/>
              <w:jc w:val="left"/>
            </w:pPr>
            <w:r>
              <w:rPr>
                <w:b/>
                <w:sz w:val="17"/>
                <w:szCs w:val="17"/>
              </w:rPr>
              <w:t xml:space="preserve">Soil</w:t>
            </w:r>
          </w:p>
        </w:tc>
        <w:tc>
          <w:tcPr>
            <w:tcW w:w="714"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Guar gum (%)</w:t>
            </w:r>
          </w:p>
        </w:tc>
        <w:tc>
          <w:tcPr>
            <w:tcW w:w="960"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c (kPa)</w:t>
            </w:r>
          </w:p>
        </w:tc>
        <w:tc>
          <w:tcPr>
            <w:tcW w:w="1051"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φ (°)</w:t>
            </w:r>
          </w:p>
        </w:tc>
        <w:tc>
          <w:tcPr>
            <w:tcW w:w="892"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q (kPa)</w:t>
            </w:r>
          </w:p>
        </w:tc>
        <w:tc>
          <w:tcPr>
            <w:tcW w:w="919"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κ</w:t>
            </w:r>
          </w:p>
        </w:tc>
        <w:tc>
          <w:tcPr>
            <w:tcW w:w="1428"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Measured CBR</w:t>
            </w:r>
          </w:p>
        </w:tc>
        <w:tc>
          <w:tcPr>
            <w:tcW w:w="1071"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FE chain</w:t>
            </w:r>
          </w:p>
        </w:tc>
        <w:tc>
          <w:tcPr>
            <w:tcW w:w="1071" w:type="dxa"/>
            <w:tcBorders>
              <w:bottom w:val="single" w:sz="6" w:space="0" w:color="000000"/>
            </w:tcBorders>
          </w:tcPr>
          <w:p>
            <w:pPr>
              <w:pStyle w:val="Compact"/>
              <w:suppressLineNumbers/>
              <w:spacing w:before="20" w:after="20" w:line="240" w:lineRule="auto"/>
              <w:ind w:left="0" w:firstLine="0"/>
              <w:jc w:val="right"/>
            </w:pPr>
            <w:r>
              <w:rPr>
                <w:b/>
                <w:sz w:val="17"/>
                <w:szCs w:val="17"/>
              </w:rPr>
              <w:t xml:space="preserve">Power law</w:t>
            </w:r>
          </w:p>
        </w:tc>
      </w:tr>
      <w:tr>
        <w:trPr>
          <w:cantSplit/>
        </w:trPr>
        <w:tc>
          <w:tcPr>
            <w:tcW w:w="1250" w:type="dxa"/>
          </w:tcPr>
          <w:p>
            <w:pPr>
              <w:pStyle w:val="Compact"/>
              <w:suppressLineNumbers/>
              <w:spacing w:before="20" w:after="20" w:line="240" w:lineRule="auto"/>
              <w:ind w:left="0" w:firstLine="0"/>
              <w:jc w:val="left"/>
            </w:pPr>
            <w:r>
              <w:rPr>
                <w:sz w:val="17"/>
                <w:szCs w:val="17"/>
              </w:rPr>
              <w:t xml:space="preserve">A</w:t>
            </w:r>
          </w:p>
        </w:tc>
        <w:tc>
          <w:tcPr>
            <w:tcW w:w="714" w:type="dxa"/>
          </w:tcPr>
          <w:p>
            <w:pPr>
              <w:pStyle w:val="Compact"/>
              <w:suppressLineNumbers/>
              <w:spacing w:before="20" w:after="20" w:line="240" w:lineRule="auto"/>
              <w:ind w:left="0" w:firstLine="0"/>
              <w:jc w:val="right"/>
            </w:pPr>
            <w:r>
              <w:rPr>
                <w:sz w:val="17"/>
                <w:szCs w:val="17"/>
              </w:rPr>
              <w:t xml:space="preserve">0</w:t>
            </w:r>
          </w:p>
        </w:tc>
        <w:tc>
          <w:tcPr>
            <w:tcW w:w="960" w:type="dxa"/>
          </w:tcPr>
          <w:p>
            <w:pPr>
              <w:pStyle w:val="Compact"/>
              <w:suppressLineNumbers/>
              <w:spacing w:before="20" w:after="20" w:line="240" w:lineRule="auto"/>
              <w:ind w:left="0" w:firstLine="0"/>
              <w:jc w:val="right"/>
            </w:pPr>
            <w:r>
              <w:rPr>
                <w:sz w:val="17"/>
                <w:szCs w:val="17"/>
              </w:rPr>
              <w:t xml:space="preserve">14.7</w:t>
            </w:r>
          </w:p>
        </w:tc>
        <w:tc>
          <w:tcPr>
            <w:tcW w:w="1051" w:type="dxa"/>
          </w:tcPr>
          <w:p>
            <w:pPr>
              <w:pStyle w:val="Compact"/>
              <w:suppressLineNumbers/>
              <w:spacing w:before="20" w:after="20" w:line="240" w:lineRule="auto"/>
              <w:ind w:left="0" w:firstLine="0"/>
              <w:jc w:val="right"/>
            </w:pPr>
            <w:r>
              <w:rPr>
                <w:sz w:val="17"/>
                <w:szCs w:val="17"/>
              </w:rPr>
              <w:t xml:space="preserve">22.81</w:t>
            </w:r>
          </w:p>
        </w:tc>
        <w:tc>
          <w:tcPr>
            <w:tcW w:w="892" w:type="dxa"/>
          </w:tcPr>
          <w:p>
            <w:pPr>
              <w:pStyle w:val="Compact"/>
              <w:suppressLineNumbers/>
              <w:spacing w:before="20" w:after="20" w:line="240" w:lineRule="auto"/>
              <w:ind w:left="0" w:firstLine="0"/>
              <w:jc w:val="right"/>
            </w:pPr>
            <w:r>
              <w:rPr>
                <w:sz w:val="17"/>
                <w:szCs w:val="17"/>
              </w:rPr>
              <w:t xml:space="preserve">44</w:t>
            </w:r>
          </w:p>
        </w:tc>
        <w:tc>
          <w:tcPr>
            <w:tcW w:w="919" w:type="dxa"/>
          </w:tcPr>
          <w:p>
            <w:pPr>
              <w:pStyle w:val="Compact"/>
              <w:suppressLineNumbers/>
              <w:spacing w:before="20" w:after="20" w:line="240" w:lineRule="auto"/>
              <w:ind w:left="0" w:firstLine="0"/>
              <w:jc w:val="right"/>
            </w:pPr>
            <w:r>
              <w:rPr>
                <w:sz w:val="17"/>
                <w:szCs w:val="17"/>
              </w:rPr>
              <w:t xml:space="preserve">37.3</w:t>
            </w:r>
          </w:p>
        </w:tc>
        <w:tc>
          <w:tcPr>
            <w:tcW w:w="1428" w:type="dxa"/>
          </w:tcPr>
          <w:p>
            <w:pPr>
              <w:pStyle w:val="Compact"/>
              <w:suppressLineNumbers/>
              <w:spacing w:before="20" w:after="20" w:line="240" w:lineRule="auto"/>
              <w:ind w:left="0" w:firstLine="0"/>
              <w:jc w:val="right"/>
            </w:pPr>
            <w:r>
              <w:rPr>
                <w:sz w:val="17"/>
                <w:szCs w:val="17"/>
              </w:rPr>
              <w:t xml:space="preserve">2.45</w:t>
            </w:r>
          </w:p>
        </w:tc>
        <w:tc>
          <w:tcPr>
            <w:tcW w:w="1071" w:type="dxa"/>
          </w:tcPr>
          <w:p>
            <w:pPr>
              <w:pStyle w:val="Compact"/>
              <w:suppressLineNumbers/>
              <w:spacing w:before="20" w:after="20" w:line="240" w:lineRule="auto"/>
              <w:ind w:left="0" w:firstLine="0"/>
              <w:jc w:val="right"/>
            </w:pPr>
            <w:r>
              <w:rPr>
                <w:sz w:val="17"/>
                <w:szCs w:val="17"/>
              </w:rPr>
              <w:t xml:space="preserve">2.33</w:t>
            </w:r>
          </w:p>
        </w:tc>
        <w:tc>
          <w:tcPr>
            <w:tcW w:w="1071" w:type="dxa"/>
          </w:tcPr>
          <w:p>
            <w:pPr>
              <w:pStyle w:val="Compact"/>
              <w:suppressLineNumbers/>
              <w:spacing w:before="20" w:after="20" w:line="240" w:lineRule="auto"/>
              <w:ind w:left="0" w:firstLine="0"/>
              <w:jc w:val="right"/>
            </w:pPr>
            <w:r>
              <w:rPr>
                <w:sz w:val="17"/>
                <w:szCs w:val="17"/>
              </w:rPr>
              <w:t xml:space="preserve">9.2</w:t>
            </w:r>
          </w:p>
        </w:tc>
      </w:tr>
      <w:tr>
        <w:trPr>
          <w:cantSplit/>
        </w:trPr>
        <w:tc>
          <w:tcPr>
            <w:tcW w:w="1250" w:type="dxa"/>
          </w:tcPr>
          <w:p>
            <w:pPr>
              <w:pStyle w:val="Compact"/>
              <w:suppressLineNumbers/>
              <w:spacing w:before="20" w:after="20" w:line="240" w:lineRule="auto"/>
              <w:ind w:left="0" w:firstLine="0"/>
              <w:jc w:val="left"/>
            </w:pPr>
            <w:r>
              <w:rPr>
                <w:sz w:val="17"/>
                <w:szCs w:val="17"/>
              </w:rPr>
              <w:t xml:space="preserve">A</w:t>
            </w:r>
          </w:p>
        </w:tc>
        <w:tc>
          <w:tcPr>
            <w:tcW w:w="714" w:type="dxa"/>
          </w:tcPr>
          <w:p>
            <w:pPr>
              <w:pStyle w:val="Compact"/>
              <w:suppressLineNumbers/>
              <w:spacing w:before="20" w:after="20" w:line="240" w:lineRule="auto"/>
              <w:ind w:left="0" w:firstLine="0"/>
              <w:jc w:val="right"/>
            </w:pPr>
            <w:r>
              <w:rPr>
                <w:sz w:val="17"/>
                <w:szCs w:val="17"/>
              </w:rPr>
              <w:t xml:space="preserve">1</w:t>
            </w:r>
          </w:p>
        </w:tc>
        <w:tc>
          <w:tcPr>
            <w:tcW w:w="960" w:type="dxa"/>
          </w:tcPr>
          <w:p>
            <w:pPr>
              <w:pStyle w:val="Compact"/>
              <w:suppressLineNumbers/>
              <w:spacing w:before="20" w:after="20" w:line="240" w:lineRule="auto"/>
              <w:ind w:left="0" w:firstLine="0"/>
              <w:jc w:val="right"/>
            </w:pPr>
            <w:r>
              <w:rPr>
                <w:sz w:val="17"/>
                <w:szCs w:val="17"/>
              </w:rPr>
              <w:t xml:space="preserve">23.5</w:t>
            </w:r>
          </w:p>
        </w:tc>
        <w:tc>
          <w:tcPr>
            <w:tcW w:w="1051" w:type="dxa"/>
          </w:tcPr>
          <w:p>
            <w:pPr>
              <w:pStyle w:val="Compact"/>
              <w:suppressLineNumbers/>
              <w:spacing w:before="20" w:after="20" w:line="240" w:lineRule="auto"/>
              <w:ind w:left="0" w:firstLine="0"/>
              <w:jc w:val="right"/>
            </w:pPr>
            <w:r>
              <w:rPr>
                <w:sz w:val="17"/>
                <w:szCs w:val="17"/>
              </w:rPr>
              <w:t xml:space="preserve">26.35</w:t>
            </w:r>
          </w:p>
        </w:tc>
        <w:tc>
          <w:tcPr>
            <w:tcW w:w="892" w:type="dxa"/>
          </w:tcPr>
          <w:p>
            <w:pPr>
              <w:pStyle w:val="Compact"/>
              <w:suppressLineNumbers/>
              <w:spacing w:before="20" w:after="20" w:line="240" w:lineRule="auto"/>
              <w:ind w:left="0" w:firstLine="0"/>
              <w:jc w:val="right"/>
            </w:pPr>
            <w:r>
              <w:rPr>
                <w:sz w:val="17"/>
                <w:szCs w:val="17"/>
              </w:rPr>
              <w:t xml:space="preserve">76</w:t>
            </w:r>
          </w:p>
        </w:tc>
        <w:tc>
          <w:tcPr>
            <w:tcW w:w="919" w:type="dxa"/>
          </w:tcPr>
          <w:p>
            <w:pPr>
              <w:pStyle w:val="Compact"/>
              <w:suppressLineNumbers/>
              <w:spacing w:before="20" w:after="20" w:line="240" w:lineRule="auto"/>
              <w:ind w:left="0" w:firstLine="0"/>
              <w:jc w:val="right"/>
            </w:pPr>
            <w:r>
              <w:rPr>
                <w:sz w:val="17"/>
                <w:szCs w:val="17"/>
              </w:rPr>
              <w:t xml:space="preserve">34.9</w:t>
            </w:r>
          </w:p>
        </w:tc>
        <w:tc>
          <w:tcPr>
            <w:tcW w:w="1428" w:type="dxa"/>
          </w:tcPr>
          <w:p>
            <w:pPr>
              <w:pStyle w:val="Compact"/>
              <w:suppressLineNumbers/>
              <w:spacing w:before="20" w:after="20" w:line="240" w:lineRule="auto"/>
              <w:ind w:left="0" w:firstLine="0"/>
              <w:jc w:val="right"/>
            </w:pPr>
            <w:r>
              <w:rPr>
                <w:sz w:val="17"/>
                <w:szCs w:val="17"/>
              </w:rPr>
              <w:t xml:space="preserve">3.59</w:t>
            </w:r>
          </w:p>
        </w:tc>
        <w:tc>
          <w:tcPr>
            <w:tcW w:w="1071" w:type="dxa"/>
          </w:tcPr>
          <w:p>
            <w:pPr>
              <w:pStyle w:val="Compact"/>
              <w:suppressLineNumbers/>
              <w:spacing w:before="20" w:after="20" w:line="240" w:lineRule="auto"/>
              <w:ind w:left="0" w:firstLine="0"/>
              <w:jc w:val="right"/>
            </w:pPr>
            <w:r>
              <w:rPr>
                <w:sz w:val="17"/>
                <w:szCs w:val="17"/>
              </w:rPr>
              <w:t xml:space="preserve">4.02</w:t>
            </w:r>
          </w:p>
        </w:tc>
        <w:tc>
          <w:tcPr>
            <w:tcW w:w="1071" w:type="dxa"/>
          </w:tcPr>
          <w:p>
            <w:pPr>
              <w:pStyle w:val="Compact"/>
              <w:suppressLineNumbers/>
              <w:spacing w:before="20" w:after="20" w:line="240" w:lineRule="auto"/>
              <w:ind w:left="0" w:firstLine="0"/>
              <w:jc w:val="right"/>
            </w:pPr>
            <w:r>
              <w:rPr>
                <w:sz w:val="17"/>
                <w:szCs w:val="17"/>
              </w:rPr>
              <w:t xml:space="preserve">11.4</w:t>
            </w:r>
          </w:p>
        </w:tc>
      </w:tr>
      <w:tr>
        <w:trPr>
          <w:cantSplit/>
        </w:trPr>
        <w:tc>
          <w:tcPr>
            <w:tcW w:w="1250" w:type="dxa"/>
          </w:tcPr>
          <w:p>
            <w:pPr>
              <w:pStyle w:val="Compact"/>
              <w:suppressLineNumbers/>
              <w:spacing w:before="20" w:after="20" w:line="240" w:lineRule="auto"/>
              <w:ind w:left="0" w:firstLine="0"/>
              <w:jc w:val="left"/>
            </w:pPr>
            <w:r>
              <w:rPr>
                <w:sz w:val="17"/>
                <w:szCs w:val="17"/>
              </w:rPr>
              <w:t xml:space="preserve">A</w:t>
            </w:r>
          </w:p>
        </w:tc>
        <w:tc>
          <w:tcPr>
            <w:tcW w:w="714" w:type="dxa"/>
          </w:tcPr>
          <w:p>
            <w:pPr>
              <w:pStyle w:val="Compact"/>
              <w:suppressLineNumbers/>
              <w:spacing w:before="20" w:after="20" w:line="240" w:lineRule="auto"/>
              <w:ind w:left="0" w:firstLine="0"/>
              <w:jc w:val="right"/>
            </w:pPr>
            <w:r>
              <w:rPr>
                <w:sz w:val="17"/>
                <w:szCs w:val="17"/>
              </w:rPr>
              <w:t xml:space="preserve">2</w:t>
            </w:r>
          </w:p>
        </w:tc>
        <w:tc>
          <w:tcPr>
            <w:tcW w:w="960" w:type="dxa"/>
          </w:tcPr>
          <w:p>
            <w:pPr>
              <w:pStyle w:val="Compact"/>
              <w:suppressLineNumbers/>
              <w:spacing w:before="20" w:after="20" w:line="240" w:lineRule="auto"/>
              <w:ind w:left="0" w:firstLine="0"/>
              <w:jc w:val="right"/>
            </w:pPr>
            <w:r>
              <w:rPr>
                <w:sz w:val="17"/>
                <w:szCs w:val="17"/>
              </w:rPr>
              <w:t xml:space="preserve">28.4</w:t>
            </w:r>
          </w:p>
        </w:tc>
        <w:tc>
          <w:tcPr>
            <w:tcW w:w="1051" w:type="dxa"/>
          </w:tcPr>
          <w:p>
            <w:pPr>
              <w:pStyle w:val="Compact"/>
              <w:suppressLineNumbers/>
              <w:spacing w:before="20" w:after="20" w:line="240" w:lineRule="auto"/>
              <w:ind w:left="0" w:firstLine="0"/>
              <w:jc w:val="right"/>
            </w:pPr>
            <w:r>
              <w:rPr>
                <w:sz w:val="17"/>
                <w:szCs w:val="17"/>
              </w:rPr>
              <w:t xml:space="preserve">25.71</w:t>
            </w:r>
          </w:p>
        </w:tc>
        <w:tc>
          <w:tcPr>
            <w:tcW w:w="892" w:type="dxa"/>
          </w:tcPr>
          <w:p>
            <w:pPr>
              <w:pStyle w:val="Compact"/>
              <w:suppressLineNumbers/>
              <w:spacing w:before="20" w:after="20" w:line="240" w:lineRule="auto"/>
              <w:ind w:left="0" w:firstLine="0"/>
              <w:jc w:val="right"/>
            </w:pPr>
            <w:r>
              <w:rPr>
                <w:sz w:val="17"/>
                <w:szCs w:val="17"/>
              </w:rPr>
              <w:t xml:space="preserve">91</w:t>
            </w:r>
          </w:p>
        </w:tc>
        <w:tc>
          <w:tcPr>
            <w:tcW w:w="919" w:type="dxa"/>
          </w:tcPr>
          <w:p>
            <w:pPr>
              <w:pStyle w:val="Compact"/>
              <w:suppressLineNumbers/>
              <w:spacing w:before="20" w:after="20" w:line="240" w:lineRule="auto"/>
              <w:ind w:left="0" w:firstLine="0"/>
              <w:jc w:val="right"/>
            </w:pPr>
            <w:r>
              <w:rPr>
                <w:sz w:val="17"/>
                <w:szCs w:val="17"/>
              </w:rPr>
              <w:t xml:space="preserve">34.9</w:t>
            </w:r>
          </w:p>
        </w:tc>
        <w:tc>
          <w:tcPr>
            <w:tcW w:w="1428" w:type="dxa"/>
          </w:tcPr>
          <w:p>
            <w:pPr>
              <w:pStyle w:val="Compact"/>
              <w:suppressLineNumbers/>
              <w:spacing w:before="20" w:after="20" w:line="240" w:lineRule="auto"/>
              <w:ind w:left="0" w:firstLine="0"/>
              <w:jc w:val="right"/>
            </w:pPr>
            <w:r>
              <w:rPr>
                <w:sz w:val="17"/>
                <w:szCs w:val="17"/>
              </w:rPr>
              <w:t xml:space="preserve">5.47</w:t>
            </w:r>
          </w:p>
        </w:tc>
        <w:tc>
          <w:tcPr>
            <w:tcW w:w="1071" w:type="dxa"/>
          </w:tcPr>
          <w:p>
            <w:pPr>
              <w:pStyle w:val="Compact"/>
              <w:suppressLineNumbers/>
              <w:spacing w:before="20" w:after="20" w:line="240" w:lineRule="auto"/>
              <w:ind w:left="0" w:firstLine="0"/>
              <w:jc w:val="right"/>
            </w:pPr>
            <w:r>
              <w:rPr>
                <w:sz w:val="17"/>
                <w:szCs w:val="17"/>
              </w:rPr>
              <w:t xml:space="preserve">4.76</w:t>
            </w:r>
          </w:p>
        </w:tc>
        <w:tc>
          <w:tcPr>
            <w:tcW w:w="1071" w:type="dxa"/>
          </w:tcPr>
          <w:p>
            <w:pPr>
              <w:pStyle w:val="Compact"/>
              <w:suppressLineNumbers/>
              <w:spacing w:before="20" w:after="20" w:line="240" w:lineRule="auto"/>
              <w:ind w:left="0" w:firstLine="0"/>
              <w:jc w:val="right"/>
            </w:pPr>
            <w:r>
              <w:rPr>
                <w:sz w:val="17"/>
                <w:szCs w:val="17"/>
              </w:rPr>
              <w:t xml:space="preserve">12.1</w:t>
            </w:r>
          </w:p>
        </w:tc>
      </w:tr>
      <w:tr>
        <w:trPr>
          <w:cantSplit/>
        </w:trPr>
        <w:tc>
          <w:tcPr>
            <w:tcW w:w="1250" w:type="dxa"/>
          </w:tcPr>
          <w:p>
            <w:pPr>
              <w:pStyle w:val="Compact"/>
              <w:suppressLineNumbers/>
              <w:spacing w:before="20" w:after="20" w:line="240" w:lineRule="auto"/>
              <w:ind w:left="0" w:firstLine="0"/>
              <w:jc w:val="left"/>
            </w:pPr>
            <w:r>
              <w:rPr>
                <w:sz w:val="17"/>
                <w:szCs w:val="17"/>
              </w:rPr>
              <w:t xml:space="preserve">A</w:t>
            </w:r>
          </w:p>
        </w:tc>
        <w:tc>
          <w:tcPr>
            <w:tcW w:w="714" w:type="dxa"/>
          </w:tcPr>
          <w:p>
            <w:pPr>
              <w:pStyle w:val="Compact"/>
              <w:suppressLineNumbers/>
              <w:spacing w:before="20" w:after="20" w:line="240" w:lineRule="auto"/>
              <w:ind w:left="0" w:firstLine="0"/>
              <w:jc w:val="right"/>
            </w:pPr>
            <w:r>
              <w:rPr>
                <w:sz w:val="17"/>
                <w:szCs w:val="17"/>
              </w:rPr>
              <w:t xml:space="preserve">3</w:t>
            </w:r>
          </w:p>
        </w:tc>
        <w:tc>
          <w:tcPr>
            <w:tcW w:w="960" w:type="dxa"/>
          </w:tcPr>
          <w:p>
            <w:pPr>
              <w:pStyle w:val="Compact"/>
              <w:suppressLineNumbers/>
              <w:spacing w:before="20" w:after="20" w:line="240" w:lineRule="auto"/>
              <w:ind w:left="0" w:firstLine="0"/>
              <w:jc w:val="right"/>
            </w:pPr>
            <w:r>
              <w:rPr>
                <w:sz w:val="17"/>
                <w:szCs w:val="17"/>
              </w:rPr>
              <w:t xml:space="preserve">26.5</w:t>
            </w:r>
          </w:p>
        </w:tc>
        <w:tc>
          <w:tcPr>
            <w:tcW w:w="1051" w:type="dxa"/>
          </w:tcPr>
          <w:p>
            <w:pPr>
              <w:pStyle w:val="Compact"/>
              <w:suppressLineNumbers/>
              <w:spacing w:before="20" w:after="20" w:line="240" w:lineRule="auto"/>
              <w:ind w:left="0" w:firstLine="0"/>
              <w:jc w:val="right"/>
            </w:pPr>
            <w:r>
              <w:rPr>
                <w:sz w:val="17"/>
                <w:szCs w:val="17"/>
              </w:rPr>
              <w:t xml:space="preserve">25.96</w:t>
            </w:r>
          </w:p>
        </w:tc>
        <w:tc>
          <w:tcPr>
            <w:tcW w:w="892" w:type="dxa"/>
          </w:tcPr>
          <w:p>
            <w:pPr>
              <w:pStyle w:val="Compact"/>
              <w:suppressLineNumbers/>
              <w:spacing w:before="20" w:after="20" w:line="240" w:lineRule="auto"/>
              <w:ind w:left="0" w:firstLine="0"/>
              <w:jc w:val="right"/>
            </w:pPr>
            <w:r>
              <w:rPr>
                <w:sz w:val="17"/>
                <w:szCs w:val="17"/>
              </w:rPr>
              <w:t xml:space="preserve">85</w:t>
            </w:r>
          </w:p>
        </w:tc>
        <w:tc>
          <w:tcPr>
            <w:tcW w:w="919" w:type="dxa"/>
          </w:tcPr>
          <w:p>
            <w:pPr>
              <w:pStyle w:val="Compact"/>
              <w:suppressLineNumbers/>
              <w:spacing w:before="20" w:after="20" w:line="240" w:lineRule="auto"/>
              <w:ind w:left="0" w:firstLine="0"/>
              <w:jc w:val="right"/>
            </w:pPr>
            <w:r>
              <w:rPr>
                <w:sz w:val="17"/>
                <w:szCs w:val="17"/>
              </w:rPr>
              <w:t xml:space="preserve">34.9</w:t>
            </w:r>
          </w:p>
        </w:tc>
        <w:tc>
          <w:tcPr>
            <w:tcW w:w="1428" w:type="dxa"/>
          </w:tcPr>
          <w:p>
            <w:pPr>
              <w:pStyle w:val="Compact"/>
              <w:suppressLineNumbers/>
              <w:spacing w:before="20" w:after="20" w:line="240" w:lineRule="auto"/>
              <w:ind w:left="0" w:firstLine="0"/>
              <w:jc w:val="right"/>
            </w:pPr>
            <w:r>
              <w:rPr>
                <w:sz w:val="17"/>
                <w:szCs w:val="17"/>
              </w:rPr>
              <w:t xml:space="preserve">5.55</w:t>
            </w:r>
          </w:p>
        </w:tc>
        <w:tc>
          <w:tcPr>
            <w:tcW w:w="1071" w:type="dxa"/>
          </w:tcPr>
          <w:p>
            <w:pPr>
              <w:pStyle w:val="Compact"/>
              <w:suppressLineNumbers/>
              <w:spacing w:before="20" w:after="20" w:line="240" w:lineRule="auto"/>
              <w:ind w:left="0" w:firstLine="0"/>
              <w:jc w:val="right"/>
            </w:pPr>
            <w:r>
              <w:rPr>
                <w:sz w:val="17"/>
                <w:szCs w:val="17"/>
              </w:rPr>
              <w:t xml:space="preserve">4.47</w:t>
            </w:r>
          </w:p>
        </w:tc>
        <w:tc>
          <w:tcPr>
            <w:tcW w:w="1071" w:type="dxa"/>
          </w:tcPr>
          <w:p>
            <w:pPr>
              <w:pStyle w:val="Compact"/>
              <w:suppressLineNumbers/>
              <w:spacing w:before="20" w:after="20" w:line="240" w:lineRule="auto"/>
              <w:ind w:left="0" w:firstLine="0"/>
              <w:jc w:val="right"/>
            </w:pPr>
            <w:r>
              <w:rPr>
                <w:sz w:val="17"/>
                <w:szCs w:val="17"/>
              </w:rPr>
              <w:t xml:space="preserve">11.8</w:t>
            </w:r>
          </w:p>
        </w:tc>
      </w:tr>
      <w:tr>
        <w:trPr>
          <w:cantSplit/>
        </w:trPr>
        <w:tc>
          <w:tcPr>
            <w:tcW w:w="1250" w:type="dxa"/>
          </w:tcPr>
          <w:p>
            <w:pPr>
              <w:pStyle w:val="Compact"/>
              <w:suppressLineNumbers/>
              <w:spacing w:before="20" w:after="20" w:line="240" w:lineRule="auto"/>
              <w:ind w:left="0" w:firstLine="0"/>
              <w:jc w:val="left"/>
            </w:pPr>
            <w:r>
              <w:rPr>
                <w:sz w:val="17"/>
                <w:szCs w:val="17"/>
              </w:rPr>
              <w:t xml:space="preserve">B</w:t>
            </w:r>
          </w:p>
        </w:tc>
        <w:tc>
          <w:tcPr>
            <w:tcW w:w="714" w:type="dxa"/>
          </w:tcPr>
          <w:p>
            <w:pPr>
              <w:pStyle w:val="Compact"/>
              <w:suppressLineNumbers/>
              <w:spacing w:before="20" w:after="20" w:line="240" w:lineRule="auto"/>
              <w:ind w:left="0" w:firstLine="0"/>
              <w:jc w:val="right"/>
            </w:pPr>
            <w:r>
              <w:rPr>
                <w:sz w:val="17"/>
                <w:szCs w:val="17"/>
              </w:rPr>
              <w:t xml:space="preserve">0</w:t>
            </w:r>
          </w:p>
        </w:tc>
        <w:tc>
          <w:tcPr>
            <w:tcW w:w="960" w:type="dxa"/>
          </w:tcPr>
          <w:p>
            <w:pPr>
              <w:pStyle w:val="Compact"/>
              <w:suppressLineNumbers/>
              <w:spacing w:before="20" w:after="20" w:line="240" w:lineRule="auto"/>
              <w:ind w:left="0" w:firstLine="0"/>
              <w:jc w:val="right"/>
            </w:pPr>
            <w:r>
              <w:rPr>
                <w:sz w:val="17"/>
                <w:szCs w:val="17"/>
              </w:rPr>
              <w:t xml:space="preserve">14.7</w:t>
            </w:r>
          </w:p>
        </w:tc>
        <w:tc>
          <w:tcPr>
            <w:tcW w:w="1051" w:type="dxa"/>
          </w:tcPr>
          <w:p>
            <w:pPr>
              <w:pStyle w:val="Compact"/>
              <w:suppressLineNumbers/>
              <w:spacing w:before="20" w:after="20" w:line="240" w:lineRule="auto"/>
              <w:ind w:left="0" w:firstLine="0"/>
              <w:jc w:val="right"/>
            </w:pPr>
            <w:r>
              <w:rPr>
                <w:sz w:val="17"/>
                <w:szCs w:val="17"/>
              </w:rPr>
              <w:t xml:space="preserve">22.81</w:t>
            </w:r>
          </w:p>
        </w:tc>
        <w:tc>
          <w:tcPr>
            <w:tcW w:w="892" w:type="dxa"/>
          </w:tcPr>
          <w:p>
            <w:pPr>
              <w:pStyle w:val="Compact"/>
              <w:suppressLineNumbers/>
              <w:spacing w:before="20" w:after="20" w:line="240" w:lineRule="auto"/>
              <w:ind w:left="0" w:firstLine="0"/>
              <w:jc w:val="right"/>
            </w:pPr>
            <w:r>
              <w:rPr>
                <w:sz w:val="17"/>
                <w:szCs w:val="17"/>
              </w:rPr>
              <w:t xml:space="preserve">44</w:t>
            </w:r>
          </w:p>
        </w:tc>
        <w:tc>
          <w:tcPr>
            <w:tcW w:w="919" w:type="dxa"/>
          </w:tcPr>
          <w:p>
            <w:pPr>
              <w:pStyle w:val="Compact"/>
              <w:suppressLineNumbers/>
              <w:spacing w:before="20" w:after="20" w:line="240" w:lineRule="auto"/>
              <w:ind w:left="0" w:firstLine="0"/>
              <w:jc w:val="right"/>
            </w:pPr>
            <w:r>
              <w:rPr>
                <w:sz w:val="17"/>
                <w:szCs w:val="17"/>
              </w:rPr>
              <w:t xml:space="preserve">37.3</w:t>
            </w:r>
          </w:p>
        </w:tc>
        <w:tc>
          <w:tcPr>
            <w:tcW w:w="1428" w:type="dxa"/>
          </w:tcPr>
          <w:p>
            <w:pPr>
              <w:pStyle w:val="Compact"/>
              <w:suppressLineNumbers/>
              <w:spacing w:before="20" w:after="20" w:line="240" w:lineRule="auto"/>
              <w:ind w:left="0" w:firstLine="0"/>
              <w:jc w:val="right"/>
            </w:pPr>
            <w:r>
              <w:rPr>
                <w:sz w:val="17"/>
                <w:szCs w:val="17"/>
              </w:rPr>
              <w:t xml:space="preserve">2.42</w:t>
            </w:r>
          </w:p>
        </w:tc>
        <w:tc>
          <w:tcPr>
            <w:tcW w:w="1071" w:type="dxa"/>
          </w:tcPr>
          <w:p>
            <w:pPr>
              <w:pStyle w:val="Compact"/>
              <w:suppressLineNumbers/>
              <w:spacing w:before="20" w:after="20" w:line="240" w:lineRule="auto"/>
              <w:ind w:left="0" w:firstLine="0"/>
              <w:jc w:val="right"/>
            </w:pPr>
            <w:r>
              <w:rPr>
                <w:sz w:val="17"/>
                <w:szCs w:val="17"/>
              </w:rPr>
              <w:t xml:space="preserve">2.33</w:t>
            </w:r>
          </w:p>
        </w:tc>
        <w:tc>
          <w:tcPr>
            <w:tcW w:w="1071" w:type="dxa"/>
          </w:tcPr>
          <w:p>
            <w:pPr>
              <w:pStyle w:val="Compact"/>
              <w:suppressLineNumbers/>
              <w:spacing w:before="20" w:after="20" w:line="240" w:lineRule="auto"/>
              <w:ind w:left="0" w:firstLine="0"/>
              <w:jc w:val="right"/>
            </w:pPr>
            <w:r>
              <w:rPr>
                <w:sz w:val="17"/>
                <w:szCs w:val="17"/>
              </w:rPr>
              <w:t xml:space="preserve">9.2</w:t>
            </w:r>
          </w:p>
        </w:tc>
      </w:tr>
      <w:tr>
        <w:trPr>
          <w:cantSplit/>
        </w:trPr>
        <w:tc>
          <w:tcPr>
            <w:tcW w:w="1250" w:type="dxa"/>
          </w:tcPr>
          <w:p>
            <w:pPr>
              <w:pStyle w:val="Compact"/>
              <w:suppressLineNumbers/>
              <w:spacing w:before="20" w:after="20" w:line="240" w:lineRule="auto"/>
              <w:ind w:left="0" w:firstLine="0"/>
              <w:jc w:val="left"/>
            </w:pPr>
            <w:r>
              <w:rPr>
                <w:sz w:val="17"/>
                <w:szCs w:val="17"/>
              </w:rPr>
              <w:t xml:space="preserve">B</w:t>
            </w:r>
          </w:p>
        </w:tc>
        <w:tc>
          <w:tcPr>
            <w:tcW w:w="714" w:type="dxa"/>
          </w:tcPr>
          <w:p>
            <w:pPr>
              <w:pStyle w:val="Compact"/>
              <w:suppressLineNumbers/>
              <w:spacing w:before="20" w:after="20" w:line="240" w:lineRule="auto"/>
              <w:ind w:left="0" w:firstLine="0"/>
              <w:jc w:val="right"/>
            </w:pPr>
            <w:r>
              <w:rPr>
                <w:sz w:val="17"/>
                <w:szCs w:val="17"/>
              </w:rPr>
              <w:t xml:space="preserve">1</w:t>
            </w:r>
          </w:p>
        </w:tc>
        <w:tc>
          <w:tcPr>
            <w:tcW w:w="960" w:type="dxa"/>
          </w:tcPr>
          <w:p>
            <w:pPr>
              <w:pStyle w:val="Compact"/>
              <w:suppressLineNumbers/>
              <w:spacing w:before="20" w:after="20" w:line="240" w:lineRule="auto"/>
              <w:ind w:left="0" w:firstLine="0"/>
              <w:jc w:val="right"/>
            </w:pPr>
            <w:r>
              <w:rPr>
                <w:sz w:val="17"/>
                <w:szCs w:val="17"/>
              </w:rPr>
              <w:t xml:space="preserve">26.5</w:t>
            </w:r>
          </w:p>
        </w:tc>
        <w:tc>
          <w:tcPr>
            <w:tcW w:w="1051" w:type="dxa"/>
          </w:tcPr>
          <w:p>
            <w:pPr>
              <w:pStyle w:val="Compact"/>
              <w:suppressLineNumbers/>
              <w:spacing w:before="20" w:after="20" w:line="240" w:lineRule="auto"/>
              <w:ind w:left="0" w:firstLine="0"/>
              <w:jc w:val="right"/>
            </w:pPr>
            <w:r>
              <w:rPr>
                <w:sz w:val="17"/>
                <w:szCs w:val="17"/>
              </w:rPr>
              <w:t xml:space="preserve">28.23</w:t>
            </w:r>
          </w:p>
        </w:tc>
        <w:tc>
          <w:tcPr>
            <w:tcW w:w="892" w:type="dxa"/>
          </w:tcPr>
          <w:p>
            <w:pPr>
              <w:pStyle w:val="Compact"/>
              <w:suppressLineNumbers/>
              <w:spacing w:before="20" w:after="20" w:line="240" w:lineRule="auto"/>
              <w:ind w:left="0" w:firstLine="0"/>
              <w:jc w:val="right"/>
            </w:pPr>
            <w:r>
              <w:rPr>
                <w:sz w:val="17"/>
                <w:szCs w:val="17"/>
              </w:rPr>
              <w:t xml:space="preserve">89</w:t>
            </w:r>
          </w:p>
        </w:tc>
        <w:tc>
          <w:tcPr>
            <w:tcW w:w="919" w:type="dxa"/>
          </w:tcPr>
          <w:p>
            <w:pPr>
              <w:pStyle w:val="Compact"/>
              <w:suppressLineNumbers/>
              <w:spacing w:before="20" w:after="20" w:line="240" w:lineRule="auto"/>
              <w:ind w:left="0" w:firstLine="0"/>
              <w:jc w:val="right"/>
            </w:pPr>
            <w:r>
              <w:rPr>
                <w:sz w:val="17"/>
                <w:szCs w:val="17"/>
              </w:rPr>
              <w:t xml:space="preserve">34.9</w:t>
            </w:r>
          </w:p>
        </w:tc>
        <w:tc>
          <w:tcPr>
            <w:tcW w:w="1428" w:type="dxa"/>
          </w:tcPr>
          <w:p>
            <w:pPr>
              <w:pStyle w:val="Compact"/>
              <w:suppressLineNumbers/>
              <w:spacing w:before="20" w:after="20" w:line="240" w:lineRule="auto"/>
              <w:ind w:left="0" w:firstLine="0"/>
              <w:jc w:val="right"/>
            </w:pPr>
            <w:r>
              <w:rPr>
                <w:sz w:val="17"/>
                <w:szCs w:val="17"/>
              </w:rPr>
              <w:t xml:space="preserve">3.92</w:t>
            </w:r>
          </w:p>
        </w:tc>
        <w:tc>
          <w:tcPr>
            <w:tcW w:w="1071" w:type="dxa"/>
          </w:tcPr>
          <w:p>
            <w:pPr>
              <w:pStyle w:val="Compact"/>
              <w:suppressLineNumbers/>
              <w:spacing w:before="20" w:after="20" w:line="240" w:lineRule="auto"/>
              <w:ind w:left="0" w:firstLine="0"/>
              <w:jc w:val="right"/>
            </w:pPr>
            <w:r>
              <w:rPr>
                <w:sz w:val="17"/>
                <w:szCs w:val="17"/>
              </w:rPr>
              <w:t xml:space="preserve">4.82</w:t>
            </w:r>
          </w:p>
        </w:tc>
        <w:tc>
          <w:tcPr>
            <w:tcW w:w="1071" w:type="dxa"/>
          </w:tcPr>
          <w:p>
            <w:pPr>
              <w:pStyle w:val="Compact"/>
              <w:suppressLineNumbers/>
              <w:spacing w:before="20" w:after="20" w:line="240" w:lineRule="auto"/>
              <w:ind w:left="0" w:firstLine="0"/>
              <w:jc w:val="right"/>
            </w:pPr>
            <w:r>
              <w:rPr>
                <w:sz w:val="17"/>
                <w:szCs w:val="17"/>
              </w:rPr>
              <w:t xml:space="preserve">12.0</w:t>
            </w:r>
          </w:p>
        </w:tc>
      </w:tr>
      <w:tr>
        <w:trPr>
          <w:cantSplit/>
        </w:trPr>
        <w:tc>
          <w:tcPr>
            <w:tcW w:w="1250" w:type="dxa"/>
          </w:tcPr>
          <w:p>
            <w:pPr>
              <w:pStyle w:val="Compact"/>
              <w:suppressLineNumbers/>
              <w:spacing w:before="20" w:after="20" w:line="240" w:lineRule="auto"/>
              <w:ind w:left="0" w:firstLine="0"/>
              <w:jc w:val="left"/>
            </w:pPr>
            <w:r>
              <w:rPr>
                <w:sz w:val="17"/>
                <w:szCs w:val="17"/>
              </w:rPr>
              <w:t xml:space="preserve">B</w:t>
            </w:r>
          </w:p>
        </w:tc>
        <w:tc>
          <w:tcPr>
            <w:tcW w:w="714" w:type="dxa"/>
          </w:tcPr>
          <w:p>
            <w:pPr>
              <w:pStyle w:val="Compact"/>
              <w:suppressLineNumbers/>
              <w:spacing w:before="20" w:after="20" w:line="240" w:lineRule="auto"/>
              <w:ind w:left="0" w:firstLine="0"/>
              <w:jc w:val="right"/>
            </w:pPr>
            <w:r>
              <w:rPr>
                <w:sz w:val="17"/>
                <w:szCs w:val="17"/>
              </w:rPr>
              <w:t xml:space="preserve">2</w:t>
            </w:r>
          </w:p>
        </w:tc>
        <w:tc>
          <w:tcPr>
            <w:tcW w:w="960" w:type="dxa"/>
          </w:tcPr>
          <w:p>
            <w:pPr>
              <w:pStyle w:val="Compact"/>
              <w:suppressLineNumbers/>
              <w:spacing w:before="20" w:after="20" w:line="240" w:lineRule="auto"/>
              <w:ind w:left="0" w:firstLine="0"/>
              <w:jc w:val="right"/>
            </w:pPr>
            <w:r>
              <w:rPr>
                <w:sz w:val="17"/>
                <w:szCs w:val="17"/>
              </w:rPr>
              <w:t xml:space="preserve">30.4</w:t>
            </w:r>
          </w:p>
        </w:tc>
        <w:tc>
          <w:tcPr>
            <w:tcW w:w="1051" w:type="dxa"/>
          </w:tcPr>
          <w:p>
            <w:pPr>
              <w:pStyle w:val="Compact"/>
              <w:suppressLineNumbers/>
              <w:spacing w:before="20" w:after="20" w:line="240" w:lineRule="auto"/>
              <w:ind w:left="0" w:firstLine="0"/>
              <w:jc w:val="right"/>
            </w:pPr>
            <w:r>
              <w:rPr>
                <w:sz w:val="17"/>
                <w:szCs w:val="17"/>
              </w:rPr>
              <w:t xml:space="preserve">29.29</w:t>
            </w:r>
          </w:p>
        </w:tc>
        <w:tc>
          <w:tcPr>
            <w:tcW w:w="892" w:type="dxa"/>
          </w:tcPr>
          <w:p>
            <w:pPr>
              <w:pStyle w:val="Compact"/>
              <w:suppressLineNumbers/>
              <w:spacing w:before="20" w:after="20" w:line="240" w:lineRule="auto"/>
              <w:ind w:left="0" w:firstLine="0"/>
              <w:jc w:val="right"/>
            </w:pPr>
            <w:r>
              <w:rPr>
                <w:sz w:val="17"/>
                <w:szCs w:val="17"/>
              </w:rPr>
              <w:t xml:space="preserve">104</w:t>
            </w:r>
          </w:p>
        </w:tc>
        <w:tc>
          <w:tcPr>
            <w:tcW w:w="919" w:type="dxa"/>
          </w:tcPr>
          <w:p>
            <w:pPr>
              <w:pStyle w:val="Compact"/>
              <w:suppressLineNumbers/>
              <w:spacing w:before="20" w:after="20" w:line="240" w:lineRule="auto"/>
              <w:ind w:left="0" w:firstLine="0"/>
              <w:jc w:val="right"/>
            </w:pPr>
            <w:r>
              <w:rPr>
                <w:sz w:val="17"/>
                <w:szCs w:val="17"/>
              </w:rPr>
              <w:t xml:space="preserve">34.9</w:t>
            </w:r>
          </w:p>
        </w:tc>
        <w:tc>
          <w:tcPr>
            <w:tcW w:w="1428" w:type="dxa"/>
          </w:tcPr>
          <w:p>
            <w:pPr>
              <w:pStyle w:val="Compact"/>
              <w:suppressLineNumbers/>
              <w:spacing w:before="20" w:after="20" w:line="240" w:lineRule="auto"/>
              <w:ind w:left="0" w:firstLine="0"/>
              <w:jc w:val="right"/>
            </w:pPr>
            <w:r>
              <w:rPr>
                <w:sz w:val="17"/>
                <w:szCs w:val="17"/>
              </w:rPr>
              <w:t xml:space="preserve">5.79</w:t>
            </w:r>
          </w:p>
        </w:tc>
        <w:tc>
          <w:tcPr>
            <w:tcW w:w="1071" w:type="dxa"/>
          </w:tcPr>
          <w:p>
            <w:pPr>
              <w:pStyle w:val="Compact"/>
              <w:suppressLineNumbers/>
              <w:spacing w:before="20" w:after="20" w:line="240" w:lineRule="auto"/>
              <w:ind w:left="0" w:firstLine="0"/>
              <w:jc w:val="right"/>
            </w:pPr>
            <w:r>
              <w:rPr>
                <w:sz w:val="17"/>
                <w:szCs w:val="17"/>
              </w:rPr>
              <w:t xml:space="preserve">5.72</w:t>
            </w:r>
          </w:p>
        </w:tc>
        <w:tc>
          <w:tcPr>
            <w:tcW w:w="1071" w:type="dxa"/>
          </w:tcPr>
          <w:p>
            <w:pPr>
              <w:pStyle w:val="Compact"/>
              <w:suppressLineNumbers/>
              <w:spacing w:before="20" w:after="20" w:line="240" w:lineRule="auto"/>
              <w:ind w:left="0" w:firstLine="0"/>
              <w:jc w:val="right"/>
            </w:pPr>
            <w:r>
              <w:rPr>
                <w:sz w:val="17"/>
                <w:szCs w:val="17"/>
              </w:rPr>
              <w:t xml:space="preserve">12.8</w:t>
            </w:r>
          </w:p>
        </w:tc>
      </w:tr>
      <w:tr>
        <w:trPr>
          <w:cantSplit/>
        </w:trPr>
        <w:tc>
          <w:tcPr>
            <w:tcW w:w="1250" w:type="dxa"/>
          </w:tcPr>
          <w:p>
            <w:pPr>
              <w:pStyle w:val="Compact"/>
              <w:suppressLineNumbers/>
              <w:spacing w:before="20" w:after="20" w:line="240" w:lineRule="auto"/>
              <w:ind w:left="0" w:firstLine="0"/>
              <w:jc w:val="left"/>
            </w:pPr>
            <w:r>
              <w:rPr>
                <w:sz w:val="17"/>
                <w:szCs w:val="17"/>
              </w:rPr>
              <w:t xml:space="preserve">B</w:t>
            </w:r>
          </w:p>
        </w:tc>
        <w:tc>
          <w:tcPr>
            <w:tcW w:w="714" w:type="dxa"/>
          </w:tcPr>
          <w:p>
            <w:pPr>
              <w:pStyle w:val="Compact"/>
              <w:suppressLineNumbers/>
              <w:spacing w:before="20" w:after="20" w:line="240" w:lineRule="auto"/>
              <w:ind w:left="0" w:firstLine="0"/>
              <w:jc w:val="right"/>
            </w:pPr>
            <w:r>
              <w:rPr>
                <w:sz w:val="17"/>
                <w:szCs w:val="17"/>
              </w:rPr>
              <w:t xml:space="preserve">3</w:t>
            </w:r>
          </w:p>
        </w:tc>
        <w:tc>
          <w:tcPr>
            <w:tcW w:w="960" w:type="dxa"/>
          </w:tcPr>
          <w:p>
            <w:pPr>
              <w:pStyle w:val="Compact"/>
              <w:suppressLineNumbers/>
              <w:spacing w:before="20" w:after="20" w:line="240" w:lineRule="auto"/>
              <w:ind w:left="0" w:firstLine="0"/>
              <w:jc w:val="right"/>
            </w:pPr>
            <w:r>
              <w:rPr>
                <w:sz w:val="17"/>
                <w:szCs w:val="17"/>
              </w:rPr>
              <w:t xml:space="preserve">24.5</w:t>
            </w:r>
          </w:p>
        </w:tc>
        <w:tc>
          <w:tcPr>
            <w:tcW w:w="1051" w:type="dxa"/>
          </w:tcPr>
          <w:p>
            <w:pPr>
              <w:pStyle w:val="Compact"/>
              <w:suppressLineNumbers/>
              <w:spacing w:before="20" w:after="20" w:line="240" w:lineRule="auto"/>
              <w:ind w:left="0" w:firstLine="0"/>
              <w:jc w:val="right"/>
            </w:pPr>
            <w:r>
              <w:rPr>
                <w:sz w:val="17"/>
                <w:szCs w:val="17"/>
              </w:rPr>
              <w:t xml:space="preserve">31.92</w:t>
            </w:r>
          </w:p>
        </w:tc>
        <w:tc>
          <w:tcPr>
            <w:tcW w:w="892" w:type="dxa"/>
          </w:tcPr>
          <w:p>
            <w:pPr>
              <w:pStyle w:val="Compact"/>
              <w:suppressLineNumbers/>
              <w:spacing w:before="20" w:after="20" w:line="240" w:lineRule="auto"/>
              <w:ind w:left="0" w:firstLine="0"/>
              <w:jc w:val="right"/>
            </w:pPr>
            <w:r>
              <w:rPr>
                <w:sz w:val="17"/>
                <w:szCs w:val="17"/>
              </w:rPr>
              <w:t xml:space="preserve">88</w:t>
            </w:r>
          </w:p>
        </w:tc>
        <w:tc>
          <w:tcPr>
            <w:tcW w:w="919" w:type="dxa"/>
          </w:tcPr>
          <w:p>
            <w:pPr>
              <w:pStyle w:val="Compact"/>
              <w:suppressLineNumbers/>
              <w:spacing w:before="20" w:after="20" w:line="240" w:lineRule="auto"/>
              <w:ind w:left="0" w:firstLine="0"/>
              <w:jc w:val="right"/>
            </w:pPr>
            <w:r>
              <w:rPr>
                <w:sz w:val="17"/>
                <w:szCs w:val="17"/>
              </w:rPr>
              <w:t xml:space="preserve">32.6</w:t>
            </w:r>
          </w:p>
        </w:tc>
        <w:tc>
          <w:tcPr>
            <w:tcW w:w="1428" w:type="dxa"/>
          </w:tcPr>
          <w:p>
            <w:pPr>
              <w:pStyle w:val="Compact"/>
              <w:suppressLineNumbers/>
              <w:spacing w:before="20" w:after="20" w:line="240" w:lineRule="auto"/>
              <w:ind w:left="0" w:firstLine="0"/>
              <w:jc w:val="right"/>
            </w:pPr>
            <w:r>
              <w:rPr>
                <w:sz w:val="17"/>
                <w:szCs w:val="17"/>
              </w:rPr>
              <w:t xml:space="preserve">5.93</w:t>
            </w:r>
          </w:p>
        </w:tc>
        <w:tc>
          <w:tcPr>
            <w:tcW w:w="1071" w:type="dxa"/>
          </w:tcPr>
          <w:p>
            <w:pPr>
              <w:pStyle w:val="Compact"/>
              <w:suppressLineNumbers/>
              <w:spacing w:before="20" w:after="20" w:line="240" w:lineRule="auto"/>
              <w:ind w:left="0" w:firstLine="0"/>
              <w:jc w:val="right"/>
            </w:pPr>
            <w:r>
              <w:rPr>
                <w:sz w:val="17"/>
                <w:szCs w:val="17"/>
              </w:rPr>
              <w:t xml:space="preserve">4.67</w:t>
            </w:r>
          </w:p>
        </w:tc>
        <w:tc>
          <w:tcPr>
            <w:tcW w:w="1071" w:type="dxa"/>
          </w:tcPr>
          <w:p>
            <w:pPr>
              <w:pStyle w:val="Compact"/>
              <w:suppressLineNumbers/>
              <w:spacing w:before="20" w:after="20" w:line="240" w:lineRule="auto"/>
              <w:ind w:left="0" w:firstLine="0"/>
              <w:jc w:val="right"/>
            </w:pPr>
            <w:r>
              <w:rPr>
                <w:sz w:val="17"/>
                <w:szCs w:val="17"/>
              </w:rPr>
              <w:t xml:space="preserve">12.0</w:t>
            </w:r>
          </w:p>
        </w:tc>
      </w:tr>
      <w:tr>
        <w:trPr>
          <w:cantSplit/>
        </w:trPr>
        <w:tc>
          <w:tcPr>
            <w:tcW w:w="1250" w:type="dxa"/>
          </w:tcPr>
          <w:p>
            <w:pPr>
              <w:pStyle w:val="Compact"/>
              <w:suppressLineNumbers/>
              <w:spacing w:before="20" w:after="20" w:line="240" w:lineRule="auto"/>
              <w:ind w:left="0" w:firstLine="0"/>
              <w:jc w:val="left"/>
            </w:pPr>
            <w:r>
              <w:rPr>
                <w:sz w:val="17"/>
                <w:szCs w:val="17"/>
              </w:rPr>
              <w:t xml:space="preserve">C</w:t>
            </w:r>
          </w:p>
        </w:tc>
        <w:tc>
          <w:tcPr>
            <w:tcW w:w="714" w:type="dxa"/>
          </w:tcPr>
          <w:p>
            <w:pPr>
              <w:pStyle w:val="Compact"/>
              <w:suppressLineNumbers/>
              <w:spacing w:before="20" w:after="20" w:line="240" w:lineRule="auto"/>
              <w:ind w:left="0" w:firstLine="0"/>
              <w:jc w:val="right"/>
            </w:pPr>
            <w:r>
              <w:rPr>
                <w:sz w:val="17"/>
                <w:szCs w:val="17"/>
              </w:rPr>
              <w:t xml:space="preserve">0</w:t>
            </w:r>
          </w:p>
        </w:tc>
        <w:tc>
          <w:tcPr>
            <w:tcW w:w="960" w:type="dxa"/>
          </w:tcPr>
          <w:p>
            <w:pPr>
              <w:pStyle w:val="Compact"/>
              <w:suppressLineNumbers/>
              <w:spacing w:before="20" w:after="20" w:line="240" w:lineRule="auto"/>
              <w:ind w:left="0" w:firstLine="0"/>
              <w:jc w:val="right"/>
            </w:pPr>
            <w:r>
              <w:rPr>
                <w:sz w:val="17"/>
                <w:szCs w:val="17"/>
              </w:rPr>
              <w:t xml:space="preserve">14.7</w:t>
            </w:r>
          </w:p>
        </w:tc>
        <w:tc>
          <w:tcPr>
            <w:tcW w:w="1051" w:type="dxa"/>
          </w:tcPr>
          <w:p>
            <w:pPr>
              <w:pStyle w:val="Compact"/>
              <w:suppressLineNumbers/>
              <w:spacing w:before="20" w:after="20" w:line="240" w:lineRule="auto"/>
              <w:ind w:left="0" w:firstLine="0"/>
              <w:jc w:val="right"/>
            </w:pPr>
            <w:r>
              <w:rPr>
                <w:sz w:val="17"/>
                <w:szCs w:val="17"/>
              </w:rPr>
              <w:t xml:space="preserve">22.81</w:t>
            </w:r>
          </w:p>
        </w:tc>
        <w:tc>
          <w:tcPr>
            <w:tcW w:w="892" w:type="dxa"/>
          </w:tcPr>
          <w:p>
            <w:pPr>
              <w:pStyle w:val="Compact"/>
              <w:suppressLineNumbers/>
              <w:spacing w:before="20" w:after="20" w:line="240" w:lineRule="auto"/>
              <w:ind w:left="0" w:firstLine="0"/>
              <w:jc w:val="right"/>
            </w:pPr>
            <w:r>
              <w:rPr>
                <w:sz w:val="17"/>
                <w:szCs w:val="17"/>
              </w:rPr>
              <w:t xml:space="preserve">44</w:t>
            </w:r>
          </w:p>
        </w:tc>
        <w:tc>
          <w:tcPr>
            <w:tcW w:w="919" w:type="dxa"/>
          </w:tcPr>
          <w:p>
            <w:pPr>
              <w:pStyle w:val="Compact"/>
              <w:suppressLineNumbers/>
              <w:spacing w:before="20" w:after="20" w:line="240" w:lineRule="auto"/>
              <w:ind w:left="0" w:firstLine="0"/>
              <w:jc w:val="right"/>
            </w:pPr>
            <w:r>
              <w:rPr>
                <w:sz w:val="17"/>
                <w:szCs w:val="17"/>
              </w:rPr>
              <w:t xml:space="preserve">37.3</w:t>
            </w:r>
          </w:p>
        </w:tc>
        <w:tc>
          <w:tcPr>
            <w:tcW w:w="1428" w:type="dxa"/>
          </w:tcPr>
          <w:p>
            <w:pPr>
              <w:pStyle w:val="Compact"/>
              <w:suppressLineNumbers/>
              <w:spacing w:before="20" w:after="20" w:line="240" w:lineRule="auto"/>
              <w:ind w:left="0" w:firstLine="0"/>
              <w:jc w:val="right"/>
            </w:pPr>
            <w:r>
              <w:rPr>
                <w:sz w:val="17"/>
                <w:szCs w:val="17"/>
              </w:rPr>
              <w:t xml:space="preserve">2.43</w:t>
            </w:r>
          </w:p>
        </w:tc>
        <w:tc>
          <w:tcPr>
            <w:tcW w:w="1071" w:type="dxa"/>
          </w:tcPr>
          <w:p>
            <w:pPr>
              <w:pStyle w:val="Compact"/>
              <w:suppressLineNumbers/>
              <w:spacing w:before="20" w:after="20" w:line="240" w:lineRule="auto"/>
              <w:ind w:left="0" w:firstLine="0"/>
              <w:jc w:val="right"/>
            </w:pPr>
            <w:r>
              <w:rPr>
                <w:sz w:val="17"/>
                <w:szCs w:val="17"/>
              </w:rPr>
              <w:t xml:space="preserve">2.33</w:t>
            </w:r>
          </w:p>
        </w:tc>
        <w:tc>
          <w:tcPr>
            <w:tcW w:w="1071" w:type="dxa"/>
          </w:tcPr>
          <w:p>
            <w:pPr>
              <w:pStyle w:val="Compact"/>
              <w:suppressLineNumbers/>
              <w:spacing w:before="20" w:after="20" w:line="240" w:lineRule="auto"/>
              <w:ind w:left="0" w:firstLine="0"/>
              <w:jc w:val="right"/>
            </w:pPr>
            <w:r>
              <w:rPr>
                <w:sz w:val="17"/>
                <w:szCs w:val="17"/>
              </w:rPr>
              <w:t xml:space="preserve">9.2</w:t>
            </w:r>
          </w:p>
        </w:tc>
      </w:tr>
      <w:tr>
        <w:trPr>
          <w:cantSplit/>
        </w:trPr>
        <w:tc>
          <w:tcPr>
            <w:tcW w:w="1250" w:type="dxa"/>
          </w:tcPr>
          <w:p>
            <w:pPr>
              <w:pStyle w:val="Compact"/>
              <w:suppressLineNumbers/>
              <w:spacing w:before="20" w:after="20" w:line="240" w:lineRule="auto"/>
              <w:ind w:left="0" w:firstLine="0"/>
              <w:jc w:val="left"/>
            </w:pPr>
            <w:r>
              <w:rPr>
                <w:sz w:val="17"/>
                <w:szCs w:val="17"/>
              </w:rPr>
              <w:t xml:space="preserve">C</w:t>
            </w:r>
          </w:p>
        </w:tc>
        <w:tc>
          <w:tcPr>
            <w:tcW w:w="714" w:type="dxa"/>
          </w:tcPr>
          <w:p>
            <w:pPr>
              <w:pStyle w:val="Compact"/>
              <w:suppressLineNumbers/>
              <w:spacing w:before="20" w:after="20" w:line="240" w:lineRule="auto"/>
              <w:ind w:left="0" w:firstLine="0"/>
              <w:jc w:val="right"/>
            </w:pPr>
            <w:r>
              <w:rPr>
                <w:sz w:val="17"/>
                <w:szCs w:val="17"/>
              </w:rPr>
              <w:t xml:space="preserve">1</w:t>
            </w:r>
          </w:p>
        </w:tc>
        <w:tc>
          <w:tcPr>
            <w:tcW w:w="960" w:type="dxa"/>
          </w:tcPr>
          <w:p>
            <w:pPr>
              <w:pStyle w:val="Compact"/>
              <w:suppressLineNumbers/>
              <w:spacing w:before="20" w:after="20" w:line="240" w:lineRule="auto"/>
              <w:ind w:left="0" w:firstLine="0"/>
              <w:jc w:val="right"/>
            </w:pPr>
            <w:r>
              <w:rPr>
                <w:sz w:val="17"/>
                <w:szCs w:val="17"/>
              </w:rPr>
              <w:t xml:space="preserve">32.4</w:t>
            </w:r>
          </w:p>
        </w:tc>
        <w:tc>
          <w:tcPr>
            <w:tcW w:w="1051" w:type="dxa"/>
          </w:tcPr>
          <w:p>
            <w:pPr>
              <w:pStyle w:val="Compact"/>
              <w:suppressLineNumbers/>
              <w:spacing w:before="20" w:after="20" w:line="240" w:lineRule="auto"/>
              <w:ind w:left="0" w:firstLine="0"/>
              <w:jc w:val="right"/>
            </w:pPr>
            <w:r>
              <w:rPr>
                <w:sz w:val="17"/>
                <w:szCs w:val="17"/>
              </w:rPr>
              <w:t xml:space="preserve">29.46</w:t>
            </w:r>
          </w:p>
        </w:tc>
        <w:tc>
          <w:tcPr>
            <w:tcW w:w="892" w:type="dxa"/>
          </w:tcPr>
          <w:p>
            <w:pPr>
              <w:pStyle w:val="Compact"/>
              <w:suppressLineNumbers/>
              <w:spacing w:before="20" w:after="20" w:line="240" w:lineRule="auto"/>
              <w:ind w:left="0" w:firstLine="0"/>
              <w:jc w:val="right"/>
            </w:pPr>
            <w:r>
              <w:rPr>
                <w:sz w:val="17"/>
                <w:szCs w:val="17"/>
              </w:rPr>
              <w:t xml:space="preserve">111</w:t>
            </w:r>
          </w:p>
        </w:tc>
        <w:tc>
          <w:tcPr>
            <w:tcW w:w="919" w:type="dxa"/>
          </w:tcPr>
          <w:p>
            <w:pPr>
              <w:pStyle w:val="Compact"/>
              <w:suppressLineNumbers/>
              <w:spacing w:before="20" w:after="20" w:line="240" w:lineRule="auto"/>
              <w:ind w:left="0" w:firstLine="0"/>
              <w:jc w:val="right"/>
            </w:pPr>
            <w:r>
              <w:rPr>
                <w:sz w:val="17"/>
                <w:szCs w:val="17"/>
              </w:rPr>
              <w:t xml:space="preserve">34.9</w:t>
            </w:r>
          </w:p>
        </w:tc>
        <w:tc>
          <w:tcPr>
            <w:tcW w:w="1428" w:type="dxa"/>
          </w:tcPr>
          <w:p>
            <w:pPr>
              <w:pStyle w:val="Compact"/>
              <w:suppressLineNumbers/>
              <w:spacing w:before="20" w:after="20" w:line="240" w:lineRule="auto"/>
              <w:ind w:left="0" w:firstLine="0"/>
              <w:jc w:val="right"/>
            </w:pPr>
            <w:r>
              <w:rPr>
                <w:sz w:val="17"/>
                <w:szCs w:val="17"/>
              </w:rPr>
              <w:t xml:space="preserve">3.83</w:t>
            </w:r>
          </w:p>
        </w:tc>
        <w:tc>
          <w:tcPr>
            <w:tcW w:w="1071" w:type="dxa"/>
          </w:tcPr>
          <w:p>
            <w:pPr>
              <w:pStyle w:val="Compact"/>
              <w:suppressLineNumbers/>
              <w:spacing w:before="20" w:after="20" w:line="240" w:lineRule="auto"/>
              <w:ind w:left="0" w:firstLine="0"/>
              <w:jc w:val="right"/>
            </w:pPr>
            <w:r>
              <w:rPr>
                <w:sz w:val="17"/>
                <w:szCs w:val="17"/>
              </w:rPr>
              <w:t xml:space="preserve">6.12</w:t>
            </w:r>
          </w:p>
        </w:tc>
        <w:tc>
          <w:tcPr>
            <w:tcW w:w="1071" w:type="dxa"/>
          </w:tcPr>
          <w:p>
            <w:pPr>
              <w:pStyle w:val="Compact"/>
              <w:suppressLineNumbers/>
              <w:spacing w:before="20" w:after="20" w:line="240" w:lineRule="auto"/>
              <w:ind w:left="0" w:firstLine="0"/>
              <w:jc w:val="right"/>
            </w:pPr>
            <w:r>
              <w:rPr>
                <w:sz w:val="17"/>
                <w:szCs w:val="17"/>
              </w:rPr>
              <w:t xml:space="preserve">13.1</w:t>
            </w:r>
          </w:p>
        </w:tc>
      </w:tr>
      <w:tr>
        <w:trPr>
          <w:cantSplit/>
        </w:trPr>
        <w:tc>
          <w:tcPr>
            <w:tcW w:w="1250" w:type="dxa"/>
          </w:tcPr>
          <w:p>
            <w:pPr>
              <w:pStyle w:val="Compact"/>
              <w:suppressLineNumbers/>
              <w:spacing w:before="20" w:after="20" w:line="240" w:lineRule="auto"/>
              <w:ind w:left="0" w:firstLine="0"/>
              <w:jc w:val="left"/>
            </w:pPr>
            <w:r>
              <w:rPr>
                <w:sz w:val="17"/>
                <w:szCs w:val="17"/>
              </w:rPr>
              <w:t xml:space="preserve">C</w:t>
            </w:r>
          </w:p>
        </w:tc>
        <w:tc>
          <w:tcPr>
            <w:tcW w:w="714" w:type="dxa"/>
          </w:tcPr>
          <w:p>
            <w:pPr>
              <w:pStyle w:val="Compact"/>
              <w:suppressLineNumbers/>
              <w:spacing w:before="20" w:after="20" w:line="240" w:lineRule="auto"/>
              <w:ind w:left="0" w:firstLine="0"/>
              <w:jc w:val="right"/>
            </w:pPr>
            <w:r>
              <w:rPr>
                <w:sz w:val="17"/>
                <w:szCs w:val="17"/>
              </w:rPr>
              <w:t xml:space="preserve">2</w:t>
            </w:r>
          </w:p>
        </w:tc>
        <w:tc>
          <w:tcPr>
            <w:tcW w:w="960" w:type="dxa"/>
          </w:tcPr>
          <w:p>
            <w:pPr>
              <w:pStyle w:val="Compact"/>
              <w:suppressLineNumbers/>
              <w:spacing w:before="20" w:after="20" w:line="240" w:lineRule="auto"/>
              <w:ind w:left="0" w:firstLine="0"/>
              <w:jc w:val="right"/>
            </w:pPr>
            <w:r>
              <w:rPr>
                <w:sz w:val="17"/>
                <w:szCs w:val="17"/>
              </w:rPr>
              <w:t xml:space="preserve">34.3</w:t>
            </w:r>
          </w:p>
        </w:tc>
        <w:tc>
          <w:tcPr>
            <w:tcW w:w="1051" w:type="dxa"/>
          </w:tcPr>
          <w:p>
            <w:pPr>
              <w:pStyle w:val="Compact"/>
              <w:suppressLineNumbers/>
              <w:spacing w:before="20" w:after="20" w:line="240" w:lineRule="auto"/>
              <w:ind w:left="0" w:firstLine="0"/>
              <w:jc w:val="right"/>
            </w:pPr>
            <w:r>
              <w:rPr>
                <w:sz w:val="17"/>
                <w:szCs w:val="17"/>
              </w:rPr>
              <w:t xml:space="preserve">31.04</w:t>
            </w:r>
          </w:p>
        </w:tc>
        <w:tc>
          <w:tcPr>
            <w:tcW w:w="892" w:type="dxa"/>
          </w:tcPr>
          <w:p>
            <w:pPr>
              <w:pStyle w:val="Compact"/>
              <w:suppressLineNumbers/>
              <w:spacing w:before="20" w:after="20" w:line="240" w:lineRule="auto"/>
              <w:ind w:left="0" w:firstLine="0"/>
              <w:jc w:val="right"/>
            </w:pPr>
            <w:r>
              <w:rPr>
                <w:sz w:val="17"/>
                <w:szCs w:val="17"/>
              </w:rPr>
              <w:t xml:space="preserve">121</w:t>
            </w:r>
          </w:p>
        </w:tc>
        <w:tc>
          <w:tcPr>
            <w:tcW w:w="919" w:type="dxa"/>
          </w:tcPr>
          <w:p>
            <w:pPr>
              <w:pStyle w:val="Compact"/>
              <w:suppressLineNumbers/>
              <w:spacing w:before="20" w:after="20" w:line="240" w:lineRule="auto"/>
              <w:ind w:left="0" w:firstLine="0"/>
              <w:jc w:val="right"/>
            </w:pPr>
            <w:r>
              <w:rPr>
                <w:sz w:val="17"/>
                <w:szCs w:val="17"/>
              </w:rPr>
              <w:t xml:space="preserve">32.6</w:t>
            </w:r>
          </w:p>
        </w:tc>
        <w:tc>
          <w:tcPr>
            <w:tcW w:w="1428" w:type="dxa"/>
          </w:tcPr>
          <w:p>
            <w:pPr>
              <w:pStyle w:val="Compact"/>
              <w:suppressLineNumbers/>
              <w:spacing w:before="20" w:after="20" w:line="240" w:lineRule="auto"/>
              <w:ind w:left="0" w:firstLine="0"/>
              <w:jc w:val="right"/>
            </w:pPr>
            <w:r>
              <w:rPr>
                <w:sz w:val="17"/>
                <w:szCs w:val="17"/>
              </w:rPr>
              <w:t xml:space="preserve">5.93</w:t>
            </w:r>
          </w:p>
        </w:tc>
        <w:tc>
          <w:tcPr>
            <w:tcW w:w="1071" w:type="dxa"/>
          </w:tcPr>
          <w:p>
            <w:pPr>
              <w:pStyle w:val="Compact"/>
              <w:suppressLineNumbers/>
              <w:spacing w:before="20" w:after="20" w:line="240" w:lineRule="auto"/>
              <w:ind w:left="0" w:firstLine="0"/>
              <w:jc w:val="right"/>
            </w:pPr>
            <w:r>
              <w:rPr>
                <w:sz w:val="17"/>
                <w:szCs w:val="17"/>
              </w:rPr>
              <w:t xml:space="preserve">6.39</w:t>
            </w:r>
          </w:p>
        </w:tc>
        <w:tc>
          <w:tcPr>
            <w:tcW w:w="1071" w:type="dxa"/>
          </w:tcPr>
          <w:p>
            <w:pPr>
              <w:pStyle w:val="Compact"/>
              <w:suppressLineNumbers/>
              <w:spacing w:before="20" w:after="20" w:line="240" w:lineRule="auto"/>
              <w:ind w:left="0" w:firstLine="0"/>
              <w:jc w:val="right"/>
            </w:pPr>
            <w:r>
              <w:rPr>
                <w:sz w:val="17"/>
                <w:szCs w:val="17"/>
              </w:rPr>
              <w:t xml:space="preserve">13.6</w:t>
            </w:r>
          </w:p>
        </w:tc>
      </w:tr>
      <w:tr>
        <w:trPr>
          <w:cantSplit/>
        </w:trPr>
        <w:tc>
          <w:tcPr>
            <w:tcW w:w="1250" w:type="dxa"/>
          </w:tcPr>
          <w:p>
            <w:pPr>
              <w:pStyle w:val="Compact"/>
              <w:suppressLineNumbers/>
              <w:spacing w:before="20" w:after="20" w:line="240" w:lineRule="auto"/>
              <w:ind w:left="0" w:firstLine="0"/>
              <w:jc w:val="left"/>
            </w:pPr>
            <w:r>
              <w:rPr>
                <w:sz w:val="17"/>
                <w:szCs w:val="17"/>
              </w:rPr>
              <w:t xml:space="preserve">C</w:t>
            </w:r>
          </w:p>
        </w:tc>
        <w:tc>
          <w:tcPr>
            <w:tcW w:w="714" w:type="dxa"/>
          </w:tcPr>
          <w:p>
            <w:pPr>
              <w:pStyle w:val="Compact"/>
              <w:suppressLineNumbers/>
              <w:spacing w:before="20" w:after="20" w:line="240" w:lineRule="auto"/>
              <w:ind w:left="0" w:firstLine="0"/>
              <w:jc w:val="right"/>
            </w:pPr>
            <w:r>
              <w:rPr>
                <w:sz w:val="17"/>
                <w:szCs w:val="17"/>
              </w:rPr>
              <w:t xml:space="preserve">3</w:t>
            </w:r>
          </w:p>
        </w:tc>
        <w:tc>
          <w:tcPr>
            <w:tcW w:w="960" w:type="dxa"/>
          </w:tcPr>
          <w:p>
            <w:pPr>
              <w:pStyle w:val="Compact"/>
              <w:suppressLineNumbers/>
              <w:spacing w:before="20" w:after="20" w:line="240" w:lineRule="auto"/>
              <w:ind w:left="0" w:firstLine="0"/>
              <w:jc w:val="right"/>
            </w:pPr>
            <w:r>
              <w:rPr>
                <w:sz w:val="17"/>
                <w:szCs w:val="17"/>
              </w:rPr>
              <w:t xml:space="preserve">32.4</w:t>
            </w:r>
          </w:p>
        </w:tc>
        <w:tc>
          <w:tcPr>
            <w:tcW w:w="1051" w:type="dxa"/>
          </w:tcPr>
          <w:p>
            <w:pPr>
              <w:pStyle w:val="Compact"/>
              <w:suppressLineNumbers/>
              <w:spacing w:before="20" w:after="20" w:line="240" w:lineRule="auto"/>
              <w:ind w:left="0" w:firstLine="0"/>
              <w:jc w:val="right"/>
            </w:pPr>
            <w:r>
              <w:rPr>
                <w:sz w:val="17"/>
                <w:szCs w:val="17"/>
              </w:rPr>
              <w:t xml:space="preserve">34.87</w:t>
            </w:r>
          </w:p>
        </w:tc>
        <w:tc>
          <w:tcPr>
            <w:tcW w:w="892" w:type="dxa"/>
          </w:tcPr>
          <w:p>
            <w:pPr>
              <w:pStyle w:val="Compact"/>
              <w:suppressLineNumbers/>
              <w:spacing w:before="20" w:after="20" w:line="240" w:lineRule="auto"/>
              <w:ind w:left="0" w:firstLine="0"/>
              <w:jc w:val="right"/>
            </w:pPr>
            <w:r>
              <w:rPr>
                <w:sz w:val="17"/>
                <w:szCs w:val="17"/>
              </w:rPr>
              <w:t xml:space="preserve">124</w:t>
            </w:r>
          </w:p>
        </w:tc>
        <w:tc>
          <w:tcPr>
            <w:tcW w:w="919" w:type="dxa"/>
          </w:tcPr>
          <w:p>
            <w:pPr>
              <w:pStyle w:val="Compact"/>
              <w:suppressLineNumbers/>
              <w:spacing w:before="20" w:after="20" w:line="240" w:lineRule="auto"/>
              <w:ind w:left="0" w:firstLine="0"/>
              <w:jc w:val="right"/>
            </w:pPr>
            <w:r>
              <w:rPr>
                <w:sz w:val="17"/>
                <w:szCs w:val="17"/>
              </w:rPr>
              <w:t xml:space="preserve">32.6</w:t>
            </w:r>
          </w:p>
        </w:tc>
        <w:tc>
          <w:tcPr>
            <w:tcW w:w="1428" w:type="dxa"/>
          </w:tcPr>
          <w:p>
            <w:pPr>
              <w:pStyle w:val="Compact"/>
              <w:suppressLineNumbers/>
              <w:spacing w:before="20" w:after="20" w:line="240" w:lineRule="auto"/>
              <w:ind w:left="0" w:firstLine="0"/>
              <w:jc w:val="right"/>
            </w:pPr>
            <w:r>
              <w:rPr>
                <w:sz w:val="17"/>
                <w:szCs w:val="17"/>
              </w:rPr>
              <w:t xml:space="preserve">6.10</w:t>
            </w:r>
          </w:p>
        </w:tc>
        <w:tc>
          <w:tcPr>
            <w:tcW w:w="1071" w:type="dxa"/>
          </w:tcPr>
          <w:p>
            <w:pPr>
              <w:pStyle w:val="Compact"/>
              <w:suppressLineNumbers/>
              <w:spacing w:before="20" w:after="20" w:line="240" w:lineRule="auto"/>
              <w:ind w:left="0" w:firstLine="0"/>
              <w:jc w:val="right"/>
            </w:pPr>
            <w:r>
              <w:rPr>
                <w:sz w:val="17"/>
                <w:szCs w:val="17"/>
              </w:rPr>
              <w:t xml:space="preserve">6.68</w:t>
            </w:r>
          </w:p>
        </w:tc>
        <w:tc>
          <w:tcPr>
            <w:tcW w:w="1071" w:type="dxa"/>
          </w:tcPr>
          <w:p>
            <w:pPr>
              <w:pStyle w:val="Compact"/>
              <w:suppressLineNumbers/>
              <w:spacing w:before="20" w:after="20" w:line="240" w:lineRule="auto"/>
              <w:ind w:left="0" w:firstLine="0"/>
              <w:jc w:val="right"/>
            </w:pPr>
            <w:r>
              <w:rPr>
                <w:sz w:val="17"/>
                <w:szCs w:val="17"/>
              </w:rPr>
              <w:t xml:space="preserve">13.7</w:t>
            </w:r>
          </w:p>
        </w:tc>
      </w:tr>
      <w:tr>
        <w:trPr>
          <w:cantSplit/>
        </w:trPr>
        <w:tc>
          <w:tcPr>
            <w:tcW w:w="1250" w:type="dxa"/>
          </w:tcPr>
          <w:p>
            <w:pPr>
              <w:pStyle w:val="Compact"/>
              <w:suppressLineNumbers/>
              <w:spacing w:before="20" w:after="20" w:line="240" w:lineRule="auto"/>
              <w:ind w:left="0" w:firstLine="0"/>
              <w:jc w:val="left"/>
            </w:pPr>
            <w:r>
              <w:rPr>
                <w:sz w:val="17"/>
                <w:szCs w:val="17"/>
              </w:rPr>
              <w:t xml:space="preserve">D</w:t>
            </w:r>
          </w:p>
        </w:tc>
        <w:tc>
          <w:tcPr>
            <w:tcW w:w="714" w:type="dxa"/>
          </w:tcPr>
          <w:p>
            <w:pPr>
              <w:pStyle w:val="Compact"/>
              <w:suppressLineNumbers/>
              <w:spacing w:before="20" w:after="20" w:line="240" w:lineRule="auto"/>
              <w:ind w:left="0" w:firstLine="0"/>
              <w:jc w:val="right"/>
            </w:pPr>
            <w:r>
              <w:rPr>
                <w:sz w:val="17"/>
                <w:szCs w:val="17"/>
              </w:rPr>
              <w:t xml:space="preserve">0</w:t>
            </w:r>
          </w:p>
        </w:tc>
        <w:tc>
          <w:tcPr>
            <w:tcW w:w="960" w:type="dxa"/>
          </w:tcPr>
          <w:p>
            <w:pPr>
              <w:pStyle w:val="Compact"/>
              <w:suppressLineNumbers/>
              <w:spacing w:before="20" w:after="20" w:line="240" w:lineRule="auto"/>
              <w:ind w:left="0" w:firstLine="0"/>
              <w:jc w:val="right"/>
            </w:pPr>
            <w:r>
              <w:rPr>
                <w:sz w:val="17"/>
                <w:szCs w:val="17"/>
              </w:rPr>
              <w:t xml:space="preserve">14.7</w:t>
            </w:r>
          </w:p>
        </w:tc>
        <w:tc>
          <w:tcPr>
            <w:tcW w:w="1051" w:type="dxa"/>
          </w:tcPr>
          <w:p>
            <w:pPr>
              <w:pStyle w:val="Compact"/>
              <w:suppressLineNumbers/>
              <w:spacing w:before="20" w:after="20" w:line="240" w:lineRule="auto"/>
              <w:ind w:left="0" w:firstLine="0"/>
              <w:jc w:val="right"/>
            </w:pPr>
            <w:r>
              <w:rPr>
                <w:sz w:val="17"/>
                <w:szCs w:val="17"/>
              </w:rPr>
              <w:t xml:space="preserve">22.81</w:t>
            </w:r>
          </w:p>
        </w:tc>
        <w:tc>
          <w:tcPr>
            <w:tcW w:w="892" w:type="dxa"/>
          </w:tcPr>
          <w:p>
            <w:pPr>
              <w:pStyle w:val="Compact"/>
              <w:suppressLineNumbers/>
              <w:spacing w:before="20" w:after="20" w:line="240" w:lineRule="auto"/>
              <w:ind w:left="0" w:firstLine="0"/>
              <w:jc w:val="right"/>
            </w:pPr>
            <w:r>
              <w:rPr>
                <w:sz w:val="17"/>
                <w:szCs w:val="17"/>
              </w:rPr>
              <w:t xml:space="preserve">44</w:t>
            </w:r>
          </w:p>
        </w:tc>
        <w:tc>
          <w:tcPr>
            <w:tcW w:w="919" w:type="dxa"/>
          </w:tcPr>
          <w:p>
            <w:pPr>
              <w:pStyle w:val="Compact"/>
              <w:suppressLineNumbers/>
              <w:spacing w:before="20" w:after="20" w:line="240" w:lineRule="auto"/>
              <w:ind w:left="0" w:firstLine="0"/>
              <w:jc w:val="right"/>
            </w:pPr>
            <w:r>
              <w:rPr>
                <w:sz w:val="17"/>
                <w:szCs w:val="17"/>
              </w:rPr>
              <w:t xml:space="preserve">37.3</w:t>
            </w:r>
          </w:p>
        </w:tc>
        <w:tc>
          <w:tcPr>
            <w:tcW w:w="1428" w:type="dxa"/>
          </w:tcPr>
          <w:p>
            <w:pPr>
              <w:pStyle w:val="Compact"/>
              <w:suppressLineNumbers/>
              <w:spacing w:before="20" w:after="20" w:line="240" w:lineRule="auto"/>
              <w:ind w:left="0" w:firstLine="0"/>
              <w:jc w:val="right"/>
            </w:pPr>
            <w:r>
              <w:rPr>
                <w:sz w:val="17"/>
                <w:szCs w:val="17"/>
              </w:rPr>
              <w:t xml:space="preserve">2.43</w:t>
            </w:r>
          </w:p>
        </w:tc>
        <w:tc>
          <w:tcPr>
            <w:tcW w:w="1071" w:type="dxa"/>
          </w:tcPr>
          <w:p>
            <w:pPr>
              <w:pStyle w:val="Compact"/>
              <w:suppressLineNumbers/>
              <w:spacing w:before="20" w:after="20" w:line="240" w:lineRule="auto"/>
              <w:ind w:left="0" w:firstLine="0"/>
              <w:jc w:val="right"/>
            </w:pPr>
            <w:r>
              <w:rPr>
                <w:sz w:val="17"/>
                <w:szCs w:val="17"/>
              </w:rPr>
              <w:t xml:space="preserve">2.33</w:t>
            </w:r>
          </w:p>
        </w:tc>
        <w:tc>
          <w:tcPr>
            <w:tcW w:w="1071" w:type="dxa"/>
          </w:tcPr>
          <w:p>
            <w:pPr>
              <w:pStyle w:val="Compact"/>
              <w:suppressLineNumbers/>
              <w:spacing w:before="20" w:after="20" w:line="240" w:lineRule="auto"/>
              <w:ind w:left="0" w:firstLine="0"/>
              <w:jc w:val="right"/>
            </w:pPr>
            <w:r>
              <w:rPr>
                <w:sz w:val="17"/>
                <w:szCs w:val="17"/>
              </w:rPr>
              <w:t xml:space="preserve">9.2</w:t>
            </w:r>
          </w:p>
        </w:tc>
      </w:tr>
      <w:tr>
        <w:trPr>
          <w:cantSplit/>
        </w:trPr>
        <w:tc>
          <w:tcPr>
            <w:tcW w:w="1250" w:type="dxa"/>
          </w:tcPr>
          <w:p>
            <w:pPr>
              <w:pStyle w:val="Compact"/>
              <w:suppressLineNumbers/>
              <w:spacing w:before="20" w:after="20" w:line="240" w:lineRule="auto"/>
              <w:ind w:left="0" w:firstLine="0"/>
              <w:jc w:val="left"/>
            </w:pPr>
            <w:r>
              <w:rPr>
                <w:sz w:val="17"/>
                <w:szCs w:val="17"/>
              </w:rPr>
              <w:t xml:space="preserve">D</w:t>
            </w:r>
          </w:p>
        </w:tc>
        <w:tc>
          <w:tcPr>
            <w:tcW w:w="714" w:type="dxa"/>
          </w:tcPr>
          <w:p>
            <w:pPr>
              <w:pStyle w:val="Compact"/>
              <w:suppressLineNumbers/>
              <w:spacing w:before="20" w:after="20" w:line="240" w:lineRule="auto"/>
              <w:ind w:left="0" w:firstLine="0"/>
              <w:jc w:val="right"/>
            </w:pPr>
            <w:r>
              <w:rPr>
                <w:sz w:val="17"/>
                <w:szCs w:val="17"/>
              </w:rPr>
              <w:t xml:space="preserve">1</w:t>
            </w:r>
          </w:p>
        </w:tc>
        <w:tc>
          <w:tcPr>
            <w:tcW w:w="960" w:type="dxa"/>
          </w:tcPr>
          <w:p>
            <w:pPr>
              <w:pStyle w:val="Compact"/>
              <w:suppressLineNumbers/>
              <w:spacing w:before="20" w:after="20" w:line="240" w:lineRule="auto"/>
              <w:ind w:left="0" w:firstLine="0"/>
              <w:jc w:val="right"/>
            </w:pPr>
            <w:r>
              <w:rPr>
                <w:sz w:val="17"/>
                <w:szCs w:val="17"/>
              </w:rPr>
              <w:t xml:space="preserve">30.4</w:t>
            </w:r>
          </w:p>
        </w:tc>
        <w:tc>
          <w:tcPr>
            <w:tcW w:w="1051" w:type="dxa"/>
          </w:tcPr>
          <w:p>
            <w:pPr>
              <w:pStyle w:val="Compact"/>
              <w:suppressLineNumbers/>
              <w:spacing w:before="20" w:after="20" w:line="240" w:lineRule="auto"/>
              <w:ind w:left="0" w:firstLine="0"/>
              <w:jc w:val="right"/>
            </w:pPr>
            <w:r>
              <w:rPr>
                <w:sz w:val="17"/>
                <w:szCs w:val="17"/>
              </w:rPr>
              <w:t xml:space="preserve">29.24</w:t>
            </w:r>
          </w:p>
        </w:tc>
        <w:tc>
          <w:tcPr>
            <w:tcW w:w="892" w:type="dxa"/>
          </w:tcPr>
          <w:p>
            <w:pPr>
              <w:pStyle w:val="Compact"/>
              <w:suppressLineNumbers/>
              <w:spacing w:before="20" w:after="20" w:line="240" w:lineRule="auto"/>
              <w:ind w:left="0" w:firstLine="0"/>
              <w:jc w:val="right"/>
            </w:pPr>
            <w:r>
              <w:rPr>
                <w:sz w:val="17"/>
                <w:szCs w:val="17"/>
              </w:rPr>
              <w:t xml:space="preserve">104</w:t>
            </w:r>
          </w:p>
        </w:tc>
        <w:tc>
          <w:tcPr>
            <w:tcW w:w="919" w:type="dxa"/>
          </w:tcPr>
          <w:p>
            <w:pPr>
              <w:pStyle w:val="Compact"/>
              <w:suppressLineNumbers/>
              <w:spacing w:before="20" w:after="20" w:line="240" w:lineRule="auto"/>
              <w:ind w:left="0" w:firstLine="0"/>
              <w:jc w:val="right"/>
            </w:pPr>
            <w:r>
              <w:rPr>
                <w:sz w:val="17"/>
                <w:szCs w:val="17"/>
              </w:rPr>
              <w:t xml:space="preserve">34.9</w:t>
            </w:r>
          </w:p>
        </w:tc>
        <w:tc>
          <w:tcPr>
            <w:tcW w:w="1428" w:type="dxa"/>
          </w:tcPr>
          <w:p>
            <w:pPr>
              <w:pStyle w:val="Compact"/>
              <w:suppressLineNumbers/>
              <w:spacing w:before="20" w:after="20" w:line="240" w:lineRule="auto"/>
              <w:ind w:left="0" w:firstLine="0"/>
              <w:jc w:val="right"/>
            </w:pPr>
            <w:r>
              <w:rPr>
                <w:sz w:val="17"/>
                <w:szCs w:val="17"/>
              </w:rPr>
              <w:t xml:space="preserve">3.74</w:t>
            </w:r>
          </w:p>
        </w:tc>
        <w:tc>
          <w:tcPr>
            <w:tcW w:w="1071" w:type="dxa"/>
          </w:tcPr>
          <w:p>
            <w:pPr>
              <w:pStyle w:val="Compact"/>
              <w:suppressLineNumbers/>
              <w:spacing w:before="20" w:after="20" w:line="240" w:lineRule="auto"/>
              <w:ind w:left="0" w:firstLine="0"/>
              <w:jc w:val="right"/>
            </w:pPr>
            <w:r>
              <w:rPr>
                <w:sz w:val="17"/>
                <w:szCs w:val="17"/>
              </w:rPr>
              <w:t xml:space="preserve">5.71</w:t>
            </w:r>
          </w:p>
        </w:tc>
        <w:tc>
          <w:tcPr>
            <w:tcW w:w="1071" w:type="dxa"/>
          </w:tcPr>
          <w:p>
            <w:pPr>
              <w:pStyle w:val="Compact"/>
              <w:suppressLineNumbers/>
              <w:spacing w:before="20" w:after="20" w:line="240" w:lineRule="auto"/>
              <w:ind w:left="0" w:firstLine="0"/>
              <w:jc w:val="right"/>
            </w:pPr>
            <w:r>
              <w:rPr>
                <w:sz w:val="17"/>
                <w:szCs w:val="17"/>
              </w:rPr>
              <w:t xml:space="preserve">12.8</w:t>
            </w:r>
          </w:p>
        </w:tc>
      </w:tr>
      <w:tr>
        <w:trPr>
          <w:cantSplit/>
        </w:trPr>
        <w:tc>
          <w:tcPr>
            <w:tcW w:w="1250" w:type="dxa"/>
          </w:tcPr>
          <w:p>
            <w:pPr>
              <w:pStyle w:val="Compact"/>
              <w:suppressLineNumbers/>
              <w:spacing w:before="20" w:after="20" w:line="240" w:lineRule="auto"/>
              <w:ind w:left="0" w:firstLine="0"/>
              <w:jc w:val="left"/>
            </w:pPr>
            <w:r>
              <w:rPr>
                <w:sz w:val="17"/>
                <w:szCs w:val="17"/>
              </w:rPr>
              <w:t xml:space="preserve">D</w:t>
            </w:r>
          </w:p>
        </w:tc>
        <w:tc>
          <w:tcPr>
            <w:tcW w:w="714" w:type="dxa"/>
          </w:tcPr>
          <w:p>
            <w:pPr>
              <w:pStyle w:val="Compact"/>
              <w:suppressLineNumbers/>
              <w:spacing w:before="20" w:after="20" w:line="240" w:lineRule="auto"/>
              <w:ind w:left="0" w:firstLine="0"/>
              <w:jc w:val="right"/>
            </w:pPr>
            <w:r>
              <w:rPr>
                <w:sz w:val="17"/>
                <w:szCs w:val="17"/>
              </w:rPr>
              <w:t xml:space="preserve">2</w:t>
            </w:r>
          </w:p>
        </w:tc>
        <w:tc>
          <w:tcPr>
            <w:tcW w:w="960" w:type="dxa"/>
          </w:tcPr>
          <w:p>
            <w:pPr>
              <w:pStyle w:val="Compact"/>
              <w:suppressLineNumbers/>
              <w:spacing w:before="20" w:after="20" w:line="240" w:lineRule="auto"/>
              <w:ind w:left="0" w:firstLine="0"/>
              <w:jc w:val="right"/>
            </w:pPr>
            <w:r>
              <w:rPr>
                <w:sz w:val="17"/>
                <w:szCs w:val="17"/>
              </w:rPr>
              <w:t xml:space="preserve">32.4</w:t>
            </w:r>
          </w:p>
        </w:tc>
        <w:tc>
          <w:tcPr>
            <w:tcW w:w="1051" w:type="dxa"/>
          </w:tcPr>
          <w:p>
            <w:pPr>
              <w:pStyle w:val="Compact"/>
              <w:suppressLineNumbers/>
              <w:spacing w:before="20" w:after="20" w:line="240" w:lineRule="auto"/>
              <w:ind w:left="0" w:firstLine="0"/>
              <w:jc w:val="right"/>
            </w:pPr>
            <w:r>
              <w:rPr>
                <w:sz w:val="17"/>
                <w:szCs w:val="17"/>
              </w:rPr>
              <w:t xml:space="preserve">30.41</w:t>
            </w:r>
          </w:p>
        </w:tc>
        <w:tc>
          <w:tcPr>
            <w:tcW w:w="892" w:type="dxa"/>
          </w:tcPr>
          <w:p>
            <w:pPr>
              <w:pStyle w:val="Compact"/>
              <w:suppressLineNumbers/>
              <w:spacing w:before="20" w:after="20" w:line="240" w:lineRule="auto"/>
              <w:ind w:left="0" w:firstLine="0"/>
              <w:jc w:val="right"/>
            </w:pPr>
            <w:r>
              <w:rPr>
                <w:sz w:val="17"/>
                <w:szCs w:val="17"/>
              </w:rPr>
              <w:t xml:space="preserve">113</w:t>
            </w:r>
          </w:p>
        </w:tc>
        <w:tc>
          <w:tcPr>
            <w:tcW w:w="919" w:type="dxa"/>
          </w:tcPr>
          <w:p>
            <w:pPr>
              <w:pStyle w:val="Compact"/>
              <w:suppressLineNumbers/>
              <w:spacing w:before="20" w:after="20" w:line="240" w:lineRule="auto"/>
              <w:ind w:left="0" w:firstLine="0"/>
              <w:jc w:val="right"/>
            </w:pPr>
            <w:r>
              <w:rPr>
                <w:sz w:val="17"/>
                <w:szCs w:val="17"/>
              </w:rPr>
              <w:t xml:space="preserve">34.9</w:t>
            </w:r>
          </w:p>
        </w:tc>
        <w:tc>
          <w:tcPr>
            <w:tcW w:w="1428" w:type="dxa"/>
          </w:tcPr>
          <w:p>
            <w:pPr>
              <w:pStyle w:val="Compact"/>
              <w:suppressLineNumbers/>
              <w:spacing w:before="20" w:after="20" w:line="240" w:lineRule="auto"/>
              <w:ind w:left="0" w:firstLine="0"/>
              <w:jc w:val="right"/>
            </w:pPr>
            <w:r>
              <w:rPr>
                <w:sz w:val="17"/>
                <w:szCs w:val="17"/>
              </w:rPr>
              <w:t xml:space="preserve">6.10</w:t>
            </w:r>
          </w:p>
        </w:tc>
        <w:tc>
          <w:tcPr>
            <w:tcW w:w="1071" w:type="dxa"/>
          </w:tcPr>
          <w:p>
            <w:pPr>
              <w:pStyle w:val="Compact"/>
              <w:suppressLineNumbers/>
              <w:spacing w:before="20" w:after="20" w:line="240" w:lineRule="auto"/>
              <w:ind w:left="0" w:firstLine="0"/>
              <w:jc w:val="right"/>
            </w:pPr>
            <w:r>
              <w:rPr>
                <w:sz w:val="17"/>
                <w:szCs w:val="17"/>
              </w:rPr>
              <w:t xml:space="preserve">6.30</w:t>
            </w:r>
          </w:p>
        </w:tc>
        <w:tc>
          <w:tcPr>
            <w:tcW w:w="1071" w:type="dxa"/>
          </w:tcPr>
          <w:p>
            <w:pPr>
              <w:pStyle w:val="Compact"/>
              <w:suppressLineNumbers/>
              <w:spacing w:before="20" w:after="20" w:line="240" w:lineRule="auto"/>
              <w:ind w:left="0" w:firstLine="0"/>
              <w:jc w:val="right"/>
            </w:pPr>
            <w:r>
              <w:rPr>
                <w:sz w:val="17"/>
                <w:szCs w:val="17"/>
              </w:rPr>
              <w:t xml:space="preserve">13.2</w:t>
            </w:r>
          </w:p>
        </w:tc>
      </w:tr>
      <w:tr>
        <w:trPr>
          <w:cantSplit/>
        </w:trPr>
        <w:tc>
          <w:tcPr>
            <w:tcW w:w="1250" w:type="dxa"/>
          </w:tcPr>
          <w:p>
            <w:pPr>
              <w:pStyle w:val="Compact"/>
              <w:suppressLineNumbers/>
              <w:spacing w:before="20" w:after="20" w:line="240" w:lineRule="auto"/>
              <w:ind w:left="0" w:firstLine="0"/>
              <w:jc w:val="left"/>
            </w:pPr>
            <w:r>
              <w:rPr>
                <w:sz w:val="17"/>
                <w:szCs w:val="17"/>
              </w:rPr>
              <w:t xml:space="preserve">D</w:t>
            </w:r>
          </w:p>
        </w:tc>
        <w:tc>
          <w:tcPr>
            <w:tcW w:w="714" w:type="dxa"/>
          </w:tcPr>
          <w:p>
            <w:pPr>
              <w:pStyle w:val="Compact"/>
              <w:suppressLineNumbers/>
              <w:spacing w:before="20" w:after="20" w:line="240" w:lineRule="auto"/>
              <w:ind w:left="0" w:firstLine="0"/>
              <w:jc w:val="right"/>
            </w:pPr>
            <w:r>
              <w:rPr>
                <w:sz w:val="17"/>
                <w:szCs w:val="17"/>
              </w:rPr>
              <w:t xml:space="preserve">3</w:t>
            </w:r>
          </w:p>
        </w:tc>
        <w:tc>
          <w:tcPr>
            <w:tcW w:w="960" w:type="dxa"/>
          </w:tcPr>
          <w:p>
            <w:pPr>
              <w:pStyle w:val="Compact"/>
              <w:suppressLineNumbers/>
              <w:spacing w:before="20" w:after="20" w:line="240" w:lineRule="auto"/>
              <w:ind w:left="0" w:firstLine="0"/>
              <w:jc w:val="right"/>
            </w:pPr>
            <w:r>
              <w:rPr>
                <w:sz w:val="17"/>
                <w:szCs w:val="17"/>
              </w:rPr>
              <w:t xml:space="preserve">31.4</w:t>
            </w:r>
          </w:p>
        </w:tc>
        <w:tc>
          <w:tcPr>
            <w:tcW w:w="1051" w:type="dxa"/>
          </w:tcPr>
          <w:p>
            <w:pPr>
              <w:pStyle w:val="Compact"/>
              <w:suppressLineNumbers/>
              <w:spacing w:before="20" w:after="20" w:line="240" w:lineRule="auto"/>
              <w:ind w:left="0" w:firstLine="0"/>
              <w:jc w:val="right"/>
            </w:pPr>
            <w:r>
              <w:rPr>
                <w:sz w:val="17"/>
                <w:szCs w:val="17"/>
              </w:rPr>
              <w:t xml:space="preserve">31.29</w:t>
            </w:r>
          </w:p>
        </w:tc>
        <w:tc>
          <w:tcPr>
            <w:tcW w:w="892" w:type="dxa"/>
          </w:tcPr>
          <w:p>
            <w:pPr>
              <w:pStyle w:val="Compact"/>
              <w:suppressLineNumbers/>
              <w:spacing w:before="20" w:after="20" w:line="240" w:lineRule="auto"/>
              <w:ind w:left="0" w:firstLine="0"/>
              <w:jc w:val="right"/>
            </w:pPr>
            <w:r>
              <w:rPr>
                <w:sz w:val="17"/>
                <w:szCs w:val="17"/>
              </w:rPr>
              <w:t xml:space="preserve">112</w:t>
            </w:r>
          </w:p>
        </w:tc>
        <w:tc>
          <w:tcPr>
            <w:tcW w:w="919" w:type="dxa"/>
          </w:tcPr>
          <w:p>
            <w:pPr>
              <w:pStyle w:val="Compact"/>
              <w:suppressLineNumbers/>
              <w:spacing w:before="20" w:after="20" w:line="240" w:lineRule="auto"/>
              <w:ind w:left="0" w:firstLine="0"/>
              <w:jc w:val="right"/>
            </w:pPr>
            <w:r>
              <w:rPr>
                <w:sz w:val="17"/>
                <w:szCs w:val="17"/>
              </w:rPr>
              <w:t xml:space="preserve">32.6</w:t>
            </w:r>
          </w:p>
        </w:tc>
        <w:tc>
          <w:tcPr>
            <w:tcW w:w="1428" w:type="dxa"/>
          </w:tcPr>
          <w:p>
            <w:pPr>
              <w:pStyle w:val="Compact"/>
              <w:suppressLineNumbers/>
              <w:spacing w:before="20" w:after="20" w:line="240" w:lineRule="auto"/>
              <w:ind w:left="0" w:firstLine="0"/>
              <w:jc w:val="right"/>
            </w:pPr>
            <w:r>
              <w:rPr>
                <w:sz w:val="17"/>
                <w:szCs w:val="17"/>
              </w:rPr>
              <w:t xml:space="preserve">6.24</w:t>
            </w:r>
          </w:p>
        </w:tc>
        <w:tc>
          <w:tcPr>
            <w:tcW w:w="1071" w:type="dxa"/>
          </w:tcPr>
          <w:p>
            <w:pPr>
              <w:pStyle w:val="Compact"/>
              <w:suppressLineNumbers/>
              <w:spacing w:before="20" w:after="20" w:line="240" w:lineRule="auto"/>
              <w:ind w:left="0" w:firstLine="0"/>
              <w:jc w:val="right"/>
            </w:pPr>
            <w:r>
              <w:rPr>
                <w:sz w:val="17"/>
                <w:szCs w:val="17"/>
              </w:rPr>
              <w:t xml:space="preserve">5.88</w:t>
            </w:r>
          </w:p>
        </w:tc>
        <w:tc>
          <w:tcPr>
            <w:tcW w:w="1071" w:type="dxa"/>
          </w:tcPr>
          <w:p>
            <w:pPr>
              <w:pStyle w:val="Compact"/>
              <w:suppressLineNumbers/>
              <w:spacing w:before="20" w:after="20" w:line="240" w:lineRule="auto"/>
              <w:ind w:left="0" w:firstLine="0"/>
              <w:jc w:val="right"/>
            </w:pPr>
            <w:r>
              <w:rPr>
                <w:sz w:val="17"/>
                <w:szCs w:val="17"/>
              </w:rPr>
              <w:t xml:space="preserve">13.1</w:t>
            </w:r>
          </w:p>
        </w:tc>
      </w:tr>
      <w:tr>
        <w:trPr>
          <w:cantSplit/>
        </w:trPr>
        <w:tc>
          <w:tcPr>
            <w:tcW w:w="1250" w:type="dxa"/>
          </w:tcPr>
          <w:p>
            <w:pPr>
              <w:pStyle w:val="Compact"/>
              <w:suppressLineNumbers/>
              <w:spacing w:before="20" w:after="20" w:line="240" w:lineRule="auto"/>
              <w:ind w:left="0" w:firstLine="0"/>
              <w:jc w:val="left"/>
            </w:pPr>
            <w:r>
              <w:rPr>
                <w:sz w:val="17"/>
                <w:szCs w:val="17"/>
              </w:rPr>
              <w:t xml:space="preserve">RMSE (log</w:t>
            </w:r>
            <w:r>
              <w:rPr>
                <w:sz w:val="17"/>
                <w:szCs w:val="17"/>
                <w:vertAlign w:val="subscript"/>
              </w:rPr>
              <w:t xml:space="preserve">10</w:t>
            </w:r>
            <w:r>
              <w:rPr>
                <w:sz w:val="17"/>
                <w:szCs w:val="17"/>
              </w:rPr>
              <w:t xml:space="preserve">)</w:t>
            </w:r>
          </w:p>
        </w:tc>
        <w:tc>
          <w:tcPr>
            <w:tcW w:w="714" w:type="dxa"/>
          </w:tcPr>
          <w:p>
            <w:pPr>
              <w:pStyle w:val="Compact"/>
              <w:suppressLineNumbers/>
              <w:spacing w:before="20" w:after="20" w:line="240" w:lineRule="auto"/>
              <w:ind w:left="0" w:firstLine="0"/>
            </w:pPr>
          </w:p>
        </w:tc>
        <w:tc>
          <w:tcPr>
            <w:tcW w:w="960" w:type="dxa"/>
          </w:tcPr>
          <w:p>
            <w:pPr>
              <w:pStyle w:val="Compact"/>
              <w:suppressLineNumbers/>
              <w:spacing w:before="20" w:after="20" w:line="240" w:lineRule="auto"/>
              <w:ind w:left="0" w:firstLine="0"/>
            </w:pPr>
          </w:p>
        </w:tc>
        <w:tc>
          <w:tcPr>
            <w:tcW w:w="1051" w:type="dxa"/>
          </w:tcPr>
          <w:p>
            <w:pPr>
              <w:pStyle w:val="Compact"/>
              <w:suppressLineNumbers/>
              <w:spacing w:before="20" w:after="20" w:line="240" w:lineRule="auto"/>
              <w:ind w:left="0" w:firstLine="0"/>
            </w:pPr>
          </w:p>
        </w:tc>
        <w:tc>
          <w:tcPr>
            <w:tcW w:w="892" w:type="dxa"/>
          </w:tcPr>
          <w:p>
            <w:pPr>
              <w:pStyle w:val="Compact"/>
              <w:suppressLineNumbers/>
              <w:spacing w:before="20" w:after="20" w:line="240" w:lineRule="auto"/>
              <w:ind w:left="0" w:firstLine="0"/>
            </w:pPr>
          </w:p>
        </w:tc>
        <w:tc>
          <w:tcPr>
            <w:tcW w:w="919" w:type="dxa"/>
          </w:tcPr>
          <w:p>
            <w:pPr>
              <w:pStyle w:val="Compact"/>
              <w:suppressLineNumbers/>
              <w:spacing w:before="20" w:after="20" w:line="240" w:lineRule="auto"/>
              <w:ind w:left="0" w:firstLine="0"/>
            </w:pPr>
          </w:p>
        </w:tc>
        <w:tc>
          <w:tcPr>
            <w:tcW w:w="1428" w:type="dxa"/>
          </w:tcPr>
          <w:p>
            <w:pPr>
              <w:pStyle w:val="Compact"/>
              <w:suppressLineNumbers/>
              <w:spacing w:before="20" w:after="20" w:line="240" w:lineRule="auto"/>
              <w:ind w:left="0" w:firstLine="0"/>
            </w:pPr>
          </w:p>
        </w:tc>
        <w:tc>
          <w:tcPr>
            <w:tcW w:w="1071" w:type="dxa"/>
          </w:tcPr>
          <w:p>
            <w:pPr>
              <w:pStyle w:val="Compact"/>
              <w:suppressLineNumbers/>
              <w:spacing w:before="20" w:after="20" w:line="240" w:lineRule="auto"/>
              <w:ind w:left="0" w:firstLine="0"/>
              <w:jc w:val="right"/>
            </w:pPr>
            <w:r>
              <w:rPr>
                <w:sz w:val="17"/>
                <w:szCs w:val="17"/>
              </w:rPr>
              <w:t xml:space="preserve">0.084</w:t>
            </w:r>
          </w:p>
        </w:tc>
        <w:tc>
          <w:tcPr>
            <w:tcW w:w="1071" w:type="dxa"/>
          </w:tcPr>
          <w:p>
            <w:pPr>
              <w:pStyle w:val="Compact"/>
              <w:suppressLineNumbers/>
              <w:spacing w:before="20" w:after="20" w:line="240" w:lineRule="auto"/>
              <w:ind w:left="0" w:firstLine="0"/>
              <w:jc w:val="right"/>
            </w:pPr>
            <w:r>
              <w:rPr>
                <w:sz w:val="17"/>
                <w:szCs w:val="17"/>
              </w:rPr>
              <w:t xml:space="preserve">0.455</w:t>
            </w:r>
          </w:p>
        </w:tc>
      </w:tr>
      <w:tr>
        <w:trPr>
          <w:cantSplit/>
        </w:trPr>
        <w:tc>
          <w:tcPr>
            <w:tcW w:w="1250" w:type="dxa"/>
          </w:tcPr>
          <w:p>
            <w:pPr>
              <w:pStyle w:val="Compact"/>
              <w:suppressLineNumbers/>
              <w:spacing w:before="20" w:after="20" w:line="240" w:lineRule="auto"/>
              <w:ind w:left="0" w:firstLine="0"/>
              <w:jc w:val="left"/>
            </w:pPr>
            <w:r>
              <w:rPr>
                <w:sz w:val="17"/>
                <w:szCs w:val="17"/>
              </w:rPr>
              <w:t xml:space="preserve">Mean bias (log</w:t>
            </w:r>
            <w:r>
              <w:rPr>
                <w:sz w:val="17"/>
                <w:szCs w:val="17"/>
                <w:vertAlign w:val="subscript"/>
              </w:rPr>
              <w:t xml:space="preserve">10</w:t>
            </w:r>
            <w:r>
              <w:rPr>
                <w:sz w:val="17"/>
                <w:szCs w:val="17"/>
              </w:rPr>
              <w:t xml:space="preserve">)</w:t>
            </w:r>
          </w:p>
        </w:tc>
        <w:tc>
          <w:tcPr>
            <w:tcW w:w="714" w:type="dxa"/>
          </w:tcPr>
          <w:p>
            <w:pPr>
              <w:pStyle w:val="Compact"/>
              <w:suppressLineNumbers/>
              <w:spacing w:before="20" w:after="20" w:line="240" w:lineRule="auto"/>
              <w:ind w:left="0" w:firstLine="0"/>
            </w:pPr>
          </w:p>
        </w:tc>
        <w:tc>
          <w:tcPr>
            <w:tcW w:w="960" w:type="dxa"/>
          </w:tcPr>
          <w:p>
            <w:pPr>
              <w:pStyle w:val="Compact"/>
              <w:suppressLineNumbers/>
              <w:spacing w:before="20" w:after="20" w:line="240" w:lineRule="auto"/>
              <w:ind w:left="0" w:firstLine="0"/>
            </w:pPr>
          </w:p>
        </w:tc>
        <w:tc>
          <w:tcPr>
            <w:tcW w:w="1051" w:type="dxa"/>
          </w:tcPr>
          <w:p>
            <w:pPr>
              <w:pStyle w:val="Compact"/>
              <w:suppressLineNumbers/>
              <w:spacing w:before="20" w:after="20" w:line="240" w:lineRule="auto"/>
              <w:ind w:left="0" w:firstLine="0"/>
            </w:pPr>
          </w:p>
        </w:tc>
        <w:tc>
          <w:tcPr>
            <w:tcW w:w="892" w:type="dxa"/>
          </w:tcPr>
          <w:p>
            <w:pPr>
              <w:pStyle w:val="Compact"/>
              <w:suppressLineNumbers/>
              <w:spacing w:before="20" w:after="20" w:line="240" w:lineRule="auto"/>
              <w:ind w:left="0" w:firstLine="0"/>
            </w:pPr>
          </w:p>
        </w:tc>
        <w:tc>
          <w:tcPr>
            <w:tcW w:w="919" w:type="dxa"/>
          </w:tcPr>
          <w:p>
            <w:pPr>
              <w:pStyle w:val="Compact"/>
              <w:suppressLineNumbers/>
              <w:spacing w:before="20" w:after="20" w:line="240" w:lineRule="auto"/>
              <w:ind w:left="0" w:firstLine="0"/>
            </w:pPr>
          </w:p>
        </w:tc>
        <w:tc>
          <w:tcPr>
            <w:tcW w:w="1428" w:type="dxa"/>
          </w:tcPr>
          <w:p>
            <w:pPr>
              <w:pStyle w:val="Compact"/>
              <w:suppressLineNumbers/>
              <w:spacing w:before="20" w:after="20" w:line="240" w:lineRule="auto"/>
              <w:ind w:left="0" w:firstLine="0"/>
            </w:pPr>
          </w:p>
        </w:tc>
        <w:tc>
          <w:tcPr>
            <w:tcW w:w="1071" w:type="dxa"/>
          </w:tcPr>
          <w:p>
            <w:pPr>
              <w:pStyle w:val="Compact"/>
              <w:suppressLineNumbers/>
              <w:spacing w:before="20" w:after="20" w:line="240" w:lineRule="auto"/>
              <w:ind w:left="0" w:firstLine="0"/>
              <w:jc w:val="right"/>
            </w:pPr>
            <w:r>
              <w:rPr>
                <w:sz w:val="17"/>
                <w:szCs w:val="17"/>
              </w:rPr>
              <w:t xml:space="preserve">+0.015</w:t>
            </w:r>
          </w:p>
        </w:tc>
        <w:tc>
          <w:tcPr>
            <w:tcW w:w="1071" w:type="dxa"/>
          </w:tcPr>
          <w:p>
            <w:pPr>
              <w:pStyle w:val="Compact"/>
              <w:suppressLineNumbers/>
              <w:spacing w:before="20" w:after="20" w:line="240" w:lineRule="auto"/>
              <w:ind w:left="0" w:firstLine="0"/>
              <w:jc w:val="right"/>
            </w:pPr>
            <w:r>
              <w:rPr>
                <w:sz w:val="17"/>
                <w:szCs w:val="17"/>
              </w:rPr>
              <w:t xml:space="preserve">+0.442</w:t>
            </w:r>
          </w:p>
        </w:tc>
      </w:tr>
    </w:tbl>
    <w:p>
      <w:pPr>
        <w:pStyle w:val="TabNote"/>
        <w:suppressLineNumbers/>
      </w:pPr>
      <w:r>
        <w:t xml:space="preserve">c and φ from direct shear tests (Banne et al. 2024, Table 3; 1 kg/cm</w:t>
      </w:r>
      <w:r>
        <w:rPr>
          <w:vertAlign w:val="superscript"/>
        </w:rPr>
        <w:t xml:space="preserve">2</w:t>
      </w:r>
      <w:r>
        <w:t xml:space="preserve"> </w:t>
      </w:r>
      <w:r>
        <w:t xml:space="preserve">= 98.07 kPa); measured CBR digitized from their Fig. 10 (unsoaked bars). q = 2c cos φ/(1 − sin φ), Eq. (4). κ = value minimizing the calibration objective on the 86 database pairs at the given φ; FE chain = axisymmetric model, level 2, corrected for the level-2 bias. Power law fitted to the 86 database pairs, applied to q. Training mean of the pairs: 21.2% (RMSE 0.719). With κ at the lower and upper ends of the near-optimal band, the FE RMSE is 0.122 and 0.154. The untreated soil has the same c and φ for the four soil types.</w:t>
      </w:r>
    </w:p>
    <w:bookmarkEnd w:id="29"/>
    <w:bookmarkStart w:id="30" w:name="references"/>
    <w:p>
      <w:pPr>
        <w:pStyle w:val="Heading1"/>
      </w:pPr>
      <w:r>
        <w:t xml:space="preserve">References</w:t>
      </w:r>
    </w:p>
    <w:p>
      <w:pPr>
        <w:pStyle w:val="RefEntry"/>
      </w:pPr>
      <w:r>
        <w:t xml:space="preserve">Banne SP, Kulkarni S, Baldovino JA (2024) Effect of guar gum content on the mechanical properties of laterite soil for subgrade soil application. Polymers 16(15):2202. https://doi.org/10.3390/polym16152202</w:t>
      </w:r>
    </w:p>
    <w:p>
      <w:pPr>
        <w:pStyle w:val="RefEntry"/>
      </w:pPr>
      <w:r>
        <w:t xml:space="preserve">Laird NM, Ware JH (1982) Random-effects models for longitudinal data. Biometrics 38(4):963–974. https://doi.org/10.2307/2529876</w:t>
      </w:r>
    </w:p>
    <w:p>
      <w:pPr>
        <w:pStyle w:val="RefEntry"/>
      </w:pPr>
      <w:r>
        <w:t xml:space="preserve">Sneddon IN (1965) The relation between load and penetration in the axisymmetric Boussinesq problem for a punch of arbitrary profile. Int J Eng Sci 3(1):47–57. https://doi.org/10.1016/0020-7225(65)90019-4</w:t>
      </w:r>
    </w:p>
    <w:bookmarkEnd w:id="30"/>
    <w:sectPr>
      <w:footerReference w:type="default" r:id="rId9"/>
      <w:pgSz w:w="12240" w:h="15840"/>
      <w:pgMar w:top="1440" w:right="1440" w:bottom="1440" w:left="1440" w:header="720" w:footer="720" w:gutter="0"/>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spacing w:after="0" w:before="0" w:line="360" w:lineRule="auto"/>
    </w:pPr>
    <w:rPr>
      <w:rFonts w:ascii="Times New Roman" w:cs="Times New Roman" w:eastAsia="Times New Roman" w:hAnsi="Times New Roman"/>
      <w:color w:val="000000"/>
      <w:sz w:val="20"/>
    </w:rPr>
  </w:style>
  <w:style w:styleId="BodyText" w:type="paragraph">
    <w:name w:val="Body Text"/>
    <w:basedOn w:val="Normal"/>
    <w:link w:val="BodyTextChar"/>
    <w:qFormat/>
    <w:pPr>
      <w:keepNext w:val="0"/>
      <w:spacing w:after="0" w:before="0" w:line="360" w:lineRule="auto"/>
      <w:ind w:firstLine="432"/>
    </w:pPr>
    <w:rPr>
      <w:rFonts w:ascii="Times New Roman" w:cs="Times New Roman" w:eastAsia="Times New Roman" w:hAnsi="Times New Roman"/>
      <w:color w:val="000000"/>
      <w:sz w:val="20"/>
    </w:rPr>
  </w:style>
  <w:style w:customStyle="1" w:styleId="FirstParagraph" w:type="paragraph">
    <w:name w:val="First Paragraph"/>
    <w:basedOn w:val="BodyText"/>
    <w:next w:val="BodyText"/>
    <w:qFormat/>
    <w:pPr>
      <w:keepNext w:val="0"/>
      <w:spacing w:after="0" w:before="0" w:line="360" w:lineRule="auto"/>
      <w:ind w:firstLine="432"/>
    </w:pPr>
    <w:rPr>
      <w:rFonts w:ascii="Times New Roman" w:cs="Times New Roman" w:eastAsia="Times New Roman" w:hAnsi="Times New Roman"/>
      <w:color w:val="000000"/>
      <w:sz w:val="20"/>
    </w:rPr>
  </w:style>
  <w:style w:customStyle="1" w:styleId="Compact" w:type="paragraph">
    <w:name w:val="Compact"/>
    <w:basedOn w:val="BodyText"/>
    <w:qFormat/>
    <w:pPr>
      <w:keepNext w:val="0"/>
      <w:spacing w:after="0" w:before="0" w:line="360" w:lineRule="auto"/>
    </w:pPr>
    <w:rPr>
      <w:rFonts w:ascii="Times New Roman" w:cs="Times New Roman" w:eastAsia="Times New Roman" w:hAnsi="Times New Roman"/>
      <w:color w:val="000000"/>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40" w:line="360" w:lineRule="auto"/>
      <w:ind w:firstLine="0"/>
      <w:jc w:val="left"/>
      <w:outlineLvl w:val="0"/>
    </w:pPr>
    <w:rPr>
      <w:rFonts w:ascii="Times New Roman" w:cs="Times New Roman" w:eastAsia="Times New Roman" w:hAnsi="Times New Roman"/>
      <w:b/>
      <w:bCs/>
      <w:i w:val="0"/>
      <w:color w:val="000000"/>
      <w:sz w:val="20"/>
      <w:szCs w:val="32"/>
    </w:rPr>
  </w:style>
  <w:style w:styleId="Heading2" w:type="paragraph">
    <w:name w:val="Heading 2"/>
    <w:basedOn w:val="Normal"/>
    <w:next w:val="BodyText"/>
    <w:uiPriority w:val="9"/>
    <w:unhideWhenUsed/>
    <w:qFormat/>
    <w:pPr>
      <w:keepNext/>
      <w:keepLines/>
      <w:spacing w:after="0" w:before="240" w:line="360" w:lineRule="auto"/>
      <w:ind w:firstLine="0"/>
      <w:jc w:val="left"/>
      <w:outlineLvl w:val="1"/>
    </w:pPr>
    <w:rPr>
      <w:rFonts w:ascii="Times New Roman" w:cs="Times New Roman" w:eastAsia="Times New Roman" w:hAnsi="Times New Roman"/>
      <w:b/>
      <w:bCs/>
      <w:i/>
      <w:color w:val="000000"/>
      <w:sz w:val="20"/>
      <w:szCs w:val="28"/>
    </w:rPr>
  </w:style>
  <w:style w:styleId="Heading3" w:type="paragraph">
    <w:name w:val="Heading 3"/>
    <w:basedOn w:val="Normal"/>
    <w:next w:val="BodyText"/>
    <w:uiPriority w:val="9"/>
    <w:unhideWhenUsed/>
    <w:qFormat/>
    <w:pPr>
      <w:keepNext/>
      <w:keepLines/>
      <w:spacing w:after="0" w:before="240" w:line="360" w:lineRule="auto"/>
      <w:ind w:firstLine="0"/>
      <w:jc w:val="left"/>
      <w:outlineLvl w:val="2"/>
    </w:pPr>
    <w:rPr>
      <w:rFonts w:ascii="Times New Roman" w:cs="Times New Roman" w:eastAsia="Times New Roman" w:hAnsi="Times New Roman"/>
      <w:b w:val="0"/>
      <w:bCs/>
      <w:i/>
      <w:color w:val="000000"/>
      <w:sz w:val="20"/>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b w:val="0"/>
      <w:bCs/>
      <w:i/>
      <w:color w:val="000000"/>
      <w:sz w:val="20"/>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val="0"/>
      <w:i/>
      <w:iCs/>
      <w:color w:val="000000"/>
      <w:sz w:val="20"/>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itleP" w:type="paragraph">
    <w:name w:val="TitleP"/>
    <w:basedOn w:val="Normal"/>
    <w:pPr>
      <w:keepNext w:val="0"/>
      <w:spacing w:after="240" w:before="0" w:line="360" w:lineRule="auto"/>
      <w:jc w:val="center"/>
    </w:pPr>
    <w:rPr>
      <w:rFonts w:ascii="Times New Roman" w:cs="Times New Roman" w:eastAsia="Times New Roman" w:hAnsi="Times New Roman"/>
      <w:b/>
      <w:color w:val="000000"/>
      <w:sz w:val="26"/>
    </w:rPr>
  </w:style>
  <w:style w:customStyle="1" w:styleId="AuthorP" w:type="paragraph">
    <w:name w:val="AuthorP"/>
    <w:basedOn w:val="Normal"/>
    <w:pPr>
      <w:keepNext w:val="0"/>
      <w:spacing w:after="240" w:before="0" w:line="360" w:lineRule="auto"/>
      <w:jc w:val="center"/>
    </w:pPr>
    <w:rPr>
      <w:rFonts w:ascii="Times New Roman" w:cs="Times New Roman" w:eastAsia="Times New Roman" w:hAnsi="Times New Roman"/>
      <w:color w:val="000000"/>
      <w:sz w:val="20"/>
    </w:rPr>
  </w:style>
  <w:style w:customStyle="1" w:styleId="AffilP" w:type="paragraph">
    <w:name w:val="AffilP"/>
    <w:basedOn w:val="Normal"/>
    <w:pPr>
      <w:keepNext w:val="0"/>
      <w:spacing w:after="240" w:before="0" w:line="360" w:lineRule="auto"/>
    </w:pPr>
    <w:rPr>
      <w:rFonts w:ascii="Times New Roman" w:cs="Times New Roman" w:eastAsia="Times New Roman" w:hAnsi="Times New Roman"/>
      <w:color w:val="000000"/>
      <w:sz w:val="20"/>
    </w:rPr>
  </w:style>
  <w:style w:customStyle="1" w:styleId="KeywordsP" w:type="paragraph">
    <w:name w:val="KeywordsP"/>
    <w:basedOn w:val="Normal"/>
    <w:pPr>
      <w:keepNext w:val="0"/>
      <w:spacing w:after="0" w:before="120" w:line="360" w:lineRule="auto"/>
    </w:pPr>
    <w:rPr>
      <w:rFonts w:ascii="Times New Roman" w:cs="Times New Roman" w:eastAsia="Times New Roman" w:hAnsi="Times New Roman"/>
      <w:color w:val="000000"/>
      <w:sz w:val="20"/>
    </w:rPr>
  </w:style>
  <w:style w:customStyle="1" w:styleId="TabCap" w:type="paragraph">
    <w:name w:val="TabCap"/>
    <w:basedOn w:val="Normal"/>
    <w:pPr>
      <w:keepNext/>
      <w:spacing w:after="120" w:before="0" w:line="240" w:lineRule="auto"/>
    </w:pPr>
    <w:rPr>
      <w:rFonts w:ascii="Times New Roman" w:cs="Times New Roman" w:eastAsia="Times New Roman" w:hAnsi="Times New Roman"/>
      <w:color w:val="000000"/>
      <w:sz w:val="20"/>
    </w:rPr>
  </w:style>
  <w:style w:customStyle="1" w:styleId="TabNote" w:type="paragraph">
    <w:name w:val="TabNote"/>
    <w:basedOn w:val="Normal"/>
    <w:pPr>
      <w:keepNext w:val="0"/>
      <w:spacing w:after="0" w:before="80" w:line="240" w:lineRule="auto"/>
    </w:pPr>
    <w:rPr>
      <w:rFonts w:ascii="Times New Roman" w:cs="Times New Roman" w:eastAsia="Times New Roman" w:hAnsi="Times New Roman"/>
      <w:color w:val="000000"/>
      <w:sz w:val="18"/>
    </w:rPr>
  </w:style>
  <w:style w:customStyle="1" w:styleId="FigCap" w:type="paragraph">
    <w:name w:val="FigCap"/>
    <w:basedOn w:val="Normal"/>
    <w:pPr>
      <w:keepNext w:val="0"/>
      <w:spacing w:after="200" w:before="80" w:line="276" w:lineRule="auto"/>
    </w:pPr>
    <w:rPr>
      <w:rFonts w:ascii="Times New Roman" w:cs="Times New Roman" w:eastAsia="Times New Roman" w:hAnsi="Times New Roman"/>
      <w:color w:val="000000"/>
      <w:sz w:val="20"/>
    </w:rPr>
  </w:style>
  <w:style w:customStyle="1" w:styleId="RefEntry" w:type="paragraph">
    <w:name w:val="RefEntry"/>
    <w:basedOn w:val="Normal"/>
    <w:pPr>
      <w:keepNext w:val="0"/>
      <w:spacing w:after="80" w:before="0" w:line="276" w:lineRule="auto"/>
      <w:ind w:hanging="432" w:left="432"/>
    </w:pPr>
    <w:rPr>
      <w:rFonts w:ascii="Times New Roman" w:cs="Times New Roman" w:eastAsia="Times New Roman" w:hAnsi="Times New Roman"/>
      <w:color w:val="000000"/>
      <w:sz w:val="20"/>
    </w:rPr>
  </w:style>
  <w:style w:customStyle="1" w:styleId="Notation" w:type="paragraph">
    <w:name w:val="Notation"/>
    <w:basedOn w:val="Normal"/>
    <w:pPr>
      <w:keepNext w:val="0"/>
      <w:spacing w:after="0" w:before="0" w:line="360" w:lineRule="auto"/>
      <w:ind w:hanging="720" w:left="720"/>
    </w:pPr>
    <w:rPr>
      <w:rFonts w:ascii="Times New Roman" w:cs="Times New Roman" w:eastAsia="Times New Roman" w:hAnsi="Times New Roman"/>
      <w:color w:val="000000"/>
      <w:sz w:val="20"/>
    </w:rPr>
  </w:style>
  <w:style w:styleId="LineNumber" w:type="character">
    <w:name w:val="line number"/>
    <w:rPr>
      <w:rFonts w:ascii="Times New Roman" w:hAnsi="Times New Roman"/>
      <w:color w:val="555555"/>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dc:title>
  <dc:creator>Muhammed Yeasin Arafat</dc:creator>
  <cp:keywords/>
  <dcterms:created xsi:type="dcterms:W3CDTF">2026-10-19T22:16:25Z</dcterms:created>
  <dcterms:modified xsi:type="dcterms:W3CDTF">2026-10-19T22:16:25Z</dcterms:modified>
</cp:coreProperties>
</file>

<file path=docProps/custom.xml><?xml version="1.0" encoding="utf-8"?>
<Properties xmlns="http://schemas.openxmlformats.org/officeDocument/2006/custom-properties" xmlns:vt="http://schemas.openxmlformats.org/officeDocument/2006/docPropsVTypes"/>
</file>