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1BA" w:rsidRDefault="00D958F2" w:rsidP="00086B67">
      <w:r>
        <w:t>Chapters 4 and 5 Report</w:t>
      </w:r>
    </w:p>
    <w:p w:rsidR="008301BA" w:rsidRDefault="00D958F2">
      <w:r>
        <w:t>CHAPTER 4: IMPLEMENTATION AND SYSTEM ARCHITECTURE</w:t>
      </w:r>
    </w:p>
    <w:p w:rsidR="008301BA" w:rsidRDefault="00D958F2">
      <w:r>
        <w:t>4.3 Architectural Safeguards against Data Leakage</w:t>
      </w:r>
    </w:p>
    <w:p w:rsidR="008301BA" w:rsidRDefault="00D958F2">
      <w:r>
        <w:t>A critical vulnerability in machine learning frameworks for energy automation is the phenomenon of data leakage, which artificially</w:t>
      </w:r>
      <w:r>
        <w:t xml:space="preserve"> inflates model accuracy during training but leads to catastrophic failure upon deployment. Initial experimental configurations in this pipeline yielded a near-perfect coefficient of determination (R² = 0.9994). An engineering audit revealed this was cause</w:t>
      </w:r>
      <w:r>
        <w:t>d by the inclusion of concurrent sensor telemetry within the input feature space X.</w:t>
      </w:r>
    </w:p>
    <w:p w:rsidR="008301BA" w:rsidRDefault="00D958F2">
      <w:r>
        <w:t>P_active ≈ Σ(Sub_metering_i) + Unmetered_Load</w:t>
      </w:r>
    </w:p>
    <w:p w:rsidR="008301BA" w:rsidRDefault="00D958F2">
      <w:r>
        <w:t>Including concurrent metrics such as Sub_metering_1 (kitchen), Sub_metering_2 (laundry), Sub_metering_3 (climate control), Vol</w:t>
      </w:r>
      <w:r>
        <w:t>tage, and Global_intensity transformed a time-series forecasting problem into an instantaneous calculation. The models merely memorized these structural dependencies rather than learning temporal consumption habits.</w:t>
      </w:r>
    </w:p>
    <w:p w:rsidR="008301BA" w:rsidRDefault="00D958F2">
      <w:r>
        <w:t>To establish a valid, predictive framewo</w:t>
      </w:r>
      <w:r>
        <w:t>rk, a strict architectural boundary was enforced. The input matrix was structurally isolated by explicitly dropping all contemporaneous sensor readings:</w:t>
      </w:r>
    </w:p>
    <w:p w:rsidR="008301BA" w:rsidRDefault="00D958F2">
      <w:r>
        <w:t>X = {hour, day_of_week, month, quarter, lag_1h, lag_24h}</w:t>
      </w:r>
    </w:p>
    <w:p w:rsidR="008301BA" w:rsidRDefault="00D958F2">
      <w:r>
        <w:t>This boundary ensures the models operate as tr</w:t>
      </w:r>
      <w:r>
        <w:t>ue forecasting systems, utilizing only chronological context and historical baseline data available prior to the target prediction interval.</w:t>
      </w:r>
    </w:p>
    <w:p w:rsidR="008301BA" w:rsidRDefault="00D958F2">
      <w:r>
        <w:t>CHAPTER 5: EXPERIMENTAL RESULTS, EVALUATION, AND XAI ANALYSIS</w:t>
      </w:r>
    </w:p>
    <w:p w:rsidR="008301BA" w:rsidRDefault="00D958F2">
      <w:r>
        <w:t>5.1 Predictive Performance Baseline</w:t>
      </w:r>
    </w:p>
    <w:p w:rsidR="008301BA" w:rsidRDefault="00D958F2">
      <w:r>
        <w:t>Following the iso</w:t>
      </w:r>
      <w:r>
        <w:t>lation of the feature space to eliminate data leakage, the models were retrained and evaluated on the unseen 3,258-hour testing partition. The realistic baseline performance metrics are detailed in Table 5.1.</w:t>
      </w:r>
    </w:p>
    <w:p w:rsidR="008301BA" w:rsidRDefault="00D958F2">
      <w:r>
        <w:t>Table 5.1: Post-Leakage Algorithmic Performance</w:t>
      </w:r>
      <w:r>
        <w:t xml:space="preserve"> Summary</w:t>
      </w:r>
    </w:p>
    <w:p w:rsidR="008301BA" w:rsidRDefault="00D958F2">
      <w:r>
        <w:t>Random Forest Regressor | Parallel Bagging Ensemble | R² = 0.5877</w:t>
      </w:r>
      <w:r>
        <w:br/>
        <w:t>XGBoost Regressor | Sequential Gradient Boosting | R² = 0.6234</w:t>
      </w:r>
    </w:p>
    <w:p w:rsidR="008301BA" w:rsidRDefault="00D958F2">
      <w:r>
        <w:t>The empirical results demonstrate that the XGBoost Regressor outperforms the Random Forest architecture by approximate</w:t>
      </w:r>
      <w:r>
        <w:t>ly 3.57%.</w:t>
      </w:r>
    </w:p>
    <w:p w:rsidR="008301BA" w:rsidRDefault="00D958F2">
      <w:r>
        <w:t>5.2 Residual Error and Statistical Bias Auditing</w:t>
      </w:r>
    </w:p>
    <w:p w:rsidR="008301BA" w:rsidRDefault="00D958F2">
      <w:r>
        <w:lastRenderedPageBreak/>
        <w:t>Residual:</w:t>
      </w:r>
      <w:r>
        <w:br/>
        <w:t>ε = Y_actual − Ŷ_predicted</w:t>
      </w:r>
    </w:p>
    <w:p w:rsidR="008301BA" w:rsidRDefault="00D958F2">
      <w:r>
        <w:t>The trained XGBoost model achieved a Mean Residual Error of -0.0276 kW. This indicates the model is effectively unbiased and avoids systematic over-prediction o</w:t>
      </w:r>
      <w:r>
        <w:t>r under-prediction.</w:t>
      </w:r>
    </w:p>
    <w:p w:rsidR="008301BA" w:rsidRDefault="00D958F2">
      <w:r>
        <w:t>5.3 Post-Prediction Core Telemetry Correlation</w:t>
      </w:r>
    </w:p>
    <w:p w:rsidR="008301BA" w:rsidRDefault="00D958F2">
      <w:r>
        <w:t>By maintaining the dropped sub-meter logs (Sub_metering_1, Sub_metering_2, Sub_metering_3) in a separate validation database, they were utilized as an external diagnostic layer to audit lar</w:t>
      </w:r>
      <w:r>
        <w:t>ge residual spikes.</w:t>
      </w:r>
    </w:p>
    <w:p w:rsidR="008301BA" w:rsidRDefault="00D958F2">
      <w:r>
        <w:t>Large under-predictions consistently aligned with sudden surges in Sub_metering_1 or Sub_metering_3, confirming that much of the remaining variance originates from unpredictable human behavior rather than algorithmic deficiencies.</w:t>
      </w:r>
    </w:p>
    <w:p w:rsidR="008301BA" w:rsidRDefault="00D958F2">
      <w:r>
        <w:t>5.4 G</w:t>
      </w:r>
      <w:r>
        <w:t>lobal Interpretability via SHAP Framework</w:t>
      </w:r>
    </w:p>
    <w:p w:rsidR="008301BA" w:rsidRDefault="00D958F2">
      <w:r>
        <w:t>[Insert SHAP Global Feature Importance Plot Here]</w:t>
      </w:r>
    </w:p>
    <w:p w:rsidR="00086B67" w:rsidRDefault="00086B67">
      <w:r w:rsidRPr="00086B67">
        <w:drawing>
          <wp:inline distT="0" distB="0" distL="0" distR="0" wp14:anchorId="76339DCF" wp14:editId="0DC6EFA7">
            <wp:extent cx="5486400" cy="243722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67" w:rsidRDefault="00086B67">
      <w:r w:rsidRPr="00086B67">
        <w:lastRenderedPageBreak/>
        <w:drawing>
          <wp:inline distT="0" distB="0" distL="0" distR="0" wp14:anchorId="2690945E" wp14:editId="606C6E8D">
            <wp:extent cx="5486400" cy="256852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BA" w:rsidRDefault="00D958F2">
      <w:r>
        <w:t>The global feature rankings identified lag_1h as the dominant driver (mean absolute SHAP ≈ 0.51), followed by hour (≈ 0.16).</w:t>
      </w:r>
    </w:p>
    <w:p w:rsidR="008301BA" w:rsidRDefault="00D958F2">
      <w:r>
        <w:t xml:space="preserve">5.5 Local Diagnostic Auditing via LIME </w:t>
      </w:r>
      <w:r>
        <w:t>Framework</w:t>
      </w:r>
    </w:p>
    <w:p w:rsidR="008301BA" w:rsidRDefault="00D958F2">
      <w:r>
        <w:t>[Insert LIME Local Explanation Plot Here]</w:t>
      </w:r>
    </w:p>
    <w:p w:rsidR="00D958F2" w:rsidRDefault="00D958F2">
      <w:r w:rsidRPr="00D958F2">
        <w:drawing>
          <wp:inline distT="0" distB="0" distL="0" distR="0" wp14:anchorId="50120F0E" wp14:editId="4D1A53DC">
            <wp:extent cx="5486400" cy="1230337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58F2" w:rsidRDefault="00D958F2">
      <w:r w:rsidRPr="00D958F2">
        <w:drawing>
          <wp:inline distT="0" distB="0" distL="0" distR="0" wp14:anchorId="7FEB7DF8" wp14:editId="05DA15E1">
            <wp:extent cx="5486400" cy="1280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BA" w:rsidRDefault="00D958F2">
      <w:r>
        <w:t>Comparative local analysis at Saturday, June 14, 15:00 revealed:</w:t>
      </w:r>
    </w:p>
    <w:p w:rsidR="008301BA" w:rsidRDefault="00D958F2">
      <w:r>
        <w:t>• XGBoost aggressively responded to seasonal and diurnal context, reducing the forecast to 1.33 kW.</w:t>
      </w:r>
      <w:r>
        <w:br/>
        <w:t>• Random Forest responded more conserva</w:t>
      </w:r>
      <w:r>
        <w:t>tively and maintained a forecast of 1.69 kW.</w:t>
      </w:r>
      <w:r>
        <w:br/>
        <w:t>• XGBoost interpreted Saturday afternoon as a trough, whereas Random Forest viewed it as a slight activity catalyst.</w:t>
      </w:r>
    </w:p>
    <w:p w:rsidR="008301BA" w:rsidRDefault="00D958F2">
      <w:r>
        <w:lastRenderedPageBreak/>
        <w:t>This evaluation confirms that XGBoost is more sensitive to contextual shifts, while Random For</w:t>
      </w:r>
      <w:r>
        <w:t>est relies more heavily on historical averages.</w:t>
      </w:r>
    </w:p>
    <w:sectPr w:rsidR="008301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B67"/>
    <w:rsid w:val="0015074B"/>
    <w:rsid w:val="0029639D"/>
    <w:rsid w:val="00326F90"/>
    <w:rsid w:val="008301BA"/>
    <w:rsid w:val="00AA1D8D"/>
    <w:rsid w:val="00B47730"/>
    <w:rsid w:val="00CB0664"/>
    <w:rsid w:val="00D958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8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B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8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B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A5E383-5086-4BF5-B23C-CC7C2956F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</cp:lastModifiedBy>
  <cp:revision>2</cp:revision>
  <dcterms:created xsi:type="dcterms:W3CDTF">2013-12-23T23:15:00Z</dcterms:created>
  <dcterms:modified xsi:type="dcterms:W3CDTF">2026-06-06T08:20:00Z</dcterms:modified>
  <cp:category/>
</cp:coreProperties>
</file>