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03366"/>
          <w:sz w:val="48"/>
        </w:rPr>
        <w:t>DATA CLEANING &amp; PREPROCESSING REPORT</w:t>
      </w:r>
    </w:p>
    <w:p>
      <w:pPr>
        <w:spacing w:after="360"/>
      </w:pPr>
      <w:r>
        <w:rPr>
          <w:rFonts w:ascii="Segoe UI Light" w:hAnsi="Segoe UI Light"/>
          <w:color w:val="7F8C8D"/>
          <w:sz w:val="22"/>
        </w:rPr>
        <w:t>Project: Explainable Energy Consumption Forecasting Pipeline</w:t>
        <w:br/>
        <w:t>Repository: muhammedTayallah/Explainable-Energy-Forecasting</w:t>
      </w:r>
    </w:p>
    <w:p>
      <w:pPr>
        <w:pBdr>
          <w:bottom w:val="single" w:sz="12" w:space="1" w:color="003366"/>
        </w:pBdr>
      </w:pPr>
    </w:p>
    <w:p>
      <w:pPr>
        <w:keepNext/>
        <w:spacing w:before="480" w:after="120"/>
      </w:pPr>
      <w:r>
        <w:rPr>
          <w:rFonts w:ascii="Segoe UI Semibold" w:hAnsi="Segoe UI Semibold"/>
          <w:b/>
          <w:color w:val="003366"/>
          <w:sz w:val="36"/>
        </w:rPr>
        <w:t>1. Executive Summary</w:t>
      </w:r>
    </w:p>
    <w:p>
      <w:r>
        <w:t>In time-series forecasting, data cleanliness directly dictates model performance, stability, and explainability. This technical report details the automated data cleaning pipeline engineered for the Individual Household Electric Power Consumption dataset. The processing architecture transforms volatile raw sensory metrics into a high-fidelity, structurally continuous asset tailored for structured Explainable AI (XAI) applications such as Random Forest regressors and SHAP (SHapley Additive exPlanations) architectures.</w:t>
      </w:r>
    </w:p>
    <w:tbl>
      <w:tblPr>
        <w:tblW w:type="auto" w:w="0"/>
        <w:jc w:val="center"/>
        <w:tblLook w:firstColumn="1" w:firstRow="1" w:lastColumn="0" w:lastRow="0" w:noHBand="0" w:noVBand="1" w:val="04A0"/>
      </w:tblPr>
      <w:tblGrid>
        <w:gridCol w:w="9360"/>
      </w:tblGrid>
      <w:tr>
        <w:tc>
          <w:tcPr>
            <w:tcW w:type="dxa" w:w="9360"/>
            <w:shd w:fill="F4F6F7"/>
            <w:tcMar>
              <w:top w:w="140" w:type="dxa"/>
              <w:bottom w:w="140" w:type="dxa"/>
              <w:left w:w="200" w:type="dxa"/>
              <w:right w:w="200" w:type="dxa"/>
            </w:tcMar>
            <w:tcBorders>
              <w:top w:val="none"/>
              <w:left w:val="single" w:sz="24" w:space="0" w:color="003366"/>
              <w:bottom w:val="none"/>
              <w:right w:val="none"/>
            </w:tcBorders>
          </w:tcPr>
          <w:p>
            <w:pPr>
              <w:spacing w:before="80" w:after="80"/>
            </w:pPr>
            <w:r>
              <w:rPr>
                <w:i/>
                <w:sz w:val="20"/>
              </w:rPr>
              <w:t>Key Objective: Safeguard chronological integrity and eliminate structural irregularities (e.g., missing markers, ambiguous object datatypes) without introducing data leakage into downstream machine learning models.</w:t>
            </w:r>
          </w:p>
        </w:tc>
      </w:tr>
    </w:tbl>
    <w:p>
      <w:pPr>
        <w:keepNext/>
        <w:spacing w:before="480" w:after="120"/>
      </w:pPr>
      <w:r>
        <w:rPr>
          <w:rFonts w:ascii="Segoe UI Semibold" w:hAnsi="Segoe UI Semibold"/>
          <w:b/>
          <w:color w:val="003366"/>
          <w:sz w:val="36"/>
        </w:rPr>
        <w:t>2. Core Technical Anomalies Remediation</w:t>
      </w:r>
    </w:p>
    <w:p>
      <w:r>
        <w:t>The raw configuration of the household energy log exhibits several defects common to high-frequency industrial smart meters. Below are the specific issues diagnosed and resolved programmatically:</w:t>
      </w:r>
    </w:p>
    <w:p>
      <w:pPr>
        <w:pStyle w:val="ListBullet"/>
      </w:pPr>
      <w:r>
        <w:rPr>
          <w:b/>
        </w:rPr>
        <w:t xml:space="preserve">Ambiguous Missing Value Notation: </w:t>
      </w:r>
      <w:r>
        <w:t>The raw hardware feed marks measurement dropouts using the string character '?' instead of a standard null value. This implicitly converts purely numerical columns into ambiguous 'object' (text) string datatypes, causing standard mathematical frameworks to fail.</w:t>
      </w:r>
    </w:p>
    <w:p>
      <w:pPr>
        <w:pStyle w:val="ListBullet"/>
      </w:pPr>
      <w:r>
        <w:rPr>
          <w:b/>
        </w:rPr>
        <w:t xml:space="preserve">De-coupled Temporal Context: </w:t>
      </w:r>
      <w:r>
        <w:t>Date and Time features are captured as disconnected string labels across independent columns. To feed a time-series model or analyze lag parameters, these parameters must be fused and mapped to a microsecond-accurate linear dimension.</w:t>
      </w:r>
    </w:p>
    <w:p>
      <w:pPr>
        <w:pStyle w:val="ListBullet"/>
      </w:pPr>
      <w:r>
        <w:rPr>
          <w:b/>
        </w:rPr>
        <w:t xml:space="preserve">Chronological Fragmentation: </w:t>
      </w:r>
      <w:r>
        <w:t>Due to transmission delays or system downtime, records can arrive out of order, presenting a fragmented sequence that prevents rolling window allocations or feature engineering calculations.</w:t>
      </w:r>
    </w:p>
    <w:p>
      <w:pPr>
        <w:keepNext/>
        <w:spacing w:before="480" w:after="120"/>
      </w:pPr>
      <w:r>
        <w:rPr>
          <w:rFonts w:ascii="Segoe UI Semibold" w:hAnsi="Segoe UI Semibold"/>
          <w:b/>
          <w:color w:val="003366"/>
          <w:sz w:val="36"/>
        </w:rPr>
        <w:t>3. Data Cleaning Pipeline Architecture</w:t>
      </w:r>
    </w:p>
    <w:p>
      <w:r>
        <w:t>The engineered pipeline executes an explicit multi-stage workflow to transition raw observations into production-ready arrays. The structured execution performs the following steps sequentially:</w:t>
      </w:r>
    </w:p>
    <w:p>
      <w:pPr>
        <w:keepNext/>
        <w:spacing w:before="320" w:after="120"/>
      </w:pPr>
      <w:r>
        <w:rPr>
          <w:rFonts w:ascii="Segoe UI Semibold" w:hAnsi="Segoe UI Semibold"/>
          <w:b/>
          <w:color w:val="5F6B73"/>
          <w:sz w:val="28"/>
        </w:rPr>
        <w:t>Step 1: High-Performance Parsing and Null Standardisation</w:t>
      </w:r>
    </w:p>
    <w:p>
      <w:r>
        <w:t>The dataset is ingested through an asynchronous I/O read. String-based null elements ('?') are standardized to mathematical Floating-Point NaN (Not a Number) representations at runtime. This forces memory buffers to evaluate numeric columns appropriately.</w:t>
      </w:r>
    </w:p>
    <w:p>
      <w:pPr>
        <w:keepNext/>
        <w:spacing w:before="320" w:after="120"/>
      </w:pPr>
      <w:r>
        <w:rPr>
          <w:rFonts w:ascii="Segoe UI Semibold" w:hAnsi="Segoe UI Semibold"/>
          <w:b/>
          <w:color w:val="5F6B73"/>
          <w:sz w:val="28"/>
        </w:rPr>
        <w:t>Step 2: Chronological Index Synthesis</w:t>
      </w:r>
    </w:p>
    <w:p>
      <w:r>
        <w:t>The discrete text features for Date and Time are extracted and vectorized via unified string interpolation. They are compiled into a 64-bit Timestamp index object. The workspace is then re-anchored to this Datetime Index, sorting all entries sequentially to construct a deterministic, linear timeline.</w:t>
      </w:r>
    </w:p>
    <w:p>
      <w:pPr>
        <w:keepNext/>
        <w:spacing w:before="320" w:after="120"/>
      </w:pPr>
      <w:r>
        <w:rPr>
          <w:rFonts w:ascii="Segoe UI Semibold" w:hAnsi="Segoe UI Semibold"/>
          <w:b/>
          <w:color w:val="5F6B73"/>
          <w:sz w:val="28"/>
        </w:rPr>
        <w:t>Step 3: Vectorized Numerical Coercion</w:t>
      </w:r>
    </w:p>
    <w:p>
      <w:r>
        <w:t>All feature metrics (Global Active Power, Global Reactive Power, Voltage, Global Intensity, and Sub-metering arrays) undergo vectorized casting to float64 structures. Non-compliant parsing segments are safely handled using algorithmic coercion metrics.</w:t>
      </w:r>
    </w:p>
    <w:p>
      <w:pPr>
        <w:keepNext/>
        <w:spacing w:before="320" w:after="120"/>
      </w:pPr>
      <w:r>
        <w:rPr>
          <w:rFonts w:ascii="Segoe UI Semibold" w:hAnsi="Segoe UI Semibold"/>
          <w:b/>
          <w:color w:val="5F6B73"/>
          <w:sz w:val="28"/>
        </w:rPr>
        <w:t>Step 4: Continuous Time-Series Sequence Imputation</w:t>
      </w:r>
    </w:p>
    <w:p>
      <w:r>
        <w:t>To repair sensor blackouts without modifying historical distribution profiles, the pipeline leverages an optimized Time-Series Forward Fill (ffill) approach. Missing values copy the immediately preceding valid observation downstream, capturing a localized state preservation. Any residual leading boundary anomalies are resolved using a backward-fill operation.</w:t>
      </w:r>
    </w:p>
    <w:p>
      <w:pPr>
        <w:keepNext/>
        <w:spacing w:before="480" w:after="120"/>
      </w:pPr>
      <w:r>
        <w:rPr>
          <w:rFonts w:ascii="Segoe UI Semibold" w:hAnsi="Segoe UI Semibold"/>
          <w:b/>
          <w:color w:val="003366"/>
          <w:sz w:val="36"/>
        </w:rPr>
        <w:t>4. Transformation Mapping Metrics</w:t>
      </w:r>
    </w:p>
    <w:p>
      <w:r>
        <w:t>The following matrix reflects structural properties before and after the pipeline implementation:</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tblHeader/>
        </w:trPr>
        <w:tc>
          <w:tcPr>
            <w:tcW w:type="dxa" w:w="2592"/>
            <w:shd w:fill="003366"/>
            <w:tcMar>
              <w:top w:w="120" w:type="dxa"/>
              <w:bottom w:w="120" w:type="dxa"/>
              <w:left w:w="100" w:type="dxa"/>
              <w:right w:w="100" w:type="dxa"/>
            </w:tcMar>
          </w:tcPr>
          <w:p>
            <w:pPr>
              <w:jc w:val="center"/>
            </w:pPr>
            <w:r>
              <w:rPr>
                <w:b/>
                <w:color w:val="FFFFFF"/>
                <w:sz w:val="20"/>
              </w:rPr>
              <w:t>Metric Feature Component</w:t>
            </w:r>
          </w:p>
        </w:tc>
        <w:tc>
          <w:tcPr>
            <w:tcW w:type="dxa" w:w="2160"/>
            <w:shd w:fill="003366"/>
            <w:tcMar>
              <w:top w:w="120" w:type="dxa"/>
              <w:bottom w:w="120" w:type="dxa"/>
              <w:left w:w="100" w:type="dxa"/>
              <w:right w:w="100" w:type="dxa"/>
            </w:tcMar>
          </w:tcPr>
          <w:p>
            <w:pPr>
              <w:jc w:val="center"/>
            </w:pPr>
            <w:r>
              <w:rPr>
                <w:b/>
                <w:color w:val="FFFFFF"/>
                <w:sz w:val="20"/>
              </w:rPr>
              <w:t>Raw Input Structure</w:t>
            </w:r>
          </w:p>
        </w:tc>
        <w:tc>
          <w:tcPr>
            <w:tcW w:type="dxa" w:w="2160"/>
            <w:shd w:fill="003366"/>
            <w:tcMar>
              <w:top w:w="120" w:type="dxa"/>
              <w:bottom w:w="120" w:type="dxa"/>
              <w:left w:w="100" w:type="dxa"/>
              <w:right w:w="100" w:type="dxa"/>
            </w:tcMar>
          </w:tcPr>
          <w:p>
            <w:pPr>
              <w:jc w:val="center"/>
            </w:pPr>
            <w:r>
              <w:rPr>
                <w:b/>
                <w:color w:val="FFFFFF"/>
                <w:sz w:val="20"/>
              </w:rPr>
              <w:t>Clean Pipeline Structure</w:t>
            </w:r>
          </w:p>
        </w:tc>
        <w:tc>
          <w:tcPr>
            <w:tcW w:type="dxa" w:w="2448"/>
            <w:shd w:fill="003366"/>
            <w:tcMar>
              <w:top w:w="120" w:type="dxa"/>
              <w:bottom w:w="120" w:type="dxa"/>
              <w:left w:w="100" w:type="dxa"/>
              <w:right w:w="100" w:type="dxa"/>
            </w:tcMar>
          </w:tcPr>
          <w:p>
            <w:pPr>
              <w:jc w:val="center"/>
            </w:pPr>
            <w:r>
              <w:rPr>
                <w:b/>
                <w:color w:val="FFFFFF"/>
                <w:sz w:val="20"/>
              </w:rPr>
              <w:t>Downstream Pipeline Purpose</w:t>
            </w:r>
          </w:p>
        </w:tc>
      </w:tr>
      <w:tr>
        <w:tc>
          <w:tcPr>
            <w:tcW w:type="dxa" w:w="2592"/>
            <w:shd w:fill="FFFFFF"/>
            <w:tcMar>
              <w:top w:w="100" w:type="dxa"/>
              <w:bottom w:w="100" w:type="dxa"/>
              <w:left w:w="100" w:type="dxa"/>
              <w:right w:w="100" w:type="dxa"/>
            </w:tcMar>
          </w:tcPr>
          <w:p>
            <w:pPr>
              <w:jc w:val="left"/>
            </w:pPr>
            <w:r>
              <w:rPr>
                <w:sz w:val="19"/>
              </w:rPr>
              <w:t>Temporal Tracking</w:t>
            </w:r>
          </w:p>
        </w:tc>
        <w:tc>
          <w:tcPr>
            <w:tcW w:type="dxa" w:w="2160"/>
            <w:shd w:fill="FFFFFF"/>
            <w:tcMar>
              <w:top w:w="100" w:type="dxa"/>
              <w:bottom w:w="100" w:type="dxa"/>
              <w:left w:w="100" w:type="dxa"/>
              <w:right w:w="100" w:type="dxa"/>
            </w:tcMar>
          </w:tcPr>
          <w:p>
            <w:pPr>
              <w:jc w:val="center"/>
            </w:pPr>
            <w:r>
              <w:rPr>
                <w:sz w:val="19"/>
              </w:rPr>
              <w:t>Split 'Date' &amp; 'Time' (String Objects)</w:t>
            </w:r>
          </w:p>
        </w:tc>
        <w:tc>
          <w:tcPr>
            <w:tcW w:type="dxa" w:w="2160"/>
            <w:shd w:fill="FFFFFF"/>
            <w:tcMar>
              <w:top w:w="100" w:type="dxa"/>
              <w:bottom w:w="100" w:type="dxa"/>
              <w:left w:w="100" w:type="dxa"/>
              <w:right w:w="100" w:type="dxa"/>
            </w:tcMar>
          </w:tcPr>
          <w:p>
            <w:pPr>
              <w:jc w:val="center"/>
            </w:pPr>
            <w:r>
              <w:rPr>
                <w:sz w:val="19"/>
              </w:rPr>
              <w:t>Unified DatetimeIndex (Datetime64)</w:t>
            </w:r>
          </w:p>
        </w:tc>
        <w:tc>
          <w:tcPr>
            <w:tcW w:type="dxa" w:w="2448"/>
            <w:shd w:fill="FFFFFF"/>
            <w:tcMar>
              <w:top w:w="100" w:type="dxa"/>
              <w:bottom w:w="100" w:type="dxa"/>
              <w:left w:w="100" w:type="dxa"/>
              <w:right w:w="100" w:type="dxa"/>
            </w:tcMar>
          </w:tcPr>
          <w:p>
            <w:pPr>
              <w:jc w:val="left"/>
            </w:pPr>
            <w:r>
              <w:rPr>
                <w:sz w:val="19"/>
              </w:rPr>
              <w:t>Drives temporal feature lags and rolling seasonality windows.</w:t>
            </w:r>
          </w:p>
        </w:tc>
      </w:tr>
      <w:tr>
        <w:tc>
          <w:tcPr>
            <w:tcW w:type="dxa" w:w="2592"/>
            <w:shd w:fill="F9FAFB"/>
            <w:tcMar>
              <w:top w:w="100" w:type="dxa"/>
              <w:bottom w:w="100" w:type="dxa"/>
              <w:left w:w="100" w:type="dxa"/>
              <w:right w:w="100" w:type="dxa"/>
            </w:tcMar>
          </w:tcPr>
          <w:p>
            <w:pPr>
              <w:jc w:val="left"/>
            </w:pPr>
            <w:r>
              <w:rPr>
                <w:sz w:val="19"/>
              </w:rPr>
              <w:t>Missing Value Flags</w:t>
            </w:r>
          </w:p>
        </w:tc>
        <w:tc>
          <w:tcPr>
            <w:tcW w:type="dxa" w:w="2160"/>
            <w:shd w:fill="F9FAFB"/>
            <w:tcMar>
              <w:top w:w="100" w:type="dxa"/>
              <w:bottom w:w="100" w:type="dxa"/>
              <w:left w:w="100" w:type="dxa"/>
              <w:right w:w="100" w:type="dxa"/>
            </w:tcMar>
          </w:tcPr>
          <w:p>
            <w:pPr>
              <w:jc w:val="center"/>
            </w:pPr>
            <w:r>
              <w:rPr>
                <w:sz w:val="19"/>
              </w:rPr>
              <w:t>Hardware Character Placeholders ('?')</w:t>
            </w:r>
          </w:p>
        </w:tc>
        <w:tc>
          <w:tcPr>
            <w:tcW w:type="dxa" w:w="2160"/>
            <w:shd w:fill="F9FAFB"/>
            <w:tcMar>
              <w:top w:w="100" w:type="dxa"/>
              <w:bottom w:w="100" w:type="dxa"/>
              <w:left w:w="100" w:type="dxa"/>
              <w:right w:w="100" w:type="dxa"/>
            </w:tcMar>
          </w:tcPr>
          <w:p>
            <w:pPr>
              <w:jc w:val="center"/>
            </w:pPr>
            <w:r>
              <w:rPr>
                <w:sz w:val="19"/>
              </w:rPr>
              <w:t>Imputed Immediacy Vectors (No Nulls)</w:t>
            </w:r>
          </w:p>
        </w:tc>
        <w:tc>
          <w:tcPr>
            <w:tcW w:type="dxa" w:w="2448"/>
            <w:shd w:fill="F9FAFB"/>
            <w:tcMar>
              <w:top w:w="100" w:type="dxa"/>
              <w:bottom w:w="100" w:type="dxa"/>
              <w:left w:w="100" w:type="dxa"/>
              <w:right w:w="100" w:type="dxa"/>
            </w:tcMar>
          </w:tcPr>
          <w:p>
            <w:pPr>
              <w:jc w:val="left"/>
            </w:pPr>
            <w:r>
              <w:rPr>
                <w:sz w:val="19"/>
              </w:rPr>
              <w:t>Eliminates computational failures in matrix math calculations.</w:t>
            </w:r>
          </w:p>
        </w:tc>
      </w:tr>
      <w:tr>
        <w:tc>
          <w:tcPr>
            <w:tcW w:type="dxa" w:w="2592"/>
            <w:shd w:fill="FFFFFF"/>
            <w:tcMar>
              <w:top w:w="100" w:type="dxa"/>
              <w:bottom w:w="100" w:type="dxa"/>
              <w:left w:w="100" w:type="dxa"/>
              <w:right w:w="100" w:type="dxa"/>
            </w:tcMar>
          </w:tcPr>
          <w:p>
            <w:pPr>
              <w:jc w:val="left"/>
            </w:pPr>
            <w:r>
              <w:rPr>
                <w:sz w:val="19"/>
              </w:rPr>
              <w:t>Telemetry Columns</w:t>
            </w:r>
          </w:p>
        </w:tc>
        <w:tc>
          <w:tcPr>
            <w:tcW w:type="dxa" w:w="2160"/>
            <w:shd w:fill="FFFFFF"/>
            <w:tcMar>
              <w:top w:w="100" w:type="dxa"/>
              <w:bottom w:w="100" w:type="dxa"/>
              <w:left w:w="100" w:type="dxa"/>
              <w:right w:w="100" w:type="dxa"/>
            </w:tcMar>
          </w:tcPr>
          <w:p>
            <w:pPr>
              <w:jc w:val="center"/>
            </w:pPr>
            <w:r>
              <w:rPr>
                <w:sz w:val="19"/>
              </w:rPr>
              <w:t>Mixed Categorical/Object Formats</w:t>
            </w:r>
          </w:p>
        </w:tc>
        <w:tc>
          <w:tcPr>
            <w:tcW w:type="dxa" w:w="2160"/>
            <w:shd w:fill="FFFFFF"/>
            <w:tcMar>
              <w:top w:w="100" w:type="dxa"/>
              <w:bottom w:w="100" w:type="dxa"/>
              <w:left w:w="100" w:type="dxa"/>
              <w:right w:w="100" w:type="dxa"/>
            </w:tcMar>
          </w:tcPr>
          <w:p>
            <w:pPr>
              <w:jc w:val="center"/>
            </w:pPr>
            <w:r>
              <w:rPr>
                <w:sz w:val="19"/>
              </w:rPr>
              <w:t>Standardized Numeric Matrix (Float64)</w:t>
            </w:r>
          </w:p>
        </w:tc>
        <w:tc>
          <w:tcPr>
            <w:tcW w:type="dxa" w:w="2448"/>
            <w:shd w:fill="FFFFFF"/>
            <w:tcMar>
              <w:top w:w="100" w:type="dxa"/>
              <w:bottom w:w="100" w:type="dxa"/>
              <w:left w:w="100" w:type="dxa"/>
              <w:right w:w="100" w:type="dxa"/>
            </w:tcMar>
          </w:tcPr>
          <w:p>
            <w:pPr>
              <w:jc w:val="left"/>
            </w:pPr>
            <w:r>
              <w:rPr>
                <w:sz w:val="19"/>
              </w:rPr>
              <w:t>Enables analytical ingest for Tree-based systems and SHAP tools.</w:t>
            </w:r>
          </w:p>
        </w:tc>
      </w:tr>
    </w:tbl>
    <w:p>
      <w:pPr>
        <w:keepNext/>
        <w:spacing w:before="480" w:after="120"/>
      </w:pPr>
      <w:r>
        <w:rPr>
          <w:rFonts w:ascii="Segoe UI Semibold" w:hAnsi="Segoe UI Semibold"/>
          <w:b/>
          <w:color w:val="003366"/>
          <w:sz w:val="36"/>
        </w:rPr>
        <w:t>5. Verification and Downstream Modeling Readiness</w:t>
      </w:r>
    </w:p>
    <w:p>
      <w:r>
        <w:t>Following automated cleanup execution, the file is saved directly back to the project root directory as a consolidated asset: `cleaned_household_power_consumption.csv`. The shape and indexing parameters are confirmed clean, establishing a verified baseline.</w:t>
      </w:r>
    </w:p>
    <w:p>
      <w:r>
        <w:t>With all missing anomalies successfully addressed, this file provides a solid baseline for the project modeling stage. You can proceed with absolute stability to train the Random Forest estimators, engineer lag variables, and initialize explainability frameworks with clean, reliable data inputs.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Segoe UI" w:hAnsi="Segoe U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