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7a811b1dfa825665ffeae8fbe3d28eab9e5a28e"/>
    <w:p>
      <w:pPr>
        <w:pStyle w:val="Heading1"/>
      </w:pPr>
      <w:r>
        <w:t xml:space="preserve">AL TASNIM Real-Time Agentic AI Solution – Best Cost-Effective Production Architecture v2.1</w:t>
      </w:r>
    </w:p>
    <w:bookmarkStart w:id="20" w:name="final-recommendation"/>
    <w:p>
      <w:pPr>
        <w:pStyle w:val="Heading2"/>
      </w:pPr>
      <w:r>
        <w:t xml:space="preserve">1. Final Recommendation</w:t>
      </w:r>
    </w:p>
    <w:p>
      <w:pPr>
        <w:pStyle w:val="FirstParagraph"/>
      </w:pPr>
      <w:r>
        <w:t xml:space="preserve">For AL TASNIM, we should not build a normal chatbot. We should build a controlled Agentic AI Operational Intelligence Assistant for well delivery, drilling progress, planning, reporting, prediction, and decision support.</w:t>
      </w:r>
    </w:p>
    <w:p>
      <w:pPr>
        <w:pStyle w:val="BodyText"/>
      </w:pPr>
      <w:r>
        <w:t xml:space="preserve">The best cost-effective architecture is:</w:t>
      </w:r>
    </w:p>
    <w:p>
      <w:pPr>
        <w:pStyle w:val="BodyText"/>
      </w:pPr>
      <w:r>
        <w:t xml:space="preserve">Policy-Based Router</w:t>
      </w:r>
    </w:p>
    <w:p>
      <w:pPr>
        <w:pStyle w:val="Compact"/>
        <w:numPr>
          <w:ilvl w:val="0"/>
          <w:numId w:val="1001"/>
        </w:numPr>
      </w:pPr>
      <w:r>
        <w:t xml:space="preserve">LangGraph Agent Orchestration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PostgreSQL / pgvector RAG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True BM25 Keyword Search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Read-Only Database Tool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Safe SQL Compiler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Precomputed Analytics Layer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Recommendation Engine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Cache Layer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Evidence Validation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Full Observability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Human Review for High-Risk Decisions</w:t>
      </w:r>
    </w:p>
    <w:p>
      <w:pPr>
        <w:pStyle w:val="FirstParagraph"/>
      </w:pPr>
      <w:r>
        <w:t xml:space="preserve">This gives the best balance of accuracy, cost, safety, and scalability.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2"/>
      </w:pPr>
      <w:r>
        <w:t xml:space="preserve">2. Core Principle</w:t>
      </w:r>
    </w:p>
    <w:p>
      <w:pPr>
        <w:pStyle w:val="FirstParagraph"/>
      </w:pPr>
      <w:r>
        <w:t xml:space="preserve">The system should follow this rule:</w:t>
      </w:r>
    </w:p>
    <w:p>
      <w:pPr>
        <w:pStyle w:val="BodyText"/>
      </w:pPr>
      <w:r>
        <w:t xml:space="preserve">“Use the cheapest, safest, and smallest possible tool path that can answer the question correctly.”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02"/>
        </w:numPr>
      </w:pPr>
      <w:r>
        <w:t xml:space="preserve">Do not call all tools for every question.</w:t>
      </w:r>
    </w:p>
    <w:p>
      <w:pPr>
        <w:pStyle w:val="Compact"/>
        <w:numPr>
          <w:ilvl w:val="0"/>
          <w:numId w:val="1002"/>
        </w:numPr>
      </w:pPr>
      <w:r>
        <w:t xml:space="preserve">Do not use the largest LLM for every question.</w:t>
      </w:r>
    </w:p>
    <w:p>
      <w:pPr>
        <w:pStyle w:val="Compact"/>
        <w:numPr>
          <w:ilvl w:val="0"/>
          <w:numId w:val="1002"/>
        </w:numPr>
      </w:pPr>
      <w:r>
        <w:t xml:space="preserve">Do not send full documents to the LLM.</w:t>
      </w:r>
    </w:p>
    <w:p>
      <w:pPr>
        <w:pStyle w:val="Compact"/>
        <w:numPr>
          <w:ilvl w:val="0"/>
          <w:numId w:val="1002"/>
        </w:numPr>
      </w:pPr>
      <w:r>
        <w:t xml:space="preserve">Do not allow direct SQL execution by the LLM.</w:t>
      </w:r>
    </w:p>
    <w:p>
      <w:pPr>
        <w:pStyle w:val="Compact"/>
        <w:numPr>
          <w:ilvl w:val="0"/>
          <w:numId w:val="1002"/>
        </w:numPr>
      </w:pPr>
      <w:r>
        <w:t xml:space="preserve">Do not run heavy prediction logic live for every user query.</w:t>
      </w:r>
    </w:p>
    <w:p>
      <w:pPr>
        <w:pStyle w:val="Compact"/>
        <w:numPr>
          <w:ilvl w:val="0"/>
          <w:numId w:val="1002"/>
        </w:numPr>
      </w:pPr>
      <w:r>
        <w:t xml:space="preserve">Do not provide recommendations without evidence, assumptions, and confidence level.</w:t>
      </w:r>
    </w:p>
    <w:p>
      <w:r>
        <w:pict>
          <v:rect style="width:0;height:1.5pt" o:hralign="center" o:hrstd="t" o:hr="t"/>
        </w:pict>
      </w:r>
    </w:p>
    <w:bookmarkEnd w:id="21"/>
    <w:bookmarkStart w:id="22" w:name="improved-user-query-flow"/>
    <w:p>
      <w:pPr>
        <w:pStyle w:val="Heading2"/>
      </w:pPr>
      <w:r>
        <w:t xml:space="preserve">3. Improved User Query Flow</w:t>
      </w:r>
    </w:p>
    <w:p>
      <w:pPr>
        <w:pStyle w:val="FirstParagraph"/>
      </w:pPr>
      <w:r>
        <w:t xml:space="preserve">User asks a question</w:t>
      </w:r>
      <w:r>
        <w:br/>
      </w:r>
      <w:r>
        <w:t xml:space="preserve">→ User role and permission check</w:t>
      </w:r>
      <w:r>
        <w:br/>
      </w:r>
      <w:r>
        <w:t xml:space="preserve">→ Query classification</w:t>
      </w:r>
      <w:r>
        <w:br/>
      </w:r>
      <w:r>
        <w:t xml:space="preserve">→ Clarification check</w:t>
      </w:r>
      <w:r>
        <w:br/>
      </w:r>
      <w:r>
        <w:t xml:space="preserve">→ Tool route selection</w:t>
      </w:r>
      <w:r>
        <w:br/>
      </w:r>
      <w:r>
        <w:t xml:space="preserve">→ Safe tool execution</w:t>
      </w:r>
      <w:r>
        <w:br/>
      </w:r>
      <w:r>
        <w:t xml:space="preserve">→ Evidence pack creation</w:t>
      </w:r>
      <w:r>
        <w:br/>
      </w:r>
      <w:r>
        <w:t xml:space="preserve">→ Answer generation</w:t>
      </w:r>
      <w:r>
        <w:br/>
      </w:r>
      <w:r>
        <w:t xml:space="preserve">→ Answer validation</w:t>
      </w:r>
      <w:r>
        <w:br/>
      </w:r>
      <w:r>
        <w:t xml:space="preserve">→ Final response with citations, confidence, and next action</w:t>
      </w:r>
    </w:p>
    <w:p>
      <w:pPr>
        <w:pStyle w:val="BodyText"/>
      </w:pPr>
      <w:r>
        <w:t xml:space="preserve">The agent should not behave like a free autonomous bot. It should behave like a controlled operational assistant.</w:t>
      </w:r>
    </w:p>
    <w:p>
      <w:r>
        <w:pict>
          <v:rect style="width:0;height:1.5pt" o:hralign="center" o:hrstd="t" o:hr="t"/>
        </w:pict>
      </w:r>
    </w:p>
    <w:bookmarkEnd w:id="22"/>
    <w:bookmarkStart w:id="26" w:name="query-routing-logic"/>
    <w:p>
      <w:pPr>
        <w:pStyle w:val="Heading2"/>
      </w:pPr>
      <w:r>
        <w:t xml:space="preserve">4. Query Routing Logic</w:t>
      </w:r>
    </w:p>
    <w:p>
      <w:pPr>
        <w:pStyle w:val="FirstParagraph"/>
      </w:pPr>
      <w:r>
        <w:t xml:space="preserve">Use a hybrid routing approach.</w:t>
      </w:r>
    </w:p>
    <w:bookmarkStart w:id="23" w:name="step-1-rule-based-router"/>
    <w:p>
      <w:pPr>
        <w:pStyle w:val="Heading3"/>
      </w:pPr>
      <w:r>
        <w:t xml:space="preserve">Step 1: Rule-Based Router</w:t>
      </w:r>
    </w:p>
    <w:p>
      <w:pPr>
        <w:pStyle w:val="FirstParagraph"/>
      </w:pPr>
      <w:r>
        <w:t xml:space="preserve">Use simple deterministic rules first.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“What is / how to / explain / procedure / process”</w:t>
      </w:r>
      <w:r>
        <w:t xml:space="preserve"> </w:t>
      </w:r>
      <w:r>
        <w:t xml:space="preserve">→ Document RAG Tool</w:t>
      </w:r>
    </w:p>
    <w:p>
      <w:pPr>
        <w:pStyle w:val="Compact"/>
        <w:numPr>
          <w:ilvl w:val="0"/>
          <w:numId w:val="1003"/>
        </w:numPr>
      </w:pPr>
      <w:r>
        <w:t xml:space="preserve">“Show / list / current status / daily progress / well data”</w:t>
      </w:r>
      <w:r>
        <w:t xml:space="preserve"> </w:t>
      </w:r>
      <w:r>
        <w:t xml:space="preserve">→ Database Tool</w:t>
      </w:r>
    </w:p>
    <w:p>
      <w:pPr>
        <w:pStyle w:val="Compact"/>
        <w:numPr>
          <w:ilvl w:val="0"/>
          <w:numId w:val="1003"/>
        </w:numPr>
      </w:pPr>
      <w:r>
        <w:t xml:space="preserve">“When will it finish / forecast / delay risk”</w:t>
      </w:r>
      <w:r>
        <w:t xml:space="preserve"> </w:t>
      </w:r>
      <w:r>
        <w:t xml:space="preserve">→ Database Tool + Analytics Tool</w:t>
      </w:r>
    </w:p>
    <w:p>
      <w:pPr>
        <w:pStyle w:val="Compact"/>
        <w:numPr>
          <w:ilvl w:val="0"/>
          <w:numId w:val="1003"/>
        </w:numPr>
      </w:pPr>
      <w:r>
        <w:t xml:space="preserve">“What should we do / how to recover / recommendation”</w:t>
      </w:r>
      <w:r>
        <w:t xml:space="preserve"> </w:t>
      </w:r>
      <w:r>
        <w:t xml:space="preserve">→ Database Tool + Analytics Tool + Recommendation Tool</w:t>
      </w:r>
    </w:p>
    <w:p>
      <w:pPr>
        <w:pStyle w:val="Compact"/>
        <w:numPr>
          <w:ilvl w:val="0"/>
          <w:numId w:val="1003"/>
        </w:numPr>
      </w:pPr>
      <w:r>
        <w:t xml:space="preserve">“Why is this delayed?”</w:t>
      </w:r>
      <w:r>
        <w:t xml:space="preserve"> </w:t>
      </w:r>
      <w:r>
        <w:t xml:space="preserve">→ Database Tool + Analytics Tool + Document RAG Tool</w:t>
      </w:r>
    </w:p>
    <w:bookmarkEnd w:id="23"/>
    <w:bookmarkStart w:id="24" w:name="step-2-cheap-llm-router"/>
    <w:p>
      <w:pPr>
        <w:pStyle w:val="Heading3"/>
      </w:pPr>
      <w:r>
        <w:t xml:space="preserve">Step 2: Cheap LLM Router</w:t>
      </w:r>
    </w:p>
    <w:p>
      <w:pPr>
        <w:pStyle w:val="FirstParagraph"/>
      </w:pPr>
      <w:r>
        <w:t xml:space="preserve">Use a small/cheap model only when the intent is unclear.</w:t>
      </w:r>
    </w:p>
    <w:bookmarkEnd w:id="24"/>
    <w:bookmarkStart w:id="25" w:name="step-3-advanced-reasoning-model"/>
    <w:p>
      <w:pPr>
        <w:pStyle w:val="Heading3"/>
      </w:pPr>
      <w:r>
        <w:t xml:space="preserve">Step 3: Advanced Reasoning Model</w:t>
      </w:r>
    </w:p>
    <w:p>
      <w:pPr>
        <w:pStyle w:val="FirstParagraph"/>
      </w:pPr>
      <w:r>
        <w:t xml:space="preserve">Use the stronger model only when the query requires multi-step reasoning, prediction explanation, root-cause analysis, or recommendations.</w:t>
      </w:r>
    </w:p>
    <w:p>
      <w:pPr>
        <w:pStyle w:val="BodyText"/>
      </w:pPr>
      <w:r>
        <w:t xml:space="preserve">This approach reduces cost and improves consistency.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andatory-clarification-tool"/>
    <w:p>
      <w:pPr>
        <w:pStyle w:val="Heading2"/>
      </w:pPr>
      <w:r>
        <w:t xml:space="preserve">5. Mandatory Clarification Tool</w:t>
      </w:r>
    </w:p>
    <w:p>
      <w:pPr>
        <w:pStyle w:val="FirstParagraph"/>
      </w:pPr>
      <w:r>
        <w:t xml:space="preserve">The system must ask clarification before wasting compute.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“When will it finish?”</w:t>
      </w:r>
      <w:r>
        <w:br/>
      </w:r>
      <w:r>
        <w:t xml:space="preserve">Assistant:</w:t>
      </w:r>
      <w:r>
        <w:t xml:space="preserve"> </w:t>
      </w:r>
      <w:r>
        <w:t xml:space="preserve">“Please specify the Well ID or activity.”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“Show me the status.”</w:t>
      </w:r>
      <w:r>
        <w:br/>
      </w:r>
      <w:r>
        <w:t xml:space="preserve">Assistant:</w:t>
      </w:r>
      <w:r>
        <w:t xml:space="preserve"> </w:t>
      </w:r>
      <w:r>
        <w:t xml:space="preserve">“Please specify whether you need well status, activity status, daily report status, or phase-wise status.”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“Why is it delayed?”</w:t>
      </w:r>
      <w:r>
        <w:br/>
      </w:r>
      <w:r>
        <w:t xml:space="preserve">Assistant:</w:t>
      </w:r>
      <w:r>
        <w:t xml:space="preserve"> </w:t>
      </w:r>
      <w:r>
        <w:t xml:space="preserve">“Please provide the Well ID, activity code, or project area.”</w:t>
      </w:r>
    </w:p>
    <w:p>
      <w:pPr>
        <w:pStyle w:val="BodyText"/>
      </w:pPr>
      <w:r>
        <w:t xml:space="preserve">This is one of the easiest ways to reduce cost and prevent wrong answers.</w:t>
      </w:r>
    </w:p>
    <w:p>
      <w:r>
        <w:pict>
          <v:rect style="width:0;height:1.5pt" o:hralign="center" o:hrstd="t" o:hr="t"/>
        </w:pict>
      </w:r>
    </w:p>
    <w:bookmarkEnd w:id="27"/>
    <w:bookmarkStart w:id="28" w:name="knowledge-rag-tool"/>
    <w:p>
      <w:pPr>
        <w:pStyle w:val="Heading2"/>
      </w:pPr>
      <w:r>
        <w:t xml:space="preserve">6. Knowledge / RAG Tool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Answer from AL TASNIM documents, KT transcripts, process notes, PDFs, Excel files, PowerPoints, SOPs, manuals, and training materials.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04"/>
        </w:numPr>
      </w:pPr>
      <w:r>
        <w:t xml:space="preserve">How-to questions</w:t>
      </w:r>
    </w:p>
    <w:p>
      <w:pPr>
        <w:pStyle w:val="Compact"/>
        <w:numPr>
          <w:ilvl w:val="0"/>
          <w:numId w:val="1004"/>
        </w:numPr>
      </w:pPr>
      <w:r>
        <w:t xml:space="preserve">Procedure explanation</w:t>
      </w:r>
    </w:p>
    <w:p>
      <w:pPr>
        <w:pStyle w:val="Compact"/>
        <w:numPr>
          <w:ilvl w:val="0"/>
          <w:numId w:val="1004"/>
        </w:numPr>
      </w:pPr>
      <w:r>
        <w:t xml:space="preserve">Process clarification</w:t>
      </w:r>
    </w:p>
    <w:p>
      <w:pPr>
        <w:pStyle w:val="Compact"/>
        <w:numPr>
          <w:ilvl w:val="0"/>
          <w:numId w:val="1004"/>
        </w:numPr>
      </w:pPr>
      <w:r>
        <w:t xml:space="preserve">Training content</w:t>
      </w:r>
    </w:p>
    <w:p>
      <w:pPr>
        <w:pStyle w:val="Compact"/>
        <w:numPr>
          <w:ilvl w:val="0"/>
          <w:numId w:val="1004"/>
        </w:numPr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Definitions</w:t>
      </w:r>
    </w:p>
    <w:p>
      <w:pPr>
        <w:pStyle w:val="Compact"/>
        <w:numPr>
          <w:ilvl w:val="0"/>
          <w:numId w:val="1004"/>
        </w:numPr>
      </w:pPr>
      <w:r>
        <w:t xml:space="preserve">KT transcript questions</w:t>
      </w:r>
    </w:p>
    <w:p>
      <w:pPr>
        <w:pStyle w:val="Compact"/>
        <w:numPr>
          <w:ilvl w:val="0"/>
          <w:numId w:val="1004"/>
        </w:numPr>
      </w:pPr>
      <w:r>
        <w:t xml:space="preserve">Source-backed answers</w:t>
      </w:r>
    </w:p>
    <w:p>
      <w:pPr>
        <w:pStyle w:val="FirstParagraph"/>
      </w:pPr>
      <w:r>
        <w:t xml:space="preserve">Implementation:</w:t>
      </w:r>
    </w:p>
    <w:p>
      <w:pPr>
        <w:pStyle w:val="BodyText"/>
      </w:pPr>
      <w:r>
        <w:t xml:space="preserve">Use hybrid retrieval:</w:t>
      </w:r>
    </w:p>
    <w:p>
      <w:pPr>
        <w:pStyle w:val="Compact"/>
        <w:numPr>
          <w:ilvl w:val="0"/>
          <w:numId w:val="1005"/>
        </w:numPr>
      </w:pPr>
      <w:r>
        <w:t xml:space="preserve">Dense vector search for meaning</w:t>
      </w:r>
    </w:p>
    <w:p>
      <w:pPr>
        <w:pStyle w:val="Compact"/>
        <w:numPr>
          <w:ilvl w:val="0"/>
          <w:numId w:val="1005"/>
        </w:numPr>
      </w:pPr>
      <w:r>
        <w:t xml:space="preserve">BM25 keyword search for exact terms</w:t>
      </w:r>
    </w:p>
    <w:p>
      <w:pPr>
        <w:pStyle w:val="Compact"/>
        <w:numPr>
          <w:ilvl w:val="0"/>
          <w:numId w:val="1005"/>
        </w:numPr>
      </w:pPr>
      <w:r>
        <w:t xml:space="preserve">Metadata filtering before retrieval</w:t>
      </w:r>
    </w:p>
    <w:p>
      <w:pPr>
        <w:pStyle w:val="Compact"/>
        <w:numPr>
          <w:ilvl w:val="0"/>
          <w:numId w:val="1005"/>
        </w:numPr>
      </w:pPr>
      <w:r>
        <w:t xml:space="preserve">Reranking only for difficult queries</w:t>
      </w:r>
    </w:p>
    <w:p>
      <w:pPr>
        <w:pStyle w:val="FirstParagraph"/>
      </w:pPr>
      <w:r>
        <w:t xml:space="preserve">Recommended storage:</w:t>
      </w:r>
    </w:p>
    <w:p>
      <w:pPr>
        <w:pStyle w:val="Compact"/>
        <w:numPr>
          <w:ilvl w:val="0"/>
          <w:numId w:val="1006"/>
        </w:numPr>
      </w:pPr>
      <w:r>
        <w:t xml:space="preserve">PostgreSQL as the main knowledge store</w:t>
      </w:r>
    </w:p>
    <w:p>
      <w:pPr>
        <w:pStyle w:val="Compact"/>
        <w:numPr>
          <w:ilvl w:val="0"/>
          <w:numId w:val="1006"/>
        </w:numPr>
      </w:pPr>
      <w:r>
        <w:t xml:space="preserve">pgvector for embeddings</w:t>
      </w:r>
    </w:p>
    <w:p>
      <w:pPr>
        <w:pStyle w:val="Compact"/>
        <w:numPr>
          <w:ilvl w:val="0"/>
          <w:numId w:val="1006"/>
        </w:numPr>
      </w:pPr>
      <w:r>
        <w:t xml:space="preserve">pg_textsearch or equivalent BM25 extension for keyword relevance</w:t>
      </w:r>
    </w:p>
    <w:p>
      <w:pPr>
        <w:pStyle w:val="Compact"/>
        <w:numPr>
          <w:ilvl w:val="0"/>
          <w:numId w:val="1006"/>
        </w:numPr>
      </w:pPr>
      <w:r>
        <w:t xml:space="preserve">Same DB ecosystem to reduce infrastructure cost</w:t>
      </w:r>
    </w:p>
    <w:p>
      <w:pPr>
        <w:pStyle w:val="FirstParagraph"/>
      </w:pPr>
      <w:r>
        <w:t xml:space="preserve">Do not rely on vector search alone. Oil &amp; Gas documents contain exact terms, codes, activity names, abbreviations, standards, and well identifiers. Keyword search is essential.</w:t>
      </w:r>
    </w:p>
    <w:p>
      <w:r>
        <w:pict>
          <v:rect style="width:0;height:1.5pt" o:hralign="center" o:hrstd="t" o:hr="t"/>
        </w:pict>
      </w:r>
    </w:p>
    <w:bookmarkEnd w:id="28"/>
    <w:bookmarkStart w:id="33" w:name="document-ingestion-rules"/>
    <w:p>
      <w:pPr>
        <w:pStyle w:val="Heading2"/>
      </w:pPr>
      <w:r>
        <w:t xml:space="preserve">7. Document Ingestion Rules</w:t>
      </w:r>
    </w:p>
    <w:p>
      <w:pPr>
        <w:pStyle w:val="FirstParagraph"/>
      </w:pPr>
      <w:r>
        <w:t xml:space="preserve">Every document must go through a clean ingestion pipeline before indexing.</w:t>
      </w:r>
    </w:p>
    <w:bookmarkStart w:id="29" w:name="stage-1-cleaning"/>
    <w:p>
      <w:pPr>
        <w:pStyle w:val="Heading3"/>
      </w:pPr>
      <w:r>
        <w:t xml:space="preserve">Stage 1: Cleaning</w:t>
      </w:r>
    </w:p>
    <w:p>
      <w:pPr>
        <w:pStyle w:val="Compact"/>
        <w:numPr>
          <w:ilvl w:val="0"/>
          <w:numId w:val="1007"/>
        </w:numPr>
      </w:pPr>
      <w:r>
        <w:t xml:space="preserve">Remove repeated headers, footers, and page numbers</w:t>
      </w:r>
    </w:p>
    <w:p>
      <w:pPr>
        <w:pStyle w:val="Compact"/>
        <w:numPr>
          <w:ilvl w:val="0"/>
          <w:numId w:val="1007"/>
        </w:numPr>
      </w:pPr>
      <w:r>
        <w:t xml:space="preserve">OCR scanned pages</w:t>
      </w:r>
    </w:p>
    <w:p>
      <w:pPr>
        <w:pStyle w:val="Compact"/>
        <w:numPr>
          <w:ilvl w:val="0"/>
          <w:numId w:val="1007"/>
        </w:numPr>
      </w:pPr>
      <w:r>
        <w:t xml:space="preserve">Preserve section headings</w:t>
      </w:r>
    </w:p>
    <w:p>
      <w:pPr>
        <w:pStyle w:val="Compact"/>
        <w:numPr>
          <w:ilvl w:val="0"/>
          <w:numId w:val="1007"/>
        </w:numPr>
      </w:pPr>
      <w:r>
        <w:t xml:space="preserve">Preserve table structure</w:t>
      </w:r>
    </w:p>
    <w:p>
      <w:pPr>
        <w:pStyle w:val="Compact"/>
        <w:numPr>
          <w:ilvl w:val="0"/>
          <w:numId w:val="1007"/>
        </w:numPr>
      </w:pPr>
      <w:r>
        <w:t xml:space="preserve">Preserve Excel sheet names</w:t>
      </w:r>
    </w:p>
    <w:p>
      <w:pPr>
        <w:pStyle w:val="Compact"/>
        <w:numPr>
          <w:ilvl w:val="0"/>
          <w:numId w:val="1007"/>
        </w:numPr>
      </w:pPr>
      <w:r>
        <w:t xml:space="preserve">Preserve slide titles and speaker notes</w:t>
      </w:r>
    </w:p>
    <w:p>
      <w:pPr>
        <w:pStyle w:val="Compact"/>
        <w:numPr>
          <w:ilvl w:val="0"/>
          <w:numId w:val="1007"/>
        </w:numPr>
      </w:pPr>
      <w:r>
        <w:t xml:space="preserve">Clean KT transcript mistakes</w:t>
      </w:r>
    </w:p>
    <w:p>
      <w:pPr>
        <w:pStyle w:val="Compact"/>
        <w:numPr>
          <w:ilvl w:val="0"/>
          <w:numId w:val="1007"/>
        </w:numPr>
      </w:pPr>
      <w:r>
        <w:t xml:space="preserve">Remove duplicated content</w:t>
      </w:r>
    </w:p>
    <w:bookmarkEnd w:id="29"/>
    <w:bookmarkStart w:id="30" w:name="stage-2-structuring"/>
    <w:p>
      <w:pPr>
        <w:pStyle w:val="Heading3"/>
      </w:pPr>
      <w:r>
        <w:t xml:space="preserve">Stage 2: Structuring</w:t>
      </w:r>
    </w:p>
    <w:p>
      <w:pPr>
        <w:pStyle w:val="FirstParagraph"/>
      </w:pPr>
      <w:r>
        <w:t xml:space="preserve">Store metadata for every chunk:</w:t>
      </w:r>
    </w:p>
    <w:p>
      <w:pPr>
        <w:pStyle w:val="Compact"/>
        <w:numPr>
          <w:ilvl w:val="0"/>
          <w:numId w:val="1008"/>
        </w:numPr>
      </w:pPr>
      <w:r>
        <w:t xml:space="preserve">Source file name</w:t>
      </w:r>
    </w:p>
    <w:p>
      <w:pPr>
        <w:pStyle w:val="Compact"/>
        <w:numPr>
          <w:ilvl w:val="0"/>
          <w:numId w:val="1008"/>
        </w:numPr>
      </w:pPr>
      <w:r>
        <w:t xml:space="preserve">Page number / sheet name / slide number</w:t>
      </w:r>
    </w:p>
    <w:p>
      <w:pPr>
        <w:pStyle w:val="Compact"/>
        <w:numPr>
          <w:ilvl w:val="0"/>
          <w:numId w:val="1008"/>
        </w:numPr>
      </w:pPr>
      <w:r>
        <w:t xml:space="preserve">Section heading</w:t>
      </w:r>
    </w:p>
    <w:p>
      <w:pPr>
        <w:pStyle w:val="Compact"/>
        <w:numPr>
          <w:ilvl w:val="0"/>
          <w:numId w:val="1008"/>
        </w:numPr>
      </w:pPr>
      <w:r>
        <w:t xml:space="preserve">Version</w:t>
      </w:r>
    </w:p>
    <w:p>
      <w:pPr>
        <w:pStyle w:val="Compact"/>
        <w:numPr>
          <w:ilvl w:val="0"/>
          <w:numId w:val="1008"/>
        </w:numPr>
      </w:pPr>
      <w:r>
        <w:t xml:space="preserve">Upload date</w:t>
      </w:r>
    </w:p>
    <w:p>
      <w:pPr>
        <w:pStyle w:val="Compact"/>
        <w:numPr>
          <w:ilvl w:val="0"/>
          <w:numId w:val="1008"/>
        </w:numPr>
      </w:pPr>
      <w:r>
        <w:t xml:space="preserve">Document type</w:t>
      </w:r>
    </w:p>
    <w:p>
      <w:pPr>
        <w:pStyle w:val="Compact"/>
        <w:numPr>
          <w:ilvl w:val="0"/>
          <w:numId w:val="1008"/>
        </w:numPr>
      </w:pPr>
      <w:r>
        <w:t xml:space="preserve">Document owner</w:t>
      </w:r>
    </w:p>
    <w:p>
      <w:pPr>
        <w:pStyle w:val="Compact"/>
        <w:numPr>
          <w:ilvl w:val="0"/>
          <w:numId w:val="1008"/>
        </w:numPr>
      </w:pPr>
      <w:r>
        <w:t xml:space="preserve">Well ID, if available</w:t>
      </w:r>
    </w:p>
    <w:p>
      <w:pPr>
        <w:pStyle w:val="Compact"/>
        <w:numPr>
          <w:ilvl w:val="0"/>
          <w:numId w:val="1008"/>
        </w:numPr>
      </w:pPr>
      <w:r>
        <w:t xml:space="preserve">Activity code, if available</w:t>
      </w:r>
    </w:p>
    <w:p>
      <w:pPr>
        <w:pStyle w:val="Compact"/>
        <w:numPr>
          <w:ilvl w:val="0"/>
          <w:numId w:val="1008"/>
        </w:numPr>
      </w:pPr>
      <w:r>
        <w:t xml:space="preserve">Project phase</w:t>
      </w:r>
    </w:p>
    <w:p>
      <w:pPr>
        <w:pStyle w:val="Compact"/>
        <w:numPr>
          <w:ilvl w:val="0"/>
          <w:numId w:val="1008"/>
        </w:numPr>
      </w:pPr>
      <w:r>
        <w:t xml:space="preserve">Source reliability level</w:t>
      </w:r>
    </w:p>
    <w:p>
      <w:pPr>
        <w:pStyle w:val="Compact"/>
        <w:numPr>
          <w:ilvl w:val="0"/>
          <w:numId w:val="1008"/>
        </w:numPr>
      </w:pPr>
      <w:r>
        <w:t xml:space="preserve">Confidentiality level</w:t>
      </w:r>
    </w:p>
    <w:bookmarkEnd w:id="30"/>
    <w:bookmarkStart w:id="31" w:name="stage-3-chunking"/>
    <w:p>
      <w:pPr>
        <w:pStyle w:val="Heading3"/>
      </w:pPr>
      <w:r>
        <w:t xml:space="preserve">Stage 3: Chunking</w:t>
      </w:r>
    </w:p>
    <w:p>
      <w:pPr>
        <w:pStyle w:val="FirstParagraph"/>
      </w:pPr>
      <w:r>
        <w:t xml:space="preserve">Recommended chunking:</w:t>
      </w:r>
    </w:p>
    <w:p>
      <w:pPr>
        <w:pStyle w:val="Compact"/>
        <w:numPr>
          <w:ilvl w:val="0"/>
          <w:numId w:val="1009"/>
        </w:numPr>
      </w:pPr>
      <w:r>
        <w:t xml:space="preserve">PDF / Word: 350–600 words with overlap</w:t>
      </w:r>
    </w:p>
    <w:p>
      <w:pPr>
        <w:pStyle w:val="Compact"/>
        <w:numPr>
          <w:ilvl w:val="0"/>
          <w:numId w:val="1009"/>
        </w:numPr>
      </w:pPr>
      <w:r>
        <w:t xml:space="preserve">PowerPoint: one slide per chunk plus speaker notes</w:t>
      </w:r>
    </w:p>
    <w:p>
      <w:pPr>
        <w:pStyle w:val="Compact"/>
        <w:numPr>
          <w:ilvl w:val="0"/>
          <w:numId w:val="1009"/>
        </w:numPr>
      </w:pPr>
      <w:r>
        <w:t xml:space="preserve">Excel: do not blindly chunk row by row; preserve table headers and sheet context</w:t>
      </w:r>
    </w:p>
    <w:p>
      <w:pPr>
        <w:pStyle w:val="Compact"/>
        <w:numPr>
          <w:ilvl w:val="0"/>
          <w:numId w:val="1009"/>
        </w:numPr>
      </w:pPr>
      <w:r>
        <w:t xml:space="preserve">KT transcripts: split by topic, not by random token count</w:t>
      </w:r>
    </w:p>
    <w:p>
      <w:pPr>
        <w:pStyle w:val="Compact"/>
        <w:numPr>
          <w:ilvl w:val="0"/>
          <w:numId w:val="1009"/>
        </w:numPr>
      </w:pPr>
      <w:r>
        <w:t xml:space="preserve">Large tables: store as structured records and summary chunks</w:t>
      </w:r>
    </w:p>
    <w:bookmarkEnd w:id="31"/>
    <w:bookmarkStart w:id="32" w:name="stage-4-indexing"/>
    <w:p>
      <w:pPr>
        <w:pStyle w:val="Heading3"/>
      </w:pPr>
      <w:r>
        <w:t xml:space="preserve">Stage 4: Indexing</w:t>
      </w:r>
    </w:p>
    <w:p>
      <w:pPr>
        <w:pStyle w:val="FirstParagraph"/>
      </w:pPr>
      <w:r>
        <w:t xml:space="preserve">For each chunk:</w:t>
      </w:r>
    </w:p>
    <w:p>
      <w:pPr>
        <w:pStyle w:val="Compact"/>
        <w:numPr>
          <w:ilvl w:val="0"/>
          <w:numId w:val="1010"/>
        </w:numPr>
      </w:pPr>
      <w:r>
        <w:t xml:space="preserve">Store raw text</w:t>
      </w:r>
    </w:p>
    <w:p>
      <w:pPr>
        <w:pStyle w:val="Compact"/>
        <w:numPr>
          <w:ilvl w:val="0"/>
          <w:numId w:val="1010"/>
        </w:numPr>
      </w:pPr>
      <w:r>
        <w:t xml:space="preserve">Store cleaned text</w:t>
      </w:r>
    </w:p>
    <w:p>
      <w:pPr>
        <w:pStyle w:val="Compact"/>
        <w:numPr>
          <w:ilvl w:val="0"/>
          <w:numId w:val="1010"/>
        </w:numPr>
      </w:pPr>
      <w:r>
        <w:t xml:space="preserve">Store embedding</w:t>
      </w:r>
    </w:p>
    <w:p>
      <w:pPr>
        <w:pStyle w:val="Compact"/>
        <w:numPr>
          <w:ilvl w:val="0"/>
          <w:numId w:val="1010"/>
        </w:numPr>
      </w:pPr>
      <w:r>
        <w:t xml:space="preserve">Store metadata</w:t>
      </w:r>
    </w:p>
    <w:p>
      <w:pPr>
        <w:pStyle w:val="Compact"/>
        <w:numPr>
          <w:ilvl w:val="0"/>
          <w:numId w:val="1010"/>
        </w:numPr>
      </w:pPr>
      <w:r>
        <w:t xml:space="preserve">Store hash for deduplication</w:t>
      </w:r>
    </w:p>
    <w:p>
      <w:pPr>
        <w:pStyle w:val="Compact"/>
        <w:numPr>
          <w:ilvl w:val="0"/>
          <w:numId w:val="1010"/>
        </w:numPr>
      </w:pPr>
      <w:r>
        <w:t xml:space="preserve">Store source citation reference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live-database-tool"/>
    <w:p>
      <w:pPr>
        <w:pStyle w:val="Heading2"/>
      </w:pPr>
      <w:r>
        <w:t xml:space="preserve">8. Live Database Tool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Safely answer real-time operational questions from the database.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1"/>
        </w:numPr>
      </w:pPr>
      <w:r>
        <w:t xml:space="preserve">Well status</w:t>
      </w:r>
    </w:p>
    <w:p>
      <w:pPr>
        <w:pStyle w:val="Compact"/>
        <w:numPr>
          <w:ilvl w:val="0"/>
          <w:numId w:val="1011"/>
        </w:numPr>
      </w:pPr>
      <w:r>
        <w:t xml:space="preserve">Drilling phase</w:t>
      </w:r>
    </w:p>
    <w:p>
      <w:pPr>
        <w:pStyle w:val="Compact"/>
        <w:numPr>
          <w:ilvl w:val="0"/>
          <w:numId w:val="1011"/>
        </w:numPr>
      </w:pPr>
      <w:r>
        <w:t xml:space="preserve">Activity progress</w:t>
      </w:r>
    </w:p>
    <w:p>
      <w:pPr>
        <w:pStyle w:val="Compact"/>
        <w:numPr>
          <w:ilvl w:val="0"/>
          <w:numId w:val="1011"/>
        </w:numPr>
      </w:pPr>
      <w:r>
        <w:t xml:space="preserve">ACC daily report progress</w:t>
      </w:r>
    </w:p>
    <w:p>
      <w:pPr>
        <w:pStyle w:val="Compact"/>
        <w:numPr>
          <w:ilvl w:val="0"/>
          <w:numId w:val="1011"/>
        </w:numPr>
      </w:pPr>
      <w:r>
        <w:t xml:space="preserve">Actual vs planned progress</w:t>
      </w:r>
    </w:p>
    <w:p>
      <w:pPr>
        <w:pStyle w:val="Compact"/>
        <w:numPr>
          <w:ilvl w:val="0"/>
          <w:numId w:val="1011"/>
        </w:numPr>
      </w:pPr>
      <w:r>
        <w:t xml:space="preserve">Daily quantity</w:t>
      </w:r>
    </w:p>
    <w:p>
      <w:pPr>
        <w:pStyle w:val="Compact"/>
        <w:numPr>
          <w:ilvl w:val="0"/>
          <w:numId w:val="1011"/>
        </w:numPr>
      </w:pPr>
      <w:r>
        <w:t xml:space="preserve">Current depth</w:t>
      </w:r>
    </w:p>
    <w:p>
      <w:pPr>
        <w:pStyle w:val="Compact"/>
        <w:numPr>
          <w:ilvl w:val="0"/>
          <w:numId w:val="1011"/>
        </w:numPr>
      </w:pPr>
      <w:r>
        <w:t xml:space="preserve">Start/end date</w:t>
      </w:r>
    </w:p>
    <w:p>
      <w:pPr>
        <w:pStyle w:val="Compact"/>
        <w:numPr>
          <w:ilvl w:val="0"/>
          <w:numId w:val="1011"/>
        </w:numPr>
      </w:pPr>
      <w:r>
        <w:t xml:space="preserve">Target completion</w:t>
      </w:r>
    </w:p>
    <w:p>
      <w:pPr>
        <w:pStyle w:val="Compact"/>
        <w:numPr>
          <w:ilvl w:val="0"/>
          <w:numId w:val="1011"/>
        </w:numPr>
      </w:pPr>
      <w:r>
        <w:t xml:space="preserve">Equipment status</w:t>
      </w:r>
    </w:p>
    <w:p>
      <w:pPr>
        <w:pStyle w:val="Compact"/>
        <w:numPr>
          <w:ilvl w:val="0"/>
          <w:numId w:val="1011"/>
        </w:numPr>
      </w:pPr>
      <w:r>
        <w:t xml:space="preserve">Well-level and activity-level lookup</w:t>
      </w:r>
    </w:p>
    <w:p>
      <w:pPr>
        <w:pStyle w:val="FirstParagraph"/>
      </w:pPr>
      <w:r>
        <w:t xml:space="preserve">Mandatory safety rules:</w:t>
      </w:r>
    </w:p>
    <w:p>
      <w:pPr>
        <w:pStyle w:val="Compact"/>
        <w:numPr>
          <w:ilvl w:val="0"/>
          <w:numId w:val="1012"/>
        </w:numPr>
      </w:pPr>
      <w:r>
        <w:t xml:space="preserve">Use read-only database credentials</w:t>
      </w:r>
    </w:p>
    <w:p>
      <w:pPr>
        <w:pStyle w:val="Compact"/>
        <w:numPr>
          <w:ilvl w:val="0"/>
          <w:numId w:val="1012"/>
        </w:numPr>
      </w:pPr>
      <w:r>
        <w:t xml:space="preserve">Prefer read replica or reporting database</w:t>
      </w:r>
    </w:p>
    <w:p>
      <w:pPr>
        <w:pStyle w:val="Compact"/>
        <w:numPr>
          <w:ilvl w:val="0"/>
          <w:numId w:val="1012"/>
        </w:numPr>
      </w:pPr>
      <w:r>
        <w:t xml:space="preserve">Allow SELECT only</w:t>
      </w:r>
    </w:p>
    <w:p>
      <w:pPr>
        <w:pStyle w:val="Compact"/>
        <w:numPr>
          <w:ilvl w:val="0"/>
          <w:numId w:val="1012"/>
        </w:numPr>
      </w:pPr>
      <w:r>
        <w:t xml:space="preserve">Use table allowlist</w:t>
      </w:r>
    </w:p>
    <w:p>
      <w:pPr>
        <w:pStyle w:val="Compact"/>
        <w:numPr>
          <w:ilvl w:val="0"/>
          <w:numId w:val="1012"/>
        </w:numPr>
      </w:pPr>
      <w:r>
        <w:t xml:space="preserve">Use column allowlist</w:t>
      </w:r>
    </w:p>
    <w:p>
      <w:pPr>
        <w:pStyle w:val="Compact"/>
        <w:numPr>
          <w:ilvl w:val="0"/>
          <w:numId w:val="1012"/>
        </w:numPr>
      </w:pPr>
      <w:r>
        <w:t xml:space="preserve">Use row-level access control</w:t>
      </w:r>
    </w:p>
    <w:p>
      <w:pPr>
        <w:pStyle w:val="Compact"/>
        <w:numPr>
          <w:ilvl w:val="0"/>
          <w:numId w:val="1012"/>
        </w:numPr>
      </w:pPr>
      <w:r>
        <w:t xml:space="preserve">Use role-based filtering</w:t>
      </w:r>
    </w:p>
    <w:p>
      <w:pPr>
        <w:pStyle w:val="Compact"/>
        <w:numPr>
          <w:ilvl w:val="0"/>
          <w:numId w:val="1012"/>
        </w:numPr>
      </w:pPr>
      <w:r>
        <w:t xml:space="preserve">Block sensitive fields</w:t>
      </w:r>
    </w:p>
    <w:p>
      <w:pPr>
        <w:pStyle w:val="Compact"/>
        <w:numPr>
          <w:ilvl w:val="0"/>
          <w:numId w:val="1012"/>
        </w:numPr>
      </w:pPr>
      <w:r>
        <w:t xml:space="preserve">Validate every generated query</w:t>
      </w:r>
    </w:p>
    <w:p>
      <w:pPr>
        <w:pStyle w:val="Compact"/>
        <w:numPr>
          <w:ilvl w:val="0"/>
          <w:numId w:val="1012"/>
        </w:numPr>
      </w:pPr>
      <w:r>
        <w:t xml:space="preserve">Log every executed query</w:t>
      </w:r>
    </w:p>
    <w:p>
      <w:pPr>
        <w:pStyle w:val="Compact"/>
        <w:numPr>
          <w:ilvl w:val="0"/>
          <w:numId w:val="1012"/>
        </w:numPr>
      </w:pPr>
      <w:r>
        <w:t xml:space="preserve">Set timeout and row limits</w:t>
      </w:r>
    </w:p>
    <w:p>
      <w:pPr>
        <w:pStyle w:val="Compact"/>
        <w:numPr>
          <w:ilvl w:val="0"/>
          <w:numId w:val="1012"/>
        </w:numPr>
      </w:pPr>
      <w:r>
        <w:t xml:space="preserve">Never expose raw database errors to users</w:t>
      </w:r>
    </w:p>
    <w:p>
      <w:pPr>
        <w:pStyle w:val="FirstParagraph"/>
      </w:pPr>
      <w:r>
        <w:t xml:space="preserve">The LLM must never directly execute SQL.</w:t>
      </w:r>
    </w:p>
    <w:p>
      <w:pPr>
        <w:pStyle w:val="BodyText"/>
      </w:pPr>
      <w:r>
        <w:t xml:space="preserve">Correct flow:</w:t>
      </w:r>
    </w:p>
    <w:p>
      <w:pPr>
        <w:pStyle w:val="BodyText"/>
      </w:pPr>
      <w:r>
        <w:t xml:space="preserve">Natural language question</w:t>
      </w:r>
      <w:r>
        <w:br/>
      </w:r>
      <w:r>
        <w:t xml:space="preserve">→ Structured data request</w:t>
      </w:r>
      <w:r>
        <w:br/>
      </w:r>
      <w:r>
        <w:t xml:space="preserve">→ Safe query plan</w:t>
      </w:r>
      <w:r>
        <w:br/>
      </w:r>
      <w:r>
        <w:t xml:space="preserve">→ SQL validation</w:t>
      </w:r>
      <w:r>
        <w:br/>
      </w:r>
      <w:r>
        <w:t xml:space="preserve">→ Execution through backend</w:t>
      </w:r>
      <w:r>
        <w:br/>
      </w:r>
      <w:r>
        <w:t xml:space="preserve">→ Result formatting</w:t>
      </w:r>
      <w:r>
        <w:br/>
      </w:r>
      <w:r>
        <w:t xml:space="preserve">→ Answer synthesis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“Show wells currently in drilling phase.”</w:t>
      </w:r>
    </w:p>
    <w:p>
      <w:pPr>
        <w:pStyle w:val="BodyText"/>
      </w:pPr>
      <w:r>
        <w:t xml:space="preserve">The AI should not directly write and execute SQL.</w:t>
      </w:r>
    </w:p>
    <w:p>
      <w:pPr>
        <w:pStyle w:val="BodyText"/>
      </w:pPr>
      <w:r>
        <w:t xml:space="preserve">It should create a structured request:</w:t>
      </w:r>
    </w:p>
    <w:p>
      <w:pPr>
        <w:pStyle w:val="BodyText"/>
      </w:pPr>
      <w:r>
        <w:t xml:space="preserve">Intent: well_status_lookup</w:t>
      </w:r>
      <w:r>
        <w:br/>
      </w:r>
      <w:r>
        <w:t xml:space="preserve">Filter: phase = drilling</w:t>
      </w:r>
      <w:r>
        <w:br/>
      </w:r>
      <w:r>
        <w:t xml:space="preserve">Columns: well_id, well_name, phase, progress_percent, current_depth, last_report_date</w:t>
      </w:r>
      <w:r>
        <w:br/>
      </w:r>
      <w:r>
        <w:t xml:space="preserve">Limit: approved default limit</w:t>
      </w:r>
    </w:p>
    <w:p>
      <w:pPr>
        <w:pStyle w:val="BodyText"/>
      </w:pPr>
      <w:r>
        <w:t xml:space="preserve">The backend then generates and executes safe SQL.</w:t>
      </w:r>
    </w:p>
    <w:p>
      <w:r>
        <w:pict>
          <v:rect style="width:0;height:1.5pt" o:hralign="center" o:hrstd="t" o:hr="t"/>
        </w:pict>
      </w:r>
    </w:p>
    <w:bookmarkEnd w:id="34"/>
    <w:bookmarkStart w:id="35" w:name="analytics-predictive-tool"/>
    <w:p>
      <w:pPr>
        <w:pStyle w:val="Heading2"/>
      </w:pPr>
      <w:r>
        <w:t xml:space="preserve">9. Analytics / Predictive Tool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Forecast well/activity outcomes using operational data.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3"/>
        </w:numPr>
      </w:pPr>
      <w:r>
        <w:t xml:space="preserve">Completion date prediction</w:t>
      </w:r>
    </w:p>
    <w:p>
      <w:pPr>
        <w:pStyle w:val="Compact"/>
        <w:numPr>
          <w:ilvl w:val="0"/>
          <w:numId w:val="1013"/>
        </w:numPr>
      </w:pPr>
      <w:r>
        <w:t xml:space="preserve">Delay probability</w:t>
      </w:r>
    </w:p>
    <w:p>
      <w:pPr>
        <w:pStyle w:val="Compact"/>
        <w:numPr>
          <w:ilvl w:val="0"/>
          <w:numId w:val="1013"/>
        </w:numPr>
      </w:pPr>
      <w:r>
        <w:t xml:space="preserve">Planned vs actual comparison</w:t>
      </w:r>
    </w:p>
    <w:p>
      <w:pPr>
        <w:pStyle w:val="Compact"/>
        <w:numPr>
          <w:ilvl w:val="0"/>
          <w:numId w:val="1013"/>
        </w:numPr>
      </w:pPr>
      <w:r>
        <w:t xml:space="preserve">Required rate vs current rate</w:t>
      </w:r>
    </w:p>
    <w:p>
      <w:pPr>
        <w:pStyle w:val="Compact"/>
        <w:numPr>
          <w:ilvl w:val="0"/>
          <w:numId w:val="1013"/>
        </w:numPr>
      </w:pPr>
      <w:r>
        <w:t xml:space="preserve">Remaining quantity estimate</w:t>
      </w:r>
    </w:p>
    <w:p>
      <w:pPr>
        <w:pStyle w:val="Compact"/>
        <w:numPr>
          <w:ilvl w:val="0"/>
          <w:numId w:val="1013"/>
        </w:numPr>
      </w:pPr>
      <w:r>
        <w:t xml:space="preserve">Schedule risk</w:t>
      </w:r>
    </w:p>
    <w:p>
      <w:pPr>
        <w:pStyle w:val="Compact"/>
        <w:numPr>
          <w:ilvl w:val="0"/>
          <w:numId w:val="1013"/>
        </w:numPr>
      </w:pPr>
      <w:r>
        <w:t xml:space="preserve">Cost impact estimate</w:t>
      </w:r>
    </w:p>
    <w:p>
      <w:pPr>
        <w:pStyle w:val="Compact"/>
        <w:numPr>
          <w:ilvl w:val="0"/>
          <w:numId w:val="1013"/>
        </w:numPr>
      </w:pPr>
      <w:r>
        <w:t xml:space="preserve">Bottleneck detection</w:t>
      </w:r>
    </w:p>
    <w:p>
      <w:pPr>
        <w:pStyle w:val="FirstParagraph"/>
      </w:pPr>
      <w:r>
        <w:t xml:space="preserve">Important rule:</w:t>
      </w:r>
    </w:p>
    <w:p>
      <w:pPr>
        <w:pStyle w:val="BodyText"/>
      </w:pPr>
      <w:r>
        <w:t xml:space="preserve">The LLM should not perform the actual prediction calculation.</w:t>
      </w:r>
    </w:p>
    <w:p>
      <w:pPr>
        <w:pStyle w:val="BodyText"/>
      </w:pPr>
      <w:r>
        <w:t xml:space="preserve">The analytics engine should calculate.</w:t>
      </w:r>
      <w:r>
        <w:br/>
      </w:r>
      <w:r>
        <w:t xml:space="preserve">The LLM should explain.</w:t>
      </w:r>
    </w:p>
    <w:p>
      <w:pPr>
        <w:pStyle w:val="BodyText"/>
      </w:pPr>
      <w:r>
        <w:t xml:space="preserve">Recommended Phase 1 analytics:</w:t>
      </w:r>
    </w:p>
    <w:p>
      <w:pPr>
        <w:pStyle w:val="Compact"/>
        <w:numPr>
          <w:ilvl w:val="0"/>
          <w:numId w:val="1014"/>
        </w:numPr>
      </w:pPr>
      <w:r>
        <w:t xml:space="preserve">Planned quantity</w:t>
      </w:r>
    </w:p>
    <w:p>
      <w:pPr>
        <w:pStyle w:val="Compact"/>
        <w:numPr>
          <w:ilvl w:val="0"/>
          <w:numId w:val="1014"/>
        </w:numPr>
      </w:pPr>
      <w:r>
        <w:t xml:space="preserve">Completed quantity</w:t>
      </w:r>
    </w:p>
    <w:p>
      <w:pPr>
        <w:pStyle w:val="Compact"/>
        <w:numPr>
          <w:ilvl w:val="0"/>
          <w:numId w:val="1014"/>
        </w:numPr>
      </w:pPr>
      <w:r>
        <w:t xml:space="preserve">Remaining quantity</w:t>
      </w:r>
    </w:p>
    <w:p>
      <w:pPr>
        <w:pStyle w:val="Compact"/>
        <w:numPr>
          <w:ilvl w:val="0"/>
          <w:numId w:val="1014"/>
        </w:numPr>
      </w:pPr>
      <w:r>
        <w:t xml:space="preserve">Norm rate</w:t>
      </w:r>
    </w:p>
    <w:p>
      <w:pPr>
        <w:pStyle w:val="Compact"/>
        <w:numPr>
          <w:ilvl w:val="0"/>
          <w:numId w:val="1014"/>
        </w:numPr>
      </w:pPr>
      <w:r>
        <w:t xml:space="preserve">Actual going rate</w:t>
      </w:r>
    </w:p>
    <w:p>
      <w:pPr>
        <w:pStyle w:val="Compact"/>
        <w:numPr>
          <w:ilvl w:val="0"/>
          <w:numId w:val="1014"/>
        </w:numPr>
      </w:pPr>
      <w:r>
        <w:t xml:space="preserve">Required recovery rate</w:t>
      </w:r>
    </w:p>
    <w:p>
      <w:pPr>
        <w:pStyle w:val="Compact"/>
        <w:numPr>
          <w:ilvl w:val="0"/>
          <w:numId w:val="1014"/>
        </w:numPr>
      </w:pPr>
      <w:r>
        <w:t xml:space="preserve">Expected completion date</w:t>
      </w:r>
    </w:p>
    <w:p>
      <w:pPr>
        <w:pStyle w:val="Compact"/>
        <w:numPr>
          <w:ilvl w:val="0"/>
          <w:numId w:val="1014"/>
        </w:numPr>
      </w:pPr>
      <w:r>
        <w:t xml:space="preserve">Delay risk level</w:t>
      </w:r>
    </w:p>
    <w:p>
      <w:pPr>
        <w:pStyle w:val="Compact"/>
        <w:numPr>
          <w:ilvl w:val="0"/>
          <w:numId w:val="1014"/>
        </w:numPr>
      </w:pPr>
      <w:r>
        <w:t xml:space="preserve">Confidence level</w:t>
      </w:r>
    </w:p>
    <w:p>
      <w:pPr>
        <w:pStyle w:val="Compact"/>
        <w:numPr>
          <w:ilvl w:val="0"/>
          <w:numId w:val="1014"/>
        </w:numPr>
      </w:pPr>
      <w:r>
        <w:t xml:space="preserve">Data freshness</w:t>
      </w:r>
    </w:p>
    <w:p>
      <w:pPr>
        <w:pStyle w:val="FirstParagraph"/>
      </w:pPr>
      <w:r>
        <w:t xml:space="preserve">Recommended formula logic:</w:t>
      </w:r>
    </w:p>
    <w:p>
      <w:pPr>
        <w:pStyle w:val="Compact"/>
        <w:numPr>
          <w:ilvl w:val="0"/>
          <w:numId w:val="1015"/>
        </w:numPr>
      </w:pPr>
      <w:r>
        <w:t xml:space="preserve">Required rate = planned quantity / planned duration</w:t>
      </w:r>
    </w:p>
    <w:p>
      <w:pPr>
        <w:pStyle w:val="Compact"/>
        <w:numPr>
          <w:ilvl w:val="0"/>
          <w:numId w:val="1015"/>
        </w:numPr>
      </w:pPr>
      <w:r>
        <w:t xml:space="preserve">Current rate = completed quantity / days elapsed</w:t>
      </w:r>
    </w:p>
    <w:p>
      <w:pPr>
        <w:pStyle w:val="Compact"/>
        <w:numPr>
          <w:ilvl w:val="0"/>
          <w:numId w:val="1015"/>
        </w:numPr>
      </w:pPr>
      <w:r>
        <w:t xml:space="preserve">Remaining duration = remaining quantity / current rate</w:t>
      </w:r>
    </w:p>
    <w:p>
      <w:pPr>
        <w:pStyle w:val="Compact"/>
        <w:numPr>
          <w:ilvl w:val="0"/>
          <w:numId w:val="1015"/>
        </w:numPr>
      </w:pPr>
      <w:r>
        <w:t xml:space="preserve">Recovery gap = required rate - current rate</w:t>
      </w:r>
    </w:p>
    <w:p>
      <w:pPr>
        <w:pStyle w:val="Compact"/>
        <w:numPr>
          <w:ilvl w:val="0"/>
          <w:numId w:val="1015"/>
        </w:numPr>
      </w:pPr>
      <w:r>
        <w:t xml:space="preserve">Delay risk = based on current rate, remaining days, and historical variance</w:t>
      </w:r>
    </w:p>
    <w:p>
      <w:pPr>
        <w:pStyle w:val="FirstParagraph"/>
      </w:pPr>
      <w:r>
        <w:t xml:space="preserve">Only after enough historical data is collected should we add ML-based forecasting.</w:t>
      </w:r>
    </w:p>
    <w:p>
      <w:r>
        <w:pict>
          <v:rect style="width:0;height:1.5pt" o:hralign="center" o:hrstd="t" o:hr="t"/>
        </w:pict>
      </w:r>
    </w:p>
    <w:bookmarkEnd w:id="35"/>
    <w:bookmarkStart w:id="36" w:name="prescriptive-recommendation-tool"/>
    <w:p>
      <w:pPr>
        <w:pStyle w:val="Heading2"/>
      </w:pPr>
      <w:r>
        <w:t xml:space="preserve">10. Prescriptive / Recommendation Tool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Recommend practical actions based on current progress, past cases, documents, and business rules.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6"/>
        </w:numPr>
      </w:pPr>
      <w:r>
        <w:t xml:space="preserve">Schedule recovery</w:t>
      </w:r>
    </w:p>
    <w:p>
      <w:pPr>
        <w:pStyle w:val="Compact"/>
        <w:numPr>
          <w:ilvl w:val="0"/>
          <w:numId w:val="1016"/>
        </w:numPr>
      </w:pPr>
      <w:r>
        <w:t xml:space="preserve">Resource allocation</w:t>
      </w:r>
    </w:p>
    <w:p>
      <w:pPr>
        <w:pStyle w:val="Compact"/>
        <w:numPr>
          <w:ilvl w:val="0"/>
          <w:numId w:val="1016"/>
        </w:numPr>
      </w:pPr>
      <w:r>
        <w:t xml:space="preserve">Shift planning</w:t>
      </w:r>
    </w:p>
    <w:p>
      <w:pPr>
        <w:pStyle w:val="Compact"/>
        <w:numPr>
          <w:ilvl w:val="0"/>
          <w:numId w:val="1016"/>
        </w:numPr>
      </w:pPr>
      <w:r>
        <w:t xml:space="preserve">NPT reduction</w:t>
      </w:r>
    </w:p>
    <w:p>
      <w:pPr>
        <w:pStyle w:val="Compact"/>
        <w:numPr>
          <w:ilvl w:val="0"/>
          <w:numId w:val="1016"/>
        </w:numPr>
      </w:pPr>
      <w:r>
        <w:t xml:space="preserve">Operational risk mitigation</w:t>
      </w:r>
    </w:p>
    <w:p>
      <w:pPr>
        <w:pStyle w:val="Compact"/>
        <w:numPr>
          <w:ilvl w:val="0"/>
          <w:numId w:val="1016"/>
        </w:numPr>
      </w:pPr>
      <w:r>
        <w:t xml:space="preserve">Management escalation</w:t>
      </w:r>
    </w:p>
    <w:p>
      <w:pPr>
        <w:pStyle w:val="Compact"/>
        <w:numPr>
          <w:ilvl w:val="0"/>
          <w:numId w:val="1016"/>
        </w:numPr>
      </w:pPr>
      <w:r>
        <w:t xml:space="preserve">Material readiness checks</w:t>
      </w:r>
    </w:p>
    <w:p>
      <w:pPr>
        <w:pStyle w:val="Compact"/>
        <w:numPr>
          <w:ilvl w:val="0"/>
          <w:numId w:val="1016"/>
        </w:numPr>
      </w:pPr>
      <w:r>
        <w:t xml:space="preserve">Crew productivity actions</w:t>
      </w:r>
    </w:p>
    <w:p>
      <w:pPr>
        <w:pStyle w:val="FirstParagraph"/>
      </w:pPr>
      <w:r>
        <w:t xml:space="preserve">Recommendation logic should include:</w:t>
      </w:r>
    </w:p>
    <w:p>
      <w:pPr>
        <w:pStyle w:val="Compact"/>
        <w:numPr>
          <w:ilvl w:val="0"/>
          <w:numId w:val="1017"/>
        </w:numPr>
      </w:pPr>
      <w:r>
        <w:t xml:space="preserve">Current live data</w:t>
      </w:r>
    </w:p>
    <w:p>
      <w:pPr>
        <w:pStyle w:val="Compact"/>
        <w:numPr>
          <w:ilvl w:val="0"/>
          <w:numId w:val="1017"/>
        </w:numPr>
      </w:pPr>
      <w:r>
        <w:t xml:space="preserve">Forecasted risk</w:t>
      </w:r>
    </w:p>
    <w:p>
      <w:pPr>
        <w:pStyle w:val="Compact"/>
        <w:numPr>
          <w:ilvl w:val="0"/>
          <w:numId w:val="1017"/>
        </w:numPr>
      </w:pPr>
      <w:r>
        <w:t xml:space="preserve">Similar historical cases</w:t>
      </w:r>
    </w:p>
    <w:p>
      <w:pPr>
        <w:pStyle w:val="Compact"/>
        <w:numPr>
          <w:ilvl w:val="0"/>
          <w:numId w:val="1017"/>
        </w:numPr>
      </w:pPr>
      <w:r>
        <w:t xml:space="preserve">Applicable procedure/document reference</w:t>
      </w:r>
    </w:p>
    <w:p>
      <w:pPr>
        <w:pStyle w:val="Compact"/>
        <w:numPr>
          <w:ilvl w:val="0"/>
          <w:numId w:val="1017"/>
        </w:numPr>
      </w:pPr>
      <w:r>
        <w:t xml:space="preserve">Cost impact</w:t>
      </w:r>
    </w:p>
    <w:p>
      <w:pPr>
        <w:pStyle w:val="Compact"/>
        <w:numPr>
          <w:ilvl w:val="0"/>
          <w:numId w:val="1017"/>
        </w:numPr>
      </w:pPr>
      <w:r>
        <w:t xml:space="preserve">Time recovery estimate</w:t>
      </w:r>
    </w:p>
    <w:p>
      <w:pPr>
        <w:pStyle w:val="Compact"/>
        <w:numPr>
          <w:ilvl w:val="0"/>
          <w:numId w:val="1017"/>
        </w:numPr>
      </w:pPr>
      <w:r>
        <w:t xml:space="preserve">Risk level</w:t>
      </w:r>
    </w:p>
    <w:p>
      <w:pPr>
        <w:pStyle w:val="Compact"/>
        <w:numPr>
          <w:ilvl w:val="0"/>
          <w:numId w:val="1017"/>
        </w:numPr>
      </w:pPr>
      <w:r>
        <w:t xml:space="preserve">Human approval requirement</w:t>
      </w:r>
    </w:p>
    <w:p>
      <w:pPr>
        <w:pStyle w:val="FirstParagraph"/>
      </w:pPr>
      <w:r>
        <w:t xml:space="preserve">Example response structure:</w:t>
      </w:r>
    </w:p>
    <w:p>
      <w:pPr>
        <w:pStyle w:val="BodyText"/>
      </w:pPr>
      <w:r>
        <w:t xml:space="preserve">Recommended action 1: Add additional crew</w:t>
      </w:r>
      <w:r>
        <w:br/>
      </w:r>
      <w:r>
        <w:t xml:space="preserve">Expected recovery: 2–4 days</w:t>
      </w:r>
      <w:r>
        <w:br/>
      </w:r>
      <w:r>
        <w:t xml:space="preserve">Cost impact: medium</w:t>
      </w:r>
      <w:r>
        <w:br/>
      </w:r>
      <w:r>
        <w:t xml:space="preserve">Risk: low</w:t>
      </w:r>
      <w:r>
        <w:br/>
      </w:r>
      <w:r>
        <w:t xml:space="preserve">Evidence: similar past activities and current rate gap</w:t>
      </w:r>
    </w:p>
    <w:p>
      <w:pPr>
        <w:pStyle w:val="BodyText"/>
      </w:pPr>
      <w:r>
        <w:t xml:space="preserve">Recommended action 2: Approve night shift</w:t>
      </w:r>
      <w:r>
        <w:br/>
      </w:r>
      <w:r>
        <w:t xml:space="preserve">Expected recovery: 4–6 days</w:t>
      </w:r>
      <w:r>
        <w:br/>
      </w:r>
      <w:r>
        <w:t xml:space="preserve">Cost impact: high</w:t>
      </w:r>
      <w:r>
        <w:br/>
      </w:r>
      <w:r>
        <w:t xml:space="preserve">Risk: medium</w:t>
      </w:r>
      <w:r>
        <w:br/>
      </w:r>
      <w:r>
        <w:t xml:space="preserve">Approval required: operations manager</w:t>
      </w:r>
    </w:p>
    <w:p>
      <w:pPr>
        <w:pStyle w:val="BodyText"/>
      </w:pPr>
      <w:r>
        <w:t xml:space="preserve">Recommended action 3: Immediate material readiness review</w:t>
      </w:r>
      <w:r>
        <w:br/>
      </w:r>
      <w:r>
        <w:t xml:space="preserve">Expected recovery: prevents further delay</w:t>
      </w:r>
      <w:r>
        <w:br/>
      </w:r>
      <w:r>
        <w:t xml:space="preserve">Cost impact: low</w:t>
      </w:r>
      <w:r>
        <w:br/>
      </w:r>
      <w:r>
        <w:t xml:space="preserve">Risk: low</w:t>
      </w:r>
    </w:p>
    <w:p>
      <w:pPr>
        <w:pStyle w:val="BodyText"/>
      </w:pPr>
      <w:r>
        <w:t xml:space="preserve">The AI should never present high-cost or safety-impacting recommendations as final authority.</w:t>
      </w:r>
    </w:p>
    <w:p>
      <w:r>
        <w:pict>
          <v:rect style="width:0;height:1.5pt" o:hralign="center" o:hrstd="t" o:hr="t"/>
        </w:pict>
      </w:r>
    </w:p>
    <w:bookmarkEnd w:id="36"/>
    <w:bookmarkStart w:id="37" w:name="human-review-tool"/>
    <w:p>
      <w:pPr>
        <w:pStyle w:val="Heading2"/>
      </w:pPr>
      <w:r>
        <w:t xml:space="preserve">11. Human Review Tool</w:t>
      </w:r>
    </w:p>
    <w:p>
      <w:pPr>
        <w:pStyle w:val="FirstParagraph"/>
      </w:pPr>
      <w:r>
        <w:t xml:space="preserve">Add a human escalation layer.</w:t>
      </w:r>
    </w:p>
    <w:p>
      <w:pPr>
        <w:pStyle w:val="BodyText"/>
      </w:pPr>
      <w:r>
        <w:t xml:space="preserve">Human review is mandatory for:</w:t>
      </w:r>
    </w:p>
    <w:p>
      <w:pPr>
        <w:pStyle w:val="Compact"/>
        <w:numPr>
          <w:ilvl w:val="0"/>
          <w:numId w:val="1018"/>
        </w:numPr>
      </w:pPr>
      <w:r>
        <w:t xml:space="preserve">High-cost operational decisions</w:t>
      </w:r>
    </w:p>
    <w:p>
      <w:pPr>
        <w:pStyle w:val="Compact"/>
        <w:numPr>
          <w:ilvl w:val="0"/>
          <w:numId w:val="1018"/>
        </w:numPr>
      </w:pPr>
      <w:r>
        <w:t xml:space="preserve">Safety-critical recommendations</w:t>
      </w:r>
    </w:p>
    <w:p>
      <w:pPr>
        <w:pStyle w:val="Compact"/>
        <w:numPr>
          <w:ilvl w:val="0"/>
          <w:numId w:val="1018"/>
        </w:numPr>
      </w:pPr>
      <w:r>
        <w:t xml:space="preserve">Contractual or commercial impact</w:t>
      </w:r>
    </w:p>
    <w:p>
      <w:pPr>
        <w:pStyle w:val="Compact"/>
        <w:numPr>
          <w:ilvl w:val="0"/>
          <w:numId w:val="1018"/>
        </w:numPr>
      </w:pPr>
      <w:r>
        <w:t xml:space="preserve">Schedule changes</w:t>
      </w:r>
    </w:p>
    <w:p>
      <w:pPr>
        <w:pStyle w:val="Compact"/>
        <w:numPr>
          <w:ilvl w:val="0"/>
          <w:numId w:val="1018"/>
        </w:numPr>
      </w:pPr>
      <w:r>
        <w:t xml:space="preserve">Manpower changes</w:t>
      </w:r>
    </w:p>
    <w:p>
      <w:pPr>
        <w:pStyle w:val="Compact"/>
        <w:numPr>
          <w:ilvl w:val="0"/>
          <w:numId w:val="1018"/>
        </w:numPr>
      </w:pPr>
      <w:r>
        <w:t xml:space="preserve">Night shift approvals</w:t>
      </w:r>
    </w:p>
    <w:p>
      <w:pPr>
        <w:pStyle w:val="Compact"/>
        <w:numPr>
          <w:ilvl w:val="0"/>
          <w:numId w:val="1018"/>
        </w:numPr>
      </w:pPr>
      <w:r>
        <w:t xml:space="preserve">Conflicting data between ACC, DB, SAP, or manual reports</w:t>
      </w:r>
    </w:p>
    <w:p>
      <w:pPr>
        <w:pStyle w:val="Compact"/>
        <w:numPr>
          <w:ilvl w:val="0"/>
          <w:numId w:val="1018"/>
        </w:numPr>
      </w:pPr>
      <w:r>
        <w:t xml:space="preserve">Low-confidence predictions</w:t>
      </w:r>
    </w:p>
    <w:p>
      <w:pPr>
        <w:pStyle w:val="FirstParagraph"/>
      </w:pPr>
      <w:r>
        <w:t xml:space="preserve">Example response:</w:t>
      </w:r>
    </w:p>
    <w:p>
      <w:pPr>
        <w:pStyle w:val="BodyText"/>
      </w:pPr>
      <w:r>
        <w:t xml:space="preserve">“This recommendation requires review and approval by the operations manager before execution.”</w:t>
      </w:r>
    </w:p>
    <w:p>
      <w:r>
        <w:pict>
          <v:rect style="width:0;height:1.5pt" o:hralign="center" o:hrstd="t" o:hr="t"/>
        </w:pict>
      </w:r>
    </w:p>
    <w:bookmarkEnd w:id="37"/>
    <w:bookmarkStart w:id="38" w:name="evidence-validation-layer"/>
    <w:p>
      <w:pPr>
        <w:pStyle w:val="Heading2"/>
      </w:pPr>
      <w:r>
        <w:t xml:space="preserve">12. Evidence Validation Layer</w:t>
      </w:r>
    </w:p>
    <w:p>
      <w:pPr>
        <w:pStyle w:val="FirstParagraph"/>
      </w:pPr>
      <w:r>
        <w:t xml:space="preserve">Before the final answer is shown to the user, validate:</w:t>
      </w:r>
    </w:p>
    <w:p>
      <w:pPr>
        <w:pStyle w:val="Compact"/>
        <w:numPr>
          <w:ilvl w:val="0"/>
          <w:numId w:val="1019"/>
        </w:numPr>
      </w:pPr>
      <w:r>
        <w:t xml:space="preserve">Did the answer use the correct source?</w:t>
      </w:r>
    </w:p>
    <w:p>
      <w:pPr>
        <w:pStyle w:val="Compact"/>
        <w:numPr>
          <w:ilvl w:val="0"/>
          <w:numId w:val="1019"/>
        </w:numPr>
      </w:pPr>
      <w:r>
        <w:t xml:space="preserve">Are citations available?</w:t>
      </w:r>
    </w:p>
    <w:p>
      <w:pPr>
        <w:pStyle w:val="Compact"/>
        <w:numPr>
          <w:ilvl w:val="0"/>
          <w:numId w:val="1019"/>
        </w:numPr>
      </w:pPr>
      <w:r>
        <w:t xml:space="preserve">Is the database result fresh?</w:t>
      </w:r>
    </w:p>
    <w:p>
      <w:pPr>
        <w:pStyle w:val="Compact"/>
        <w:numPr>
          <w:ilvl w:val="0"/>
          <w:numId w:val="1019"/>
        </w:numPr>
      </w:pPr>
      <w:r>
        <w:t xml:space="preserve">Are assumptions clearly stated?</w:t>
      </w:r>
    </w:p>
    <w:p>
      <w:pPr>
        <w:pStyle w:val="Compact"/>
        <w:numPr>
          <w:ilvl w:val="0"/>
          <w:numId w:val="1019"/>
        </w:numPr>
      </w:pPr>
      <w:r>
        <w:t xml:space="preserve">Is the confidence level included?</w:t>
      </w:r>
    </w:p>
    <w:p>
      <w:pPr>
        <w:pStyle w:val="Compact"/>
        <w:numPr>
          <w:ilvl w:val="0"/>
          <w:numId w:val="1019"/>
        </w:numPr>
      </w:pPr>
      <w:r>
        <w:t xml:space="preserve">Is the recommendation within the user’s permission level?</w:t>
      </w:r>
    </w:p>
    <w:p>
      <w:pPr>
        <w:pStyle w:val="Compact"/>
        <w:numPr>
          <w:ilvl w:val="0"/>
          <w:numId w:val="1019"/>
        </w:numPr>
      </w:pPr>
      <w:r>
        <w:t xml:space="preserve">Is human approval required?</w:t>
      </w:r>
    </w:p>
    <w:p>
      <w:pPr>
        <w:pStyle w:val="Compact"/>
        <w:numPr>
          <w:ilvl w:val="0"/>
          <w:numId w:val="1019"/>
        </w:numPr>
      </w:pPr>
      <w:r>
        <w:t xml:space="preserve">Is the answer hallucination-prone?</w:t>
      </w:r>
    </w:p>
    <w:p>
      <w:pPr>
        <w:pStyle w:val="FirstParagraph"/>
      </w:pPr>
      <w:r>
        <w:t xml:space="preserve">If the system cannot validate the answer, it should say so clearly.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“I could not find enough verified information to answer this confidently.”</w:t>
      </w:r>
    </w:p>
    <w:p>
      <w:r>
        <w:pict>
          <v:rect style="width:0;height:1.5pt" o:hralign="center" o:hrstd="t" o:hr="t"/>
        </w:pict>
      </w:r>
    </w:p>
    <w:bookmarkEnd w:id="38"/>
    <w:bookmarkStart w:id="39" w:name="final-answer-format"/>
    <w:p>
      <w:pPr>
        <w:pStyle w:val="Heading2"/>
      </w:pPr>
      <w:r>
        <w:t xml:space="preserve">13. Final Answer Format</w:t>
      </w:r>
    </w:p>
    <w:p>
      <w:pPr>
        <w:pStyle w:val="FirstParagraph"/>
      </w:pPr>
      <w:r>
        <w:t xml:space="preserve">Every important answer should follow this structure:</w:t>
      </w:r>
    </w:p>
    <w:p>
      <w:pPr>
        <w:pStyle w:val="Compact"/>
        <w:numPr>
          <w:ilvl w:val="0"/>
          <w:numId w:val="1020"/>
        </w:numPr>
      </w:pPr>
      <w:r>
        <w:t xml:space="preserve">Direct answer</w:t>
      </w:r>
    </w:p>
    <w:p>
      <w:pPr>
        <w:pStyle w:val="Compact"/>
        <w:numPr>
          <w:ilvl w:val="0"/>
          <w:numId w:val="1020"/>
        </w:numPr>
      </w:pPr>
      <w:r>
        <w:t xml:space="preserve">Evidence</w:t>
      </w:r>
    </w:p>
    <w:p>
      <w:pPr>
        <w:pStyle w:val="Compact"/>
        <w:numPr>
          <w:ilvl w:val="0"/>
          <w:numId w:val="1020"/>
        </w:numPr>
      </w:pPr>
      <w:r>
        <w:t xml:space="preserve">Source / citation</w:t>
      </w:r>
    </w:p>
    <w:p>
      <w:pPr>
        <w:pStyle w:val="Compact"/>
        <w:numPr>
          <w:ilvl w:val="0"/>
          <w:numId w:val="1020"/>
        </w:numPr>
      </w:pPr>
      <w:r>
        <w:t xml:space="preserve">Confidence level</w:t>
      </w:r>
    </w:p>
    <w:p>
      <w:pPr>
        <w:pStyle w:val="Compact"/>
        <w:numPr>
          <w:ilvl w:val="0"/>
          <w:numId w:val="1020"/>
        </w:numPr>
      </w:pPr>
      <w:r>
        <w:t xml:space="preserve">Assumptions</w:t>
      </w:r>
    </w:p>
    <w:p>
      <w:pPr>
        <w:pStyle w:val="Compact"/>
        <w:numPr>
          <w:ilvl w:val="0"/>
          <w:numId w:val="1020"/>
        </w:numPr>
      </w:pPr>
      <w:r>
        <w:t xml:space="preserve">Risk / limitation</w:t>
      </w:r>
    </w:p>
    <w:p>
      <w:pPr>
        <w:pStyle w:val="Compact"/>
        <w:numPr>
          <w:ilvl w:val="0"/>
          <w:numId w:val="1020"/>
        </w:numPr>
      </w:pPr>
      <w:r>
        <w:t xml:space="preserve">Recommended next action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“Based on the latest available daily report, Well 30750 has completed 32 quantity over 2 days, giving a current rate of 16/day. The required norm rate is approximately 32/day. Therefore, the activity is currently progressing at around 50% of the required rate. If the same rate continues, the activity may take around 12 days instead of 6 days. Confidence: medium, because this depends on whether the latest ACC daily report is complete. Recommended action: review crew allocation, material readiness, and shift plan immediately.”</w:t>
      </w:r>
    </w:p>
    <w:p>
      <w:r>
        <w:pict>
          <v:rect style="width:0;height:1.5pt" o:hralign="center" o:hrstd="t" o:hr="t"/>
        </w:pict>
      </w:r>
    </w:p>
    <w:bookmarkEnd w:id="39"/>
    <w:bookmarkStart w:id="48" w:name="recommended-technology-stack"/>
    <w:p>
      <w:pPr>
        <w:pStyle w:val="Heading2"/>
      </w:pPr>
      <w:r>
        <w:t xml:space="preserve">14. Recommended Technology Stack</w:t>
      </w:r>
    </w:p>
    <w:bookmarkStart w:id="40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Use existing SmartOps / AL TASNIM web interface where possible.</w:t>
      </w:r>
    </w:p>
    <w:p>
      <w:pPr>
        <w:pStyle w:val="BodyText"/>
      </w:pPr>
      <w:r>
        <w:t xml:space="preserve">Do not build a separate product UI unless required.</w:t>
      </w:r>
    </w:p>
    <w:bookmarkEnd w:id="40"/>
    <w:bookmarkStart w:id="41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Use the existing enterprise backend stack for authentication, user roles, permissions, and API gateway.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21"/>
        </w:numPr>
      </w:pPr>
      <w:r>
        <w:t xml:space="preserve">.NET backend for enterprise integration, if already used by the team</w:t>
      </w:r>
    </w:p>
    <w:p>
      <w:pPr>
        <w:pStyle w:val="Compact"/>
        <w:numPr>
          <w:ilvl w:val="0"/>
          <w:numId w:val="1021"/>
        </w:numPr>
      </w:pPr>
      <w:r>
        <w:t xml:space="preserve">Python FastAPI microservice only for AI orchestration and retrieval</w:t>
      </w:r>
    </w:p>
    <w:p>
      <w:pPr>
        <w:pStyle w:val="Compact"/>
        <w:numPr>
          <w:ilvl w:val="0"/>
          <w:numId w:val="1021"/>
        </w:numPr>
      </w:pPr>
      <w:r>
        <w:t xml:space="preserve">API boundary between enterprise app and AI service</w:t>
      </w:r>
    </w:p>
    <w:bookmarkEnd w:id="41"/>
    <w:bookmarkStart w:id="42" w:name="agent-orchestration"/>
    <w:p>
      <w:pPr>
        <w:pStyle w:val="Heading3"/>
      </w:pPr>
      <w:r>
        <w:t xml:space="preserve">Agent Orchestration</w:t>
      </w:r>
    </w:p>
    <w:p>
      <w:pPr>
        <w:pStyle w:val="FirstParagraph"/>
      </w:pPr>
      <w:r>
        <w:t xml:space="preserve">Use LangGraph.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022"/>
        </w:numPr>
      </w:pPr>
      <w:r>
        <w:t xml:space="preserve">Multi-step workflow control</w:t>
      </w:r>
    </w:p>
    <w:p>
      <w:pPr>
        <w:pStyle w:val="Compact"/>
        <w:numPr>
          <w:ilvl w:val="0"/>
          <w:numId w:val="1022"/>
        </w:numPr>
      </w:pPr>
      <w:r>
        <w:t xml:space="preserve">Checkpointing</w:t>
      </w:r>
    </w:p>
    <w:p>
      <w:pPr>
        <w:pStyle w:val="Compact"/>
        <w:numPr>
          <w:ilvl w:val="0"/>
          <w:numId w:val="1022"/>
        </w:numPr>
      </w:pPr>
      <w:r>
        <w:t xml:space="preserve">Tool orchestration</w:t>
      </w:r>
    </w:p>
    <w:p>
      <w:pPr>
        <w:pStyle w:val="Compact"/>
        <w:numPr>
          <w:ilvl w:val="0"/>
          <w:numId w:val="1022"/>
        </w:numPr>
      </w:pPr>
      <w:r>
        <w:t xml:space="preserve">Human-in-the-loop support</w:t>
      </w:r>
    </w:p>
    <w:p>
      <w:pPr>
        <w:pStyle w:val="Compact"/>
        <w:numPr>
          <w:ilvl w:val="0"/>
          <w:numId w:val="1022"/>
        </w:numPr>
      </w:pPr>
      <w:r>
        <w:t xml:space="preserve">Better debugging than uncontrolled agent loops</w:t>
      </w:r>
    </w:p>
    <w:p>
      <w:pPr>
        <w:pStyle w:val="Compact"/>
        <w:numPr>
          <w:ilvl w:val="0"/>
          <w:numId w:val="1022"/>
        </w:numPr>
      </w:pPr>
      <w:r>
        <w:t xml:space="preserve">Suitable for production-grade agent flows</w:t>
      </w:r>
    </w:p>
    <w:bookmarkEnd w:id="42"/>
    <w:bookmarkStart w:id="43" w:name="knowledge-store"/>
    <w:p>
      <w:pPr>
        <w:pStyle w:val="Heading3"/>
      </w:pPr>
      <w:r>
        <w:t xml:space="preserve">Knowledge Store</w:t>
      </w:r>
    </w:p>
    <w:p>
      <w:pPr>
        <w:pStyle w:val="FirstParagraph"/>
      </w:pPr>
      <w:r>
        <w:t xml:space="preserve">Use PostgreSQL.</w:t>
      </w:r>
    </w:p>
    <w:p>
      <w:pPr>
        <w:pStyle w:val="BodyText"/>
      </w:pPr>
      <w:r>
        <w:t xml:space="preserve">Add:</w:t>
      </w:r>
    </w:p>
    <w:p>
      <w:pPr>
        <w:pStyle w:val="Compact"/>
        <w:numPr>
          <w:ilvl w:val="0"/>
          <w:numId w:val="1023"/>
        </w:numPr>
      </w:pPr>
      <w:r>
        <w:t xml:space="preserve">pgvector for vector search</w:t>
      </w:r>
    </w:p>
    <w:p>
      <w:pPr>
        <w:pStyle w:val="Compact"/>
        <w:numPr>
          <w:ilvl w:val="0"/>
          <w:numId w:val="1023"/>
        </w:numPr>
      </w:pPr>
      <w:r>
        <w:t xml:space="preserve">pg_textsearch or equivalent BM25 extension for keyword search</w:t>
      </w:r>
    </w:p>
    <w:p>
      <w:pPr>
        <w:pStyle w:val="Compact"/>
        <w:numPr>
          <w:ilvl w:val="0"/>
          <w:numId w:val="1023"/>
        </w:numPr>
      </w:pPr>
      <w:r>
        <w:t xml:space="preserve">Metadata tables</w:t>
      </w:r>
    </w:p>
    <w:p>
      <w:pPr>
        <w:pStyle w:val="Compact"/>
        <w:numPr>
          <w:ilvl w:val="0"/>
          <w:numId w:val="1023"/>
        </w:numPr>
      </w:pPr>
      <w:r>
        <w:t xml:space="preserve">Document versioning</w:t>
      </w:r>
    </w:p>
    <w:p>
      <w:pPr>
        <w:pStyle w:val="Compact"/>
        <w:numPr>
          <w:ilvl w:val="0"/>
          <w:numId w:val="1023"/>
        </w:numPr>
      </w:pPr>
      <w:r>
        <w:t xml:space="preserve">Source citation mapping</w:t>
      </w:r>
    </w:p>
    <w:bookmarkEnd w:id="43"/>
    <w:bookmarkStart w:id="44" w:name="cache"/>
    <w:p>
      <w:pPr>
        <w:pStyle w:val="Heading3"/>
      </w:pPr>
      <w:r>
        <w:t xml:space="preserve">Cache</w:t>
      </w:r>
    </w:p>
    <w:p>
      <w:pPr>
        <w:pStyle w:val="FirstParagraph"/>
      </w:pPr>
      <w:r>
        <w:t xml:space="preserve">Use Redis or PostgreSQL cache tables.</w:t>
      </w:r>
    </w:p>
    <w:p>
      <w:pPr>
        <w:pStyle w:val="BodyText"/>
      </w:pPr>
      <w:r>
        <w:t xml:space="preserve">Cache types:</w:t>
      </w:r>
    </w:p>
    <w:p>
      <w:pPr>
        <w:pStyle w:val="Compact"/>
        <w:numPr>
          <w:ilvl w:val="0"/>
          <w:numId w:val="1024"/>
        </w:numPr>
      </w:pPr>
      <w:r>
        <w:t xml:space="preserve">Exact query cache</w:t>
      </w:r>
    </w:p>
    <w:p>
      <w:pPr>
        <w:pStyle w:val="Compact"/>
        <w:numPr>
          <w:ilvl w:val="0"/>
          <w:numId w:val="1024"/>
        </w:numPr>
      </w:pPr>
      <w:r>
        <w:t xml:space="preserve">Semantic cache</w:t>
      </w:r>
    </w:p>
    <w:p>
      <w:pPr>
        <w:pStyle w:val="Compact"/>
        <w:numPr>
          <w:ilvl w:val="0"/>
          <w:numId w:val="1024"/>
        </w:numPr>
      </w:pPr>
      <w:r>
        <w:t xml:space="preserve">SQL result cache</w:t>
      </w:r>
    </w:p>
    <w:p>
      <w:pPr>
        <w:pStyle w:val="Compact"/>
        <w:numPr>
          <w:ilvl w:val="0"/>
          <w:numId w:val="1024"/>
        </w:numPr>
      </w:pPr>
      <w:r>
        <w:t xml:space="preserve">Analytics result cache</w:t>
      </w:r>
    </w:p>
    <w:p>
      <w:pPr>
        <w:pStyle w:val="Compact"/>
        <w:numPr>
          <w:ilvl w:val="0"/>
          <w:numId w:val="1024"/>
        </w:numPr>
      </w:pPr>
      <w:r>
        <w:t xml:space="preserve">Document retrieval cache</w:t>
      </w:r>
    </w:p>
    <w:bookmarkEnd w:id="44"/>
    <w:bookmarkStart w:id="45" w:name="observability"/>
    <w:p>
      <w:pPr>
        <w:pStyle w:val="Heading3"/>
      </w:pPr>
      <w:r>
        <w:t xml:space="preserve">Observability</w:t>
      </w:r>
    </w:p>
    <w:p>
      <w:pPr>
        <w:pStyle w:val="FirstParagraph"/>
      </w:pPr>
      <w:r>
        <w:t xml:space="preserve">Track every query end-to-end:</w:t>
      </w:r>
    </w:p>
    <w:p>
      <w:pPr>
        <w:pStyle w:val="Compact"/>
        <w:numPr>
          <w:ilvl w:val="0"/>
          <w:numId w:val="1025"/>
        </w:numPr>
      </w:pPr>
      <w:r>
        <w:t xml:space="preserve">User</w:t>
      </w:r>
    </w:p>
    <w:p>
      <w:pPr>
        <w:pStyle w:val="Compact"/>
        <w:numPr>
          <w:ilvl w:val="0"/>
          <w:numId w:val="1025"/>
        </w:numPr>
      </w:pPr>
      <w:r>
        <w:t xml:space="preserve">Intent</w:t>
      </w:r>
    </w:p>
    <w:p>
      <w:pPr>
        <w:pStyle w:val="Compact"/>
        <w:numPr>
          <w:ilvl w:val="0"/>
          <w:numId w:val="1025"/>
        </w:numPr>
      </w:pPr>
      <w:r>
        <w:t xml:space="preserve">Tools called</w:t>
      </w:r>
    </w:p>
    <w:p>
      <w:pPr>
        <w:pStyle w:val="Compact"/>
        <w:numPr>
          <w:ilvl w:val="0"/>
          <w:numId w:val="1025"/>
        </w:numPr>
      </w:pPr>
      <w:r>
        <w:t xml:space="preserve">Retrieved chunks</w:t>
      </w:r>
    </w:p>
    <w:p>
      <w:pPr>
        <w:pStyle w:val="Compact"/>
        <w:numPr>
          <w:ilvl w:val="0"/>
          <w:numId w:val="1025"/>
        </w:numPr>
      </w:pPr>
      <w:r>
        <w:t xml:space="preserve">SQL generated</w:t>
      </w:r>
    </w:p>
    <w:p>
      <w:pPr>
        <w:pStyle w:val="Compact"/>
        <w:numPr>
          <w:ilvl w:val="0"/>
          <w:numId w:val="1025"/>
        </w:numPr>
      </w:pPr>
      <w:r>
        <w:t xml:space="preserve">SQL executed</w:t>
      </w:r>
    </w:p>
    <w:p>
      <w:pPr>
        <w:pStyle w:val="Compact"/>
        <w:numPr>
          <w:ilvl w:val="0"/>
          <w:numId w:val="1025"/>
        </w:numPr>
      </w:pPr>
      <w:r>
        <w:t xml:space="preserve">Model used</w:t>
      </w:r>
    </w:p>
    <w:p>
      <w:pPr>
        <w:pStyle w:val="Compact"/>
        <w:numPr>
          <w:ilvl w:val="0"/>
          <w:numId w:val="1025"/>
        </w:numPr>
      </w:pPr>
      <w:r>
        <w:t xml:space="preserve">Token usage</w:t>
      </w:r>
    </w:p>
    <w:p>
      <w:pPr>
        <w:pStyle w:val="Compact"/>
        <w:numPr>
          <w:ilvl w:val="0"/>
          <w:numId w:val="1025"/>
        </w:numPr>
      </w:pPr>
      <w:r>
        <w:t xml:space="preserve">Cost</w:t>
      </w:r>
    </w:p>
    <w:p>
      <w:pPr>
        <w:pStyle w:val="Compact"/>
        <w:numPr>
          <w:ilvl w:val="0"/>
          <w:numId w:val="1025"/>
        </w:numPr>
      </w:pPr>
      <w:r>
        <w:t xml:space="preserve">Latency</w:t>
      </w:r>
    </w:p>
    <w:p>
      <w:pPr>
        <w:pStyle w:val="Compact"/>
        <w:numPr>
          <w:ilvl w:val="0"/>
          <w:numId w:val="1025"/>
        </w:numPr>
      </w:pPr>
      <w:r>
        <w:t xml:space="preserve">Final answer</w:t>
      </w:r>
    </w:p>
    <w:p>
      <w:pPr>
        <w:pStyle w:val="Compact"/>
        <w:numPr>
          <w:ilvl w:val="0"/>
          <w:numId w:val="1025"/>
        </w:numPr>
      </w:pPr>
      <w:r>
        <w:t xml:space="preserve">User feedback</w:t>
      </w:r>
    </w:p>
    <w:p>
      <w:pPr>
        <w:pStyle w:val="Compact"/>
        <w:numPr>
          <w:ilvl w:val="0"/>
          <w:numId w:val="1025"/>
        </w:numPr>
      </w:pPr>
      <w:r>
        <w:t xml:space="preserve">Failure reason</w:t>
      </w:r>
    </w:p>
    <w:bookmarkEnd w:id="45"/>
    <w:bookmarkStart w:id="46" w:name="llm-gateway"/>
    <w:p>
      <w:pPr>
        <w:pStyle w:val="Heading3"/>
      </w:pPr>
      <w:r>
        <w:t xml:space="preserve">LLM Gateway</w:t>
      </w:r>
    </w:p>
    <w:p>
      <w:pPr>
        <w:pStyle w:val="FirstParagraph"/>
      </w:pPr>
      <w:r>
        <w:t xml:space="preserve">Use a model gateway abstraction.</w:t>
      </w:r>
    </w:p>
    <w:p>
      <w:pPr>
        <w:pStyle w:val="BodyText"/>
      </w:pPr>
      <w:r>
        <w:t xml:space="preserve">The application should not be hard-coded to one model provider.</w:t>
      </w:r>
    </w:p>
    <w:p>
      <w:pPr>
        <w:pStyle w:val="BodyText"/>
      </w:pPr>
      <w:r>
        <w:t xml:space="preserve">Model categories:</w:t>
      </w:r>
    </w:p>
    <w:p>
      <w:pPr>
        <w:pStyle w:val="Compact"/>
        <w:numPr>
          <w:ilvl w:val="0"/>
          <w:numId w:val="1026"/>
        </w:numPr>
      </w:pPr>
      <w:r>
        <w:t xml:space="preserve">Small model for routing and formatting</w:t>
      </w:r>
    </w:p>
    <w:p>
      <w:pPr>
        <w:pStyle w:val="Compact"/>
        <w:numPr>
          <w:ilvl w:val="0"/>
          <w:numId w:val="1026"/>
        </w:numPr>
      </w:pPr>
      <w:r>
        <w:t xml:space="preserve">Standard model for normal answers</w:t>
      </w:r>
    </w:p>
    <w:p>
      <w:pPr>
        <w:pStyle w:val="Compact"/>
        <w:numPr>
          <w:ilvl w:val="0"/>
          <w:numId w:val="1026"/>
        </w:numPr>
      </w:pPr>
      <w:r>
        <w:t xml:space="preserve">Advanced model for complex reasoning</w:t>
      </w:r>
    </w:p>
    <w:p>
      <w:pPr>
        <w:pStyle w:val="Compact"/>
        <w:numPr>
          <w:ilvl w:val="0"/>
          <w:numId w:val="1026"/>
        </w:numPr>
      </w:pPr>
      <w:r>
        <w:t xml:space="preserve">Optional local model for sensitive data use cases</w:t>
      </w:r>
    </w:p>
    <w:bookmarkEnd w:id="46"/>
    <w:bookmarkStart w:id="47" w:name="embeddings"/>
    <w:p>
      <w:pPr>
        <w:pStyle w:val="Heading3"/>
      </w:pPr>
      <w:r>
        <w:t xml:space="preserve">Embeddings</w:t>
      </w:r>
    </w:p>
    <w:p>
      <w:pPr>
        <w:pStyle w:val="FirstParagraph"/>
      </w:pPr>
      <w:r>
        <w:t xml:space="preserve">Use one strong embedding model initially and benchmark it against AL TASNIM data.</w:t>
      </w:r>
    </w:p>
    <w:p>
      <w:pPr>
        <w:pStyle w:val="BodyText"/>
      </w:pPr>
      <w:r>
        <w:t xml:space="preserve">Test with:</w:t>
      </w:r>
    </w:p>
    <w:p>
      <w:pPr>
        <w:pStyle w:val="Compact"/>
        <w:numPr>
          <w:ilvl w:val="0"/>
          <w:numId w:val="1027"/>
        </w:numPr>
      </w:pPr>
      <w:r>
        <w:t xml:space="preserve">Well IDs</w:t>
      </w:r>
    </w:p>
    <w:p>
      <w:pPr>
        <w:pStyle w:val="Compact"/>
        <w:numPr>
          <w:ilvl w:val="0"/>
          <w:numId w:val="1027"/>
        </w:numPr>
      </w:pPr>
      <w:r>
        <w:t xml:space="preserve">Activity codes</w:t>
      </w:r>
    </w:p>
    <w:p>
      <w:pPr>
        <w:pStyle w:val="Compact"/>
        <w:numPr>
          <w:ilvl w:val="0"/>
          <w:numId w:val="1027"/>
        </w:numPr>
      </w:pPr>
      <w:r>
        <w:t xml:space="preserve">ACC daily reports</w:t>
      </w:r>
    </w:p>
    <w:p>
      <w:pPr>
        <w:pStyle w:val="Compact"/>
        <w:numPr>
          <w:ilvl w:val="0"/>
          <w:numId w:val="1027"/>
        </w:numPr>
      </w:pPr>
      <w:r>
        <w:t xml:space="preserve">Casing terms</w:t>
      </w:r>
    </w:p>
    <w:p>
      <w:pPr>
        <w:pStyle w:val="Compact"/>
        <w:numPr>
          <w:ilvl w:val="0"/>
          <w:numId w:val="1027"/>
        </w:numPr>
      </w:pPr>
      <w:r>
        <w:t xml:space="preserve">Drilling terms</w:t>
      </w:r>
    </w:p>
    <w:p>
      <w:pPr>
        <w:pStyle w:val="Compact"/>
        <w:numPr>
          <w:ilvl w:val="0"/>
          <w:numId w:val="1027"/>
        </w:numPr>
      </w:pPr>
      <w:r>
        <w:t xml:space="preserve">Completion terms</w:t>
      </w:r>
    </w:p>
    <w:p>
      <w:pPr>
        <w:pStyle w:val="Compact"/>
        <w:numPr>
          <w:ilvl w:val="0"/>
          <w:numId w:val="1027"/>
        </w:numPr>
      </w:pPr>
      <w:r>
        <w:t xml:space="preserve">KT transcript wording</w:t>
      </w:r>
    </w:p>
    <w:p>
      <w:pPr>
        <w:pStyle w:val="Compact"/>
        <w:numPr>
          <w:ilvl w:val="0"/>
          <w:numId w:val="1027"/>
        </w:numPr>
      </w:pPr>
      <w:r>
        <w:t xml:space="preserve">Indian/Omani English variations</w:t>
      </w:r>
    </w:p>
    <w:p>
      <w:pPr>
        <w:pStyle w:val="Compact"/>
        <w:numPr>
          <w:ilvl w:val="0"/>
          <w:numId w:val="1027"/>
        </w:numPr>
      </w:pPr>
      <w:r>
        <w:t xml:space="preserve">Abbreviations used by the AL TASNIM team</w:t>
      </w:r>
    </w:p>
    <w:p>
      <w:pPr>
        <w:pStyle w:val="FirstParagraph"/>
      </w:pPr>
      <w:r>
        <w:t xml:space="preserve">Do not finalise embedding model only based on public benchmark scores.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st-optimisation-rules"/>
    <w:p>
      <w:pPr>
        <w:pStyle w:val="Heading2"/>
      </w:pPr>
      <w:r>
        <w:t xml:space="preserve">15. Cost Optimisation Rules</w:t>
      </w:r>
    </w:p>
    <w:p>
      <w:pPr>
        <w:pStyle w:val="FirstParagraph"/>
      </w:pPr>
      <w:r>
        <w:t xml:space="preserve">Mandatory cost controls:</w:t>
      </w:r>
    </w:p>
    <w:p>
      <w:pPr>
        <w:pStyle w:val="Compact"/>
        <w:numPr>
          <w:ilvl w:val="0"/>
          <w:numId w:val="1028"/>
        </w:numPr>
      </w:pPr>
      <w:r>
        <w:t xml:space="preserve">Use rule-based routing before LLM routing.</w:t>
      </w:r>
    </w:p>
    <w:p>
      <w:pPr>
        <w:pStyle w:val="Compact"/>
        <w:numPr>
          <w:ilvl w:val="0"/>
          <w:numId w:val="1028"/>
        </w:numPr>
      </w:pPr>
      <w:r>
        <w:t xml:space="preserve">Use small model for intent classification.</w:t>
      </w:r>
    </w:p>
    <w:p>
      <w:pPr>
        <w:pStyle w:val="Compact"/>
        <w:numPr>
          <w:ilvl w:val="0"/>
          <w:numId w:val="1028"/>
        </w:numPr>
      </w:pPr>
      <w:r>
        <w:t xml:space="preserve">Use advanced model only for complex reasoning.</w:t>
      </w:r>
    </w:p>
    <w:p>
      <w:pPr>
        <w:pStyle w:val="Compact"/>
        <w:numPr>
          <w:ilvl w:val="0"/>
          <w:numId w:val="1028"/>
        </w:numPr>
      </w:pPr>
      <w:r>
        <w:t xml:space="preserve">Retrieve only top relevant chunks.</w:t>
      </w:r>
    </w:p>
    <w:p>
      <w:pPr>
        <w:pStyle w:val="Compact"/>
        <w:numPr>
          <w:ilvl w:val="0"/>
          <w:numId w:val="1028"/>
        </w:numPr>
      </w:pPr>
      <w:r>
        <w:t xml:space="preserve">Apply metadata filters before vector search.</w:t>
      </w:r>
    </w:p>
    <w:p>
      <w:pPr>
        <w:pStyle w:val="Compact"/>
        <w:numPr>
          <w:ilvl w:val="0"/>
          <w:numId w:val="1028"/>
        </w:numPr>
      </w:pPr>
      <w:r>
        <w:t xml:space="preserve">Use BM25 + vector hybrid retrieval.</w:t>
      </w:r>
    </w:p>
    <w:p>
      <w:pPr>
        <w:pStyle w:val="Compact"/>
        <w:numPr>
          <w:ilvl w:val="0"/>
          <w:numId w:val="1028"/>
        </w:numPr>
      </w:pPr>
      <w:r>
        <w:t xml:space="preserve">Use reranking only when needed.</w:t>
      </w:r>
    </w:p>
    <w:p>
      <w:pPr>
        <w:pStyle w:val="Compact"/>
        <w:numPr>
          <w:ilvl w:val="0"/>
          <w:numId w:val="1028"/>
        </w:numPr>
      </w:pPr>
      <w:r>
        <w:t xml:space="preserve">Cache repeated document answers.</w:t>
      </w:r>
    </w:p>
    <w:p>
      <w:pPr>
        <w:pStyle w:val="Compact"/>
        <w:numPr>
          <w:ilvl w:val="0"/>
          <w:numId w:val="1028"/>
        </w:numPr>
      </w:pPr>
      <w:r>
        <w:t xml:space="preserve">Cache similar questions.</w:t>
      </w:r>
    </w:p>
    <w:p>
      <w:pPr>
        <w:pStyle w:val="Compact"/>
        <w:numPr>
          <w:ilvl w:val="0"/>
          <w:numId w:val="1028"/>
        </w:numPr>
      </w:pPr>
      <w:r>
        <w:t xml:space="preserve">Cache common SQL results with short TTL.</w:t>
      </w:r>
    </w:p>
    <w:p>
      <w:pPr>
        <w:pStyle w:val="Compact"/>
        <w:numPr>
          <w:ilvl w:val="0"/>
          <w:numId w:val="1028"/>
        </w:numPr>
      </w:pPr>
      <w:r>
        <w:t xml:space="preserve">Precompute daily analytics.</w:t>
      </w:r>
    </w:p>
    <w:p>
      <w:pPr>
        <w:pStyle w:val="Compact"/>
        <w:numPr>
          <w:ilvl w:val="0"/>
          <w:numId w:val="1028"/>
        </w:numPr>
      </w:pPr>
      <w:r>
        <w:t xml:space="preserve">Avoid live ML prediction for every query.</w:t>
      </w:r>
    </w:p>
    <w:p>
      <w:pPr>
        <w:pStyle w:val="Compact"/>
        <w:numPr>
          <w:ilvl w:val="0"/>
          <w:numId w:val="1028"/>
        </w:numPr>
      </w:pPr>
      <w:r>
        <w:t xml:space="preserve">Ask clarification when the question is incomplete.</w:t>
      </w:r>
    </w:p>
    <w:p>
      <w:pPr>
        <w:pStyle w:val="Compact"/>
        <w:numPr>
          <w:ilvl w:val="0"/>
          <w:numId w:val="1028"/>
        </w:numPr>
      </w:pPr>
      <w:r>
        <w:t xml:space="preserve">Do not send large database results to the LLM.</w:t>
      </w:r>
    </w:p>
    <w:p>
      <w:pPr>
        <w:pStyle w:val="Compact"/>
        <w:numPr>
          <w:ilvl w:val="0"/>
          <w:numId w:val="1028"/>
        </w:numPr>
      </w:pPr>
      <w:r>
        <w:t xml:space="preserve">Summarise large SQL outputs before sending to LLM.</w:t>
      </w:r>
    </w:p>
    <w:p>
      <w:r>
        <w:pict>
          <v:rect style="width:0;height:1.5pt" o:hralign="center" o:hrstd="t" o:hr="t"/>
        </w:pict>
      </w:r>
    </w:p>
    <w:bookmarkEnd w:id="49"/>
    <w:bookmarkStart w:id="54" w:name="access-control"/>
    <w:p>
      <w:pPr>
        <w:pStyle w:val="Heading2"/>
      </w:pPr>
      <w:r>
        <w:t xml:space="preserve">16. Access Control</w:t>
      </w:r>
    </w:p>
    <w:p>
      <w:pPr>
        <w:pStyle w:val="FirstParagraph"/>
      </w:pPr>
      <w:r>
        <w:t xml:space="preserve">The AI must respect user roles.</w:t>
      </w:r>
    </w:p>
    <w:p>
      <w:pPr>
        <w:pStyle w:val="BodyText"/>
      </w:pPr>
      <w:r>
        <w:t xml:space="preserve">Suggested roles:</w:t>
      </w:r>
    </w:p>
    <w:bookmarkStart w:id="50" w:name="ngxp-internal-team"/>
    <w:p>
      <w:pPr>
        <w:pStyle w:val="Heading3"/>
      </w:pPr>
      <w:r>
        <w:t xml:space="preserve">NGXP Internal Team</w:t>
      </w:r>
    </w:p>
    <w:p>
      <w:pPr>
        <w:pStyle w:val="FirstParagraph"/>
      </w:pPr>
      <w:r>
        <w:t xml:space="preserve">Can access:</w:t>
      </w:r>
    </w:p>
    <w:p>
      <w:pPr>
        <w:pStyle w:val="Compact"/>
        <w:numPr>
          <w:ilvl w:val="0"/>
          <w:numId w:val="1029"/>
        </w:numPr>
      </w:pPr>
      <w:r>
        <w:t xml:space="preserve">KT transcripts</w:t>
      </w:r>
    </w:p>
    <w:p>
      <w:pPr>
        <w:pStyle w:val="Compact"/>
        <w:numPr>
          <w:ilvl w:val="0"/>
          <w:numId w:val="1029"/>
        </w:numPr>
      </w:pPr>
      <w:r>
        <w:t xml:space="preserve">Development notes</w:t>
      </w:r>
    </w:p>
    <w:p>
      <w:pPr>
        <w:pStyle w:val="Compact"/>
        <w:numPr>
          <w:ilvl w:val="0"/>
          <w:numId w:val="1029"/>
        </w:numPr>
      </w:pPr>
      <w:r>
        <w:t xml:space="preserve">Technical explanations</w:t>
      </w:r>
    </w:p>
    <w:p>
      <w:pPr>
        <w:pStyle w:val="Compact"/>
        <w:numPr>
          <w:ilvl w:val="0"/>
          <w:numId w:val="1029"/>
        </w:numPr>
      </w:pPr>
      <w:r>
        <w:t xml:space="preserve">Internal implementation references</w:t>
      </w:r>
    </w:p>
    <w:bookmarkEnd w:id="50"/>
    <w:bookmarkStart w:id="51" w:name="al-tasnim-operations-user"/>
    <w:p>
      <w:pPr>
        <w:pStyle w:val="Heading3"/>
      </w:pPr>
      <w:r>
        <w:t xml:space="preserve">AL TASNIM Operations User</w:t>
      </w:r>
    </w:p>
    <w:p>
      <w:pPr>
        <w:pStyle w:val="FirstParagraph"/>
      </w:pPr>
      <w:r>
        <w:t xml:space="preserve">Can access:</w:t>
      </w:r>
    </w:p>
    <w:p>
      <w:pPr>
        <w:pStyle w:val="Compact"/>
        <w:numPr>
          <w:ilvl w:val="0"/>
          <w:numId w:val="1030"/>
        </w:numPr>
      </w:pPr>
      <w:r>
        <w:t xml:space="preserve">Approved operational documents</w:t>
      </w:r>
    </w:p>
    <w:p>
      <w:pPr>
        <w:pStyle w:val="Compact"/>
        <w:numPr>
          <w:ilvl w:val="0"/>
          <w:numId w:val="1030"/>
        </w:numPr>
      </w:pPr>
      <w:r>
        <w:t xml:space="preserve">Well status</w:t>
      </w:r>
    </w:p>
    <w:p>
      <w:pPr>
        <w:pStyle w:val="Compact"/>
        <w:numPr>
          <w:ilvl w:val="0"/>
          <w:numId w:val="1030"/>
        </w:numPr>
      </w:pPr>
      <w:r>
        <w:t xml:space="preserve">Activity progress</w:t>
      </w:r>
    </w:p>
    <w:p>
      <w:pPr>
        <w:pStyle w:val="Compact"/>
        <w:numPr>
          <w:ilvl w:val="0"/>
          <w:numId w:val="1030"/>
        </w:numPr>
      </w:pPr>
      <w:r>
        <w:t xml:space="preserve">Daily reports</w:t>
      </w:r>
    </w:p>
    <w:p>
      <w:pPr>
        <w:pStyle w:val="Compact"/>
        <w:numPr>
          <w:ilvl w:val="0"/>
          <w:numId w:val="1030"/>
        </w:numPr>
      </w:pPr>
      <w:r>
        <w:t xml:space="preserve">Basic analytics</w:t>
      </w:r>
    </w:p>
    <w:bookmarkEnd w:id="51"/>
    <w:bookmarkStart w:id="52" w:name="al-tasnim-management"/>
    <w:p>
      <w:pPr>
        <w:pStyle w:val="Heading3"/>
      </w:pPr>
      <w:r>
        <w:t xml:space="preserve">AL TASNIM Management</w:t>
      </w:r>
    </w:p>
    <w:p>
      <w:pPr>
        <w:pStyle w:val="FirstParagraph"/>
      </w:pPr>
      <w:r>
        <w:t xml:space="preserve">Can access:</w:t>
      </w:r>
    </w:p>
    <w:p>
      <w:pPr>
        <w:pStyle w:val="Compact"/>
        <w:numPr>
          <w:ilvl w:val="0"/>
          <w:numId w:val="1031"/>
        </w:numPr>
      </w:pPr>
      <w:r>
        <w:t xml:space="preserve">Forecasts</w:t>
      </w:r>
    </w:p>
    <w:p>
      <w:pPr>
        <w:pStyle w:val="Compact"/>
        <w:numPr>
          <w:ilvl w:val="0"/>
          <w:numId w:val="1031"/>
        </w:numPr>
      </w:pPr>
      <w:r>
        <w:t xml:space="preserve">Delay risks</w:t>
      </w:r>
    </w:p>
    <w:p>
      <w:pPr>
        <w:pStyle w:val="Compact"/>
        <w:numPr>
          <w:ilvl w:val="0"/>
          <w:numId w:val="1031"/>
        </w:numPr>
      </w:pPr>
      <w:r>
        <w:t xml:space="preserve">Cost impact</w:t>
      </w:r>
    </w:p>
    <w:p>
      <w:pPr>
        <w:pStyle w:val="Compact"/>
        <w:numPr>
          <w:ilvl w:val="0"/>
          <w:numId w:val="1031"/>
        </w:numPr>
      </w:pPr>
      <w:r>
        <w:t xml:space="preserve">Recommendations</w:t>
      </w:r>
    </w:p>
    <w:p>
      <w:pPr>
        <w:pStyle w:val="Compact"/>
        <w:numPr>
          <w:ilvl w:val="0"/>
          <w:numId w:val="1031"/>
        </w:numPr>
      </w:pPr>
      <w:r>
        <w:t xml:space="preserve">Summary dashboards</w:t>
      </w:r>
    </w:p>
    <w:bookmarkEnd w:id="52"/>
    <w:bookmarkStart w:id="53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Can access:</w:t>
      </w:r>
    </w:p>
    <w:p>
      <w:pPr>
        <w:pStyle w:val="Compact"/>
        <w:numPr>
          <w:ilvl w:val="0"/>
          <w:numId w:val="1032"/>
        </w:numPr>
      </w:pPr>
      <w:r>
        <w:t xml:space="preserve">Document ingestion</w:t>
      </w:r>
    </w:p>
    <w:p>
      <w:pPr>
        <w:pStyle w:val="Compact"/>
        <w:numPr>
          <w:ilvl w:val="0"/>
          <w:numId w:val="1032"/>
        </w:numPr>
      </w:pPr>
      <w:r>
        <w:t xml:space="preserve">User permissions</w:t>
      </w:r>
    </w:p>
    <w:p>
      <w:pPr>
        <w:pStyle w:val="Compact"/>
        <w:numPr>
          <w:ilvl w:val="0"/>
          <w:numId w:val="1032"/>
        </w:numPr>
      </w:pPr>
      <w:r>
        <w:t xml:space="preserve">Logs</w:t>
      </w:r>
    </w:p>
    <w:p>
      <w:pPr>
        <w:pStyle w:val="Compact"/>
        <w:numPr>
          <w:ilvl w:val="0"/>
          <w:numId w:val="1032"/>
        </w:numPr>
      </w:pPr>
      <w:r>
        <w:t xml:space="preserve">Configuration</w:t>
      </w:r>
    </w:p>
    <w:p>
      <w:pPr>
        <w:pStyle w:val="Compact"/>
        <w:numPr>
          <w:ilvl w:val="0"/>
          <w:numId w:val="1032"/>
        </w:numPr>
      </w:pPr>
      <w:r>
        <w:t xml:space="preserve">Model settings</w:t>
      </w:r>
    </w:p>
    <w:p>
      <w:pPr>
        <w:pStyle w:val="FirstParagraph"/>
      </w:pPr>
      <w:r>
        <w:t xml:space="preserve">The system must check access before retrieval, not after answer generation.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what-we-should-avoid"/>
    <w:p>
      <w:pPr>
        <w:pStyle w:val="Heading2"/>
      </w:pPr>
      <w:r>
        <w:t xml:space="preserve">17. What We Should Avoid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3"/>
        </w:numPr>
      </w:pPr>
      <w:r>
        <w:t xml:space="preserve">Do not build an unrestricted autonomous agent.</w:t>
      </w:r>
    </w:p>
    <w:p>
      <w:pPr>
        <w:pStyle w:val="Compact"/>
        <w:numPr>
          <w:ilvl w:val="0"/>
          <w:numId w:val="1033"/>
        </w:numPr>
      </w:pPr>
      <w:r>
        <w:t xml:space="preserve">Do not let LLM directly execute SQL.</w:t>
      </w:r>
    </w:p>
    <w:p>
      <w:pPr>
        <w:pStyle w:val="Compact"/>
        <w:numPr>
          <w:ilvl w:val="0"/>
          <w:numId w:val="1033"/>
        </w:numPr>
      </w:pPr>
      <w:r>
        <w:t xml:space="preserve">Do not use vector search alone.</w:t>
      </w:r>
    </w:p>
    <w:p>
      <w:pPr>
        <w:pStyle w:val="Compact"/>
        <w:numPr>
          <w:ilvl w:val="0"/>
          <w:numId w:val="1033"/>
        </w:numPr>
      </w:pPr>
      <w:r>
        <w:t xml:space="preserve">Do not use the biggest model for every query.</w:t>
      </w:r>
    </w:p>
    <w:p>
      <w:pPr>
        <w:pStyle w:val="Compact"/>
        <w:numPr>
          <w:ilvl w:val="0"/>
          <w:numId w:val="1033"/>
        </w:numPr>
      </w:pPr>
      <w:r>
        <w:t xml:space="preserve">Do not train a custom LLM at this stage.</w:t>
      </w:r>
    </w:p>
    <w:p>
      <w:pPr>
        <w:pStyle w:val="Compact"/>
        <w:numPr>
          <w:ilvl w:val="0"/>
          <w:numId w:val="1033"/>
        </w:numPr>
      </w:pPr>
      <w:r>
        <w:t xml:space="preserve">Do not start with complex GraphRAG in Phase 1.</w:t>
      </w:r>
    </w:p>
    <w:p>
      <w:pPr>
        <w:pStyle w:val="Compact"/>
        <w:numPr>
          <w:ilvl w:val="0"/>
          <w:numId w:val="1033"/>
        </w:numPr>
      </w:pPr>
      <w:r>
        <w:t xml:space="preserve">Do not introduce Qdrant, Weaviate, Pinecone, Elasticsearch, or OpenSearch unless PostgreSQL becomes insufficient.</w:t>
      </w:r>
    </w:p>
    <w:p>
      <w:pPr>
        <w:pStyle w:val="Compact"/>
        <w:numPr>
          <w:ilvl w:val="0"/>
          <w:numId w:val="1033"/>
        </w:numPr>
      </w:pPr>
      <w:r>
        <w:t xml:space="preserve">Do not ingest raw KT transcripts without cleaning.</w:t>
      </w:r>
    </w:p>
    <w:p>
      <w:pPr>
        <w:pStyle w:val="Compact"/>
        <w:numPr>
          <w:ilvl w:val="0"/>
          <w:numId w:val="1033"/>
        </w:numPr>
      </w:pPr>
      <w:r>
        <w:t xml:space="preserve">Do not treat every uploaded document as equally reliable.</w:t>
      </w:r>
    </w:p>
    <w:p>
      <w:pPr>
        <w:pStyle w:val="Compact"/>
        <w:numPr>
          <w:ilvl w:val="0"/>
          <w:numId w:val="1033"/>
        </w:numPr>
      </w:pPr>
      <w:r>
        <w:t xml:space="preserve">Do not give operational recommendations without confidence and assumptions.</w:t>
      </w:r>
    </w:p>
    <w:p>
      <w:pPr>
        <w:pStyle w:val="Compact"/>
        <w:numPr>
          <w:ilvl w:val="0"/>
          <w:numId w:val="1033"/>
        </w:numPr>
      </w:pPr>
      <w:r>
        <w:t xml:space="preserve">Do not expose sensitive data across roles.</w:t>
      </w:r>
    </w:p>
    <w:p>
      <w:pPr>
        <w:pStyle w:val="Compact"/>
        <w:numPr>
          <w:ilvl w:val="0"/>
          <w:numId w:val="1033"/>
        </w:numPr>
      </w:pPr>
      <w:r>
        <w:t xml:space="preserve">Do not allow high-risk recommendations without human review.</w:t>
      </w:r>
    </w:p>
    <w:p>
      <w:r>
        <w:pict>
          <v:rect style="width:0;height:1.5pt" o:hralign="center" o:hrstd="t" o:hr="t"/>
        </w:pict>
      </w:r>
    </w:p>
    <w:bookmarkEnd w:id="55"/>
    <w:bookmarkStart w:id="56" w:name="when-to-add-graphrag"/>
    <w:p>
      <w:pPr>
        <w:pStyle w:val="Heading2"/>
      </w:pPr>
      <w:r>
        <w:t xml:space="preserve">18. When to Add GraphRAG</w:t>
      </w:r>
    </w:p>
    <w:p>
      <w:pPr>
        <w:pStyle w:val="FirstParagraph"/>
      </w:pPr>
      <w:r>
        <w:t xml:space="preserve">Do not start with full GraphRAG in Phase 1.</w:t>
      </w:r>
    </w:p>
    <w:p>
      <w:pPr>
        <w:pStyle w:val="BodyText"/>
      </w:pPr>
      <w:r>
        <w:t xml:space="preserve">GraphRAG can be added later only if AL TASNIM needs relationship-heavy reasoning such as:</w:t>
      </w:r>
    </w:p>
    <w:p>
      <w:pPr>
        <w:pStyle w:val="Compact"/>
        <w:numPr>
          <w:ilvl w:val="0"/>
          <w:numId w:val="1034"/>
        </w:numPr>
      </w:pPr>
      <w:r>
        <w:t xml:space="preserve">Well → Activity → Daily Report → Delay Reason</w:t>
      </w:r>
    </w:p>
    <w:p>
      <w:pPr>
        <w:pStyle w:val="Compact"/>
        <w:numPr>
          <w:ilvl w:val="0"/>
          <w:numId w:val="1034"/>
        </w:numPr>
      </w:pPr>
      <w:r>
        <w:t xml:space="preserve">Rig → Crew → Equipment → NPT</w:t>
      </w:r>
    </w:p>
    <w:p>
      <w:pPr>
        <w:pStyle w:val="Compact"/>
        <w:numPr>
          <w:ilvl w:val="0"/>
          <w:numId w:val="1034"/>
        </w:numPr>
      </w:pPr>
      <w:r>
        <w:t xml:space="preserve">Activity Code → Norm → Planned Quantity → Actual Quantity</w:t>
      </w:r>
    </w:p>
    <w:p>
      <w:pPr>
        <w:pStyle w:val="Compact"/>
        <w:numPr>
          <w:ilvl w:val="0"/>
          <w:numId w:val="1034"/>
        </w:numPr>
      </w:pPr>
      <w:r>
        <w:t xml:space="preserve">Material → Supplier → Delay → Recovery Action</w:t>
      </w:r>
    </w:p>
    <w:p>
      <w:pPr>
        <w:pStyle w:val="Compact"/>
        <w:numPr>
          <w:ilvl w:val="0"/>
          <w:numId w:val="1034"/>
        </w:numPr>
      </w:pPr>
      <w:r>
        <w:t xml:space="preserve">Historical well similarity mapping</w:t>
      </w:r>
    </w:p>
    <w:p>
      <w:pPr>
        <w:pStyle w:val="FirstParagraph"/>
      </w:pPr>
      <w:r>
        <w:t xml:space="preserve">Recommended approach:</w:t>
      </w:r>
    </w:p>
    <w:p>
      <w:pPr>
        <w:pStyle w:val="BodyText"/>
      </w:pPr>
      <w:r>
        <w:t xml:space="preserve">Start with a lightweight domain entity graph, not a costly full GraphRAG system.</w:t>
      </w:r>
    </w:p>
    <w:p>
      <w:pPr>
        <w:pStyle w:val="BodyText"/>
      </w:pPr>
      <w:r>
        <w:t xml:space="preserve">Entities:</w:t>
      </w:r>
    </w:p>
    <w:p>
      <w:pPr>
        <w:pStyle w:val="Compact"/>
        <w:numPr>
          <w:ilvl w:val="0"/>
          <w:numId w:val="1035"/>
        </w:numPr>
      </w:pPr>
      <w:r>
        <w:t xml:space="preserve">Well</w:t>
      </w:r>
    </w:p>
    <w:p>
      <w:pPr>
        <w:pStyle w:val="Compact"/>
        <w:numPr>
          <w:ilvl w:val="0"/>
          <w:numId w:val="1035"/>
        </w:numPr>
      </w:pPr>
      <w:r>
        <w:t xml:space="preserve">Activity</w:t>
      </w:r>
    </w:p>
    <w:p>
      <w:pPr>
        <w:pStyle w:val="Compact"/>
        <w:numPr>
          <w:ilvl w:val="0"/>
          <w:numId w:val="1035"/>
        </w:numPr>
      </w:pPr>
      <w:r>
        <w:t xml:space="preserve">Activity code</w:t>
      </w:r>
    </w:p>
    <w:p>
      <w:pPr>
        <w:pStyle w:val="Compact"/>
        <w:numPr>
          <w:ilvl w:val="0"/>
          <w:numId w:val="1035"/>
        </w:numPr>
      </w:pPr>
      <w:r>
        <w:t xml:space="preserve">Rig</w:t>
      </w:r>
    </w:p>
    <w:p>
      <w:pPr>
        <w:pStyle w:val="Compact"/>
        <w:numPr>
          <w:ilvl w:val="0"/>
          <w:numId w:val="1035"/>
        </w:numPr>
      </w:pPr>
      <w:r>
        <w:t xml:space="preserve">Crew</w:t>
      </w:r>
    </w:p>
    <w:p>
      <w:pPr>
        <w:pStyle w:val="Compact"/>
        <w:numPr>
          <w:ilvl w:val="0"/>
          <w:numId w:val="1035"/>
        </w:numPr>
      </w:pPr>
      <w:r>
        <w:t xml:space="preserve">Equipment</w:t>
      </w:r>
    </w:p>
    <w:p>
      <w:pPr>
        <w:pStyle w:val="Compact"/>
        <w:numPr>
          <w:ilvl w:val="0"/>
          <w:numId w:val="1035"/>
        </w:numPr>
      </w:pPr>
      <w:r>
        <w:t xml:space="preserve">Daily report</w:t>
      </w:r>
    </w:p>
    <w:p>
      <w:pPr>
        <w:pStyle w:val="Compact"/>
        <w:numPr>
          <w:ilvl w:val="0"/>
          <w:numId w:val="1035"/>
        </w:numPr>
      </w:pPr>
      <w:r>
        <w:t xml:space="preserve">NPT reason</w:t>
      </w:r>
    </w:p>
    <w:p>
      <w:pPr>
        <w:pStyle w:val="Compact"/>
        <w:numPr>
          <w:ilvl w:val="0"/>
          <w:numId w:val="1035"/>
        </w:numPr>
      </w:pPr>
      <w:r>
        <w:t xml:space="preserve">Delay reason</w:t>
      </w:r>
    </w:p>
    <w:p>
      <w:pPr>
        <w:pStyle w:val="Compact"/>
        <w:numPr>
          <w:ilvl w:val="0"/>
          <w:numId w:val="1035"/>
        </w:numPr>
      </w:pPr>
      <w:r>
        <w:t xml:space="preserve">Material</w:t>
      </w:r>
    </w:p>
    <w:p>
      <w:pPr>
        <w:pStyle w:val="Compact"/>
        <w:numPr>
          <w:ilvl w:val="0"/>
          <w:numId w:val="1035"/>
        </w:numPr>
      </w:pPr>
      <w:r>
        <w:t xml:space="preserve">Vendor</w:t>
      </w:r>
    </w:p>
    <w:p>
      <w:pPr>
        <w:pStyle w:val="Compact"/>
        <w:numPr>
          <w:ilvl w:val="0"/>
          <w:numId w:val="1035"/>
        </w:numPr>
      </w:pPr>
      <w:r>
        <w:t xml:space="preserve">Target date</w:t>
      </w:r>
    </w:p>
    <w:p>
      <w:pPr>
        <w:pStyle w:val="Compact"/>
        <w:numPr>
          <w:ilvl w:val="0"/>
          <w:numId w:val="1035"/>
        </w:numPr>
      </w:pPr>
      <w:r>
        <w:t xml:space="preserve">Actual date</w:t>
      </w:r>
    </w:p>
    <w:p>
      <w:pPr>
        <w:pStyle w:val="FirstParagraph"/>
      </w:pPr>
      <w:r>
        <w:t xml:space="preserve">This gives many GraphRAG benefits without unnecessary Phase 1 cost.</w:t>
      </w:r>
    </w:p>
    <w:p>
      <w:r>
        <w:pict>
          <v:rect style="width:0;height:1.5pt" o:hralign="center" o:hrstd="t" o:hr="t"/>
        </w:pict>
      </w:r>
    </w:p>
    <w:bookmarkEnd w:id="56"/>
    <w:bookmarkStart w:id="61" w:name="implementation-phases"/>
    <w:p>
      <w:pPr>
        <w:pStyle w:val="Heading2"/>
      </w:pPr>
      <w:r>
        <w:t xml:space="preserve">19. Implementation Phases</w:t>
      </w:r>
    </w:p>
    <w:bookmarkStart w:id="57" w:name="phase-1-controlled-ai-assistant-mvp"/>
    <w:p>
      <w:pPr>
        <w:pStyle w:val="Heading3"/>
      </w:pPr>
      <w:r>
        <w:t xml:space="preserve">Phase 1: Controlled AI Assistant MVP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6"/>
        </w:numPr>
      </w:pPr>
      <w:r>
        <w:t xml:space="preserve">Chat UI</w:t>
      </w:r>
    </w:p>
    <w:p>
      <w:pPr>
        <w:pStyle w:val="Compact"/>
        <w:numPr>
          <w:ilvl w:val="0"/>
          <w:numId w:val="1036"/>
        </w:numPr>
      </w:pPr>
      <w:r>
        <w:t xml:space="preserve">Role-based access</w:t>
      </w:r>
    </w:p>
    <w:p>
      <w:pPr>
        <w:pStyle w:val="Compact"/>
        <w:numPr>
          <w:ilvl w:val="0"/>
          <w:numId w:val="1036"/>
        </w:numPr>
      </w:pPr>
      <w:r>
        <w:t xml:space="preserve">Document RAG</w:t>
      </w:r>
    </w:p>
    <w:p>
      <w:pPr>
        <w:pStyle w:val="Compact"/>
        <w:numPr>
          <w:ilvl w:val="0"/>
          <w:numId w:val="1036"/>
        </w:numPr>
      </w:pPr>
      <w:r>
        <w:t xml:space="preserve">PostgreSQL + pgvector</w:t>
      </w:r>
    </w:p>
    <w:p>
      <w:pPr>
        <w:pStyle w:val="Compact"/>
        <w:numPr>
          <w:ilvl w:val="0"/>
          <w:numId w:val="1036"/>
        </w:numPr>
      </w:pPr>
      <w:r>
        <w:t xml:space="preserve">BM25 keyword search</w:t>
      </w:r>
    </w:p>
    <w:p>
      <w:pPr>
        <w:pStyle w:val="Compact"/>
        <w:numPr>
          <w:ilvl w:val="0"/>
          <w:numId w:val="1036"/>
        </w:numPr>
      </w:pPr>
      <w:r>
        <w:t xml:space="preserve">Read-only database tool</w:t>
      </w:r>
    </w:p>
    <w:p>
      <w:pPr>
        <w:pStyle w:val="Compact"/>
        <w:numPr>
          <w:ilvl w:val="0"/>
          <w:numId w:val="1036"/>
        </w:numPr>
      </w:pPr>
      <w:r>
        <w:t xml:space="preserve">Safe SQL templates</w:t>
      </w:r>
    </w:p>
    <w:p>
      <w:pPr>
        <w:pStyle w:val="Compact"/>
        <w:numPr>
          <w:ilvl w:val="0"/>
          <w:numId w:val="1036"/>
        </w:numPr>
      </w:pPr>
      <w:r>
        <w:t xml:space="preserve">Query router</w:t>
      </w:r>
    </w:p>
    <w:p>
      <w:pPr>
        <w:pStyle w:val="Compact"/>
        <w:numPr>
          <w:ilvl w:val="0"/>
          <w:numId w:val="1036"/>
        </w:numPr>
      </w:pPr>
      <w:r>
        <w:t xml:space="preserve">Citations</w:t>
      </w:r>
    </w:p>
    <w:p>
      <w:pPr>
        <w:pStyle w:val="Compact"/>
        <w:numPr>
          <w:ilvl w:val="0"/>
          <w:numId w:val="1036"/>
        </w:numPr>
      </w:pPr>
      <w:r>
        <w:t xml:space="preserve">Basic cache</w:t>
      </w:r>
    </w:p>
    <w:p>
      <w:pPr>
        <w:pStyle w:val="Compact"/>
        <w:numPr>
          <w:ilvl w:val="0"/>
          <w:numId w:val="1036"/>
        </w:numPr>
      </w:pPr>
      <w:r>
        <w:t xml:space="preserve">Query logging</w:t>
      </w:r>
    </w:p>
    <w:p>
      <w:pPr>
        <w:pStyle w:val="Compact"/>
        <w:numPr>
          <w:ilvl w:val="0"/>
          <w:numId w:val="1036"/>
        </w:numPr>
      </w:pPr>
      <w:r>
        <w:t xml:space="preserve">Feedback capture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Answer document and live status questions safely.</w:t>
      </w:r>
    </w:p>
    <w:bookmarkEnd w:id="57"/>
    <w:bookmarkStart w:id="58" w:name="phase-2-operational-analytics"/>
    <w:p>
      <w:pPr>
        <w:pStyle w:val="Heading3"/>
      </w:pPr>
      <w:r>
        <w:t xml:space="preserve">Phase 2: Operational Analytics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7"/>
        </w:numPr>
      </w:pPr>
      <w:r>
        <w:t xml:space="preserve">Planned vs actual calculation</w:t>
      </w:r>
    </w:p>
    <w:p>
      <w:pPr>
        <w:pStyle w:val="Compact"/>
        <w:numPr>
          <w:ilvl w:val="0"/>
          <w:numId w:val="1037"/>
        </w:numPr>
      </w:pPr>
      <w:r>
        <w:t xml:space="preserve">Norm rate vs actual rate</w:t>
      </w:r>
    </w:p>
    <w:p>
      <w:pPr>
        <w:pStyle w:val="Compact"/>
        <w:numPr>
          <w:ilvl w:val="0"/>
          <w:numId w:val="1037"/>
        </w:numPr>
      </w:pPr>
      <w:r>
        <w:t xml:space="preserve">Completion estimate</w:t>
      </w:r>
    </w:p>
    <w:p>
      <w:pPr>
        <w:pStyle w:val="Compact"/>
        <w:numPr>
          <w:ilvl w:val="0"/>
          <w:numId w:val="1037"/>
        </w:numPr>
      </w:pPr>
      <w:r>
        <w:t xml:space="preserve">Delay risk score</w:t>
      </w:r>
    </w:p>
    <w:p>
      <w:pPr>
        <w:pStyle w:val="Compact"/>
        <w:numPr>
          <w:ilvl w:val="0"/>
          <w:numId w:val="1037"/>
        </w:numPr>
      </w:pPr>
      <w:r>
        <w:t xml:space="preserve">Activity-level analytics</w:t>
      </w:r>
    </w:p>
    <w:p>
      <w:pPr>
        <w:pStyle w:val="Compact"/>
        <w:numPr>
          <w:ilvl w:val="0"/>
          <w:numId w:val="1037"/>
        </w:numPr>
      </w:pPr>
      <w:r>
        <w:t xml:space="preserve">Well-level analytics</w:t>
      </w:r>
    </w:p>
    <w:p>
      <w:pPr>
        <w:pStyle w:val="Compact"/>
        <w:numPr>
          <w:ilvl w:val="0"/>
          <w:numId w:val="1037"/>
        </w:numPr>
      </w:pPr>
      <w:r>
        <w:t xml:space="preserve">Daily report trend analysis</w:t>
      </w:r>
    </w:p>
    <w:p>
      <w:pPr>
        <w:pStyle w:val="Compact"/>
        <w:numPr>
          <w:ilvl w:val="0"/>
          <w:numId w:val="1037"/>
        </w:numPr>
      </w:pPr>
      <w:r>
        <w:t xml:space="preserve">Analytics cache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Answer</w:t>
      </w:r>
      <w:r>
        <w:t xml:space="preserve"> </w:t>
      </w:r>
      <w:r>
        <w:t xml:space="preserve">“when will it finish?”</w:t>
      </w:r>
      <w:r>
        <w:t xml:space="preserve"> </w:t>
      </w:r>
      <w:r>
        <w:t xml:space="preserve">and</w:t>
      </w:r>
      <w:r>
        <w:t xml:space="preserve"> </w:t>
      </w:r>
      <w:r>
        <w:t xml:space="preserve">“are we behind?”</w:t>
      </w:r>
      <w:r>
        <w:t xml:space="preserve"> </w:t>
      </w:r>
      <w:r>
        <w:t xml:space="preserve">reliably.</w:t>
      </w:r>
    </w:p>
    <w:bookmarkEnd w:id="58"/>
    <w:bookmarkStart w:id="59" w:name="phase-3-recommendation-intelligence"/>
    <w:p>
      <w:pPr>
        <w:pStyle w:val="Heading3"/>
      </w:pPr>
      <w:r>
        <w:t xml:space="preserve">Phase 3: Recommendation Intelligence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8"/>
        </w:numPr>
      </w:pPr>
      <w:r>
        <w:t xml:space="preserve">Recovery action ranking</w:t>
      </w:r>
    </w:p>
    <w:p>
      <w:pPr>
        <w:pStyle w:val="Compact"/>
        <w:numPr>
          <w:ilvl w:val="0"/>
          <w:numId w:val="1038"/>
        </w:numPr>
      </w:pPr>
      <w:r>
        <w:t xml:space="preserve">Similar historical case matching</w:t>
      </w:r>
    </w:p>
    <w:p>
      <w:pPr>
        <w:pStyle w:val="Compact"/>
        <w:numPr>
          <w:ilvl w:val="0"/>
          <w:numId w:val="1038"/>
        </w:numPr>
      </w:pPr>
      <w:r>
        <w:t xml:space="preserve">Cost/time/risk comparison</w:t>
      </w:r>
    </w:p>
    <w:p>
      <w:pPr>
        <w:pStyle w:val="Compact"/>
        <w:numPr>
          <w:ilvl w:val="0"/>
          <w:numId w:val="1038"/>
        </w:numPr>
      </w:pPr>
      <w:r>
        <w:t xml:space="preserve">Human approval workflow</w:t>
      </w:r>
    </w:p>
    <w:p>
      <w:pPr>
        <w:pStyle w:val="Compact"/>
        <w:numPr>
          <w:ilvl w:val="0"/>
          <w:numId w:val="1038"/>
        </w:numPr>
      </w:pPr>
      <w:r>
        <w:t xml:space="preserve">Management-level recommendations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Answer</w:t>
      </w:r>
      <w:r>
        <w:t xml:space="preserve"> </w:t>
      </w:r>
      <w:r>
        <w:t xml:space="preserve">“what should we do?”</w:t>
      </w:r>
      <w:r>
        <w:t xml:space="preserve"> </w:t>
      </w:r>
      <w:r>
        <w:t xml:space="preserve">with controlled decision support.</w:t>
      </w:r>
    </w:p>
    <w:bookmarkEnd w:id="59"/>
    <w:bookmarkStart w:id="60" w:name="phase-4-advanced-intelligence"/>
    <w:p>
      <w:pPr>
        <w:pStyle w:val="Heading3"/>
      </w:pPr>
      <w:r>
        <w:t xml:space="preserve">Phase 4: Advanced Intelligence</w:t>
      </w:r>
    </w:p>
    <w:p>
      <w:pPr>
        <w:pStyle w:val="FirstParagraph"/>
      </w:pPr>
      <w:r>
        <w:t xml:space="preserve">Add only after Phase 1–3 are stable:</w:t>
      </w:r>
    </w:p>
    <w:p>
      <w:pPr>
        <w:pStyle w:val="Compact"/>
        <w:numPr>
          <w:ilvl w:val="0"/>
          <w:numId w:val="1039"/>
        </w:numPr>
      </w:pPr>
      <w:r>
        <w:t xml:space="preserve">Lightweight knowledge graph</w:t>
      </w:r>
    </w:p>
    <w:p>
      <w:pPr>
        <w:pStyle w:val="Compact"/>
        <w:numPr>
          <w:ilvl w:val="0"/>
          <w:numId w:val="1039"/>
        </w:numPr>
      </w:pPr>
      <w:r>
        <w:t xml:space="preserve">Proactive alerts</w:t>
      </w:r>
    </w:p>
    <w:p>
      <w:pPr>
        <w:pStyle w:val="Compact"/>
        <w:numPr>
          <w:ilvl w:val="0"/>
          <w:numId w:val="1039"/>
        </w:numPr>
      </w:pPr>
      <w:r>
        <w:t xml:space="preserve">Auto-generated daily/weekly reports</w:t>
      </w:r>
    </w:p>
    <w:p>
      <w:pPr>
        <w:pStyle w:val="Compact"/>
        <w:numPr>
          <w:ilvl w:val="0"/>
          <w:numId w:val="1039"/>
        </w:numPr>
      </w:pPr>
      <w:r>
        <w:t xml:space="preserve">Advanced forecasting</w:t>
      </w:r>
    </w:p>
    <w:p>
      <w:pPr>
        <w:pStyle w:val="Compact"/>
        <w:numPr>
          <w:ilvl w:val="0"/>
          <w:numId w:val="1039"/>
        </w:numPr>
      </w:pPr>
      <w:r>
        <w:t xml:space="preserve">Multi-agent workflows</w:t>
      </w:r>
    </w:p>
    <w:p>
      <w:pPr>
        <w:pStyle w:val="Compact"/>
        <w:numPr>
          <w:ilvl w:val="0"/>
          <w:numId w:val="1039"/>
        </w:numPr>
      </w:pPr>
      <w:r>
        <w:t xml:space="preserve">ACC/SAP integrations where approved</w:t>
      </w:r>
    </w:p>
    <w:p>
      <w:pPr>
        <w:pStyle w:val="Compact"/>
        <w:numPr>
          <w:ilvl w:val="0"/>
          <w:numId w:val="1039"/>
        </w:numPr>
      </w:pPr>
      <w:r>
        <w:t xml:space="preserve">Multimodal document understanding for diagrams and scanned reports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cceptance-criteria"/>
    <w:p>
      <w:pPr>
        <w:pStyle w:val="Heading2"/>
      </w:pPr>
      <w:r>
        <w:t xml:space="preserve">20. Acceptance Criteria</w:t>
      </w:r>
    </w:p>
    <w:p>
      <w:pPr>
        <w:pStyle w:val="FirstParagraph"/>
      </w:pPr>
      <w:r>
        <w:t xml:space="preserve">The system should not be considered production-ready unless it meets these criteria:</w:t>
      </w:r>
    </w:p>
    <w:p>
      <w:pPr>
        <w:pStyle w:val="Compact"/>
        <w:numPr>
          <w:ilvl w:val="0"/>
          <w:numId w:val="1040"/>
        </w:numPr>
      </w:pPr>
      <w:r>
        <w:t xml:space="preserve">90%+ correct intent routing</w:t>
      </w:r>
    </w:p>
    <w:p>
      <w:pPr>
        <w:pStyle w:val="Compact"/>
        <w:numPr>
          <w:ilvl w:val="0"/>
          <w:numId w:val="1040"/>
        </w:numPr>
      </w:pPr>
      <w:r>
        <w:t xml:space="preserve">95%+ valid citations for document answers</w:t>
      </w:r>
    </w:p>
    <w:p>
      <w:pPr>
        <w:pStyle w:val="Compact"/>
        <w:numPr>
          <w:ilvl w:val="0"/>
          <w:numId w:val="1040"/>
        </w:numPr>
      </w:pPr>
      <w:r>
        <w:t xml:space="preserve">100% database access through read-only safe layer</w:t>
      </w:r>
    </w:p>
    <w:p>
      <w:pPr>
        <w:pStyle w:val="Compact"/>
        <w:numPr>
          <w:ilvl w:val="0"/>
          <w:numId w:val="1040"/>
        </w:numPr>
      </w:pPr>
      <w:r>
        <w:t xml:space="preserve">Zero unsafe SQL execution</w:t>
      </w:r>
    </w:p>
    <w:p>
      <w:pPr>
        <w:pStyle w:val="Compact"/>
        <w:numPr>
          <w:ilvl w:val="0"/>
          <w:numId w:val="1040"/>
        </w:numPr>
      </w:pPr>
      <w:r>
        <w:t xml:space="preserve">Zero direct LLM-to-database execution</w:t>
      </w:r>
    </w:p>
    <w:p>
      <w:pPr>
        <w:pStyle w:val="Compact"/>
        <w:numPr>
          <w:ilvl w:val="0"/>
          <w:numId w:val="1040"/>
        </w:numPr>
      </w:pPr>
      <w:r>
        <w:t xml:space="preserve">Every important answer has confidence level</w:t>
      </w:r>
    </w:p>
    <w:p>
      <w:pPr>
        <w:pStyle w:val="Compact"/>
        <w:numPr>
          <w:ilvl w:val="0"/>
          <w:numId w:val="1040"/>
        </w:numPr>
      </w:pPr>
      <w:r>
        <w:t xml:space="preserve">Every prediction shows assumptions</w:t>
      </w:r>
    </w:p>
    <w:p>
      <w:pPr>
        <w:pStyle w:val="Compact"/>
        <w:numPr>
          <w:ilvl w:val="0"/>
          <w:numId w:val="1040"/>
        </w:numPr>
      </w:pPr>
      <w:r>
        <w:t xml:space="preserve">Every recommendation shows risk and cost impact</w:t>
      </w:r>
    </w:p>
    <w:p>
      <w:pPr>
        <w:pStyle w:val="Compact"/>
        <w:numPr>
          <w:ilvl w:val="0"/>
          <w:numId w:val="1040"/>
        </w:numPr>
      </w:pPr>
      <w:r>
        <w:t xml:space="preserve">Every high-risk recommendation triggers human review</w:t>
      </w:r>
    </w:p>
    <w:p>
      <w:pPr>
        <w:pStyle w:val="Compact"/>
        <w:numPr>
          <w:ilvl w:val="0"/>
          <w:numId w:val="1040"/>
        </w:numPr>
      </w:pPr>
      <w:r>
        <w:t xml:space="preserve">Every query has a trace log</w:t>
      </w:r>
    </w:p>
    <w:p>
      <w:pPr>
        <w:pStyle w:val="Compact"/>
        <w:numPr>
          <w:ilvl w:val="0"/>
          <w:numId w:val="1040"/>
        </w:numPr>
      </w:pPr>
      <w:r>
        <w:t xml:space="preserve">Repeated questions are served from cache where possible</w:t>
      </w:r>
    </w:p>
    <w:p>
      <w:pPr>
        <w:pStyle w:val="Compact"/>
        <w:numPr>
          <w:ilvl w:val="0"/>
          <w:numId w:val="1040"/>
        </w:numPr>
      </w:pPr>
      <w:r>
        <w:t xml:space="preserve">Missing data leads to clarification or refusal, not hallucination</w:t>
      </w:r>
    </w:p>
    <w:p>
      <w:r>
        <w:pict>
          <v:rect style="width:0;height:1.5pt" o:hralign="center" o:hrstd="t" o:hr="t"/>
        </w:pict>
      </w:r>
    </w:p>
    <w:bookmarkEnd w:id="62"/>
    <w:bookmarkStart w:id="63" w:name="final-positioning"/>
    <w:p>
      <w:pPr>
        <w:pStyle w:val="Heading2"/>
      </w:pPr>
      <w:r>
        <w:t xml:space="preserve">21. Final Positioning</w:t>
      </w:r>
    </w:p>
    <w:p>
      <w:pPr>
        <w:pStyle w:val="FirstParagraph"/>
      </w:pPr>
      <w:r>
        <w:t xml:space="preserve">Position this to AL TASNIM as:</w:t>
      </w:r>
    </w:p>
    <w:p>
      <w:pPr>
        <w:pStyle w:val="BodyText"/>
      </w:pPr>
      <w:r>
        <w:t xml:space="preserve">“An Agentic AI-powered Well Delivery Intelligence Assistant that combines operational documents, KT knowledge, live well data, and analytics into one controlled decision-support layer. The system answers questions from the right source, gives citations, predicts risks, recommends actions, and supports faster, safer, and more informed well delivery decisions.”</w:t>
      </w:r>
    </w:p>
    <w:p>
      <w:pPr>
        <w:pStyle w:val="BodyText"/>
      </w:pPr>
      <w:r>
        <w:t xml:space="preserve">This is not a chatbot.</w:t>
      </w:r>
    </w:p>
    <w:p>
      <w:pPr>
        <w:pStyle w:val="BodyText"/>
      </w:pPr>
      <w:r>
        <w:t xml:space="preserve">This is an operational intelligence layer for well delivery.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2026-06-12T09:52:30Z</dcterms:created>
  <dcterms:modified xsi:type="dcterms:W3CDTF">2026-06-12T09:52:30Z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