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813"/>
      </w:tblGrid>
      <w:tr>
        <w:tc>
          <w:tcPr>
            <w:tcW w:type="dxa" w:w="5234"/>
            <w:tcMar>
              <w:top w:w="0" w:type="dxa"/>
              <w:bottom w:w="20" w:type="dxa"/>
              <w:left w:w="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8680" cy="11155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1115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34"/>
            <w:tcMar>
              <w:top w:w="0" w:type="dxa"/>
              <w:bottom w:w="20" w:type="dxa"/>
              <w:left w:w="50" w:type="dxa"/>
              <w:right w:w="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F172A"/>
                <w:sz w:val="34"/>
              </w:rPr>
              <w:t>MUHAMMED MUNIR BIN MOHD AZMI</w:t>
              <w:br/>
            </w:r>
            <w:r>
              <w:rPr>
                <w:rFonts w:ascii="Calibri" w:hAnsi="Calibri"/>
                <w:b/>
                <w:color w:val="1D4ED8"/>
                <w:sz w:val="19"/>
              </w:rPr>
              <w:t>Full-Stack Systems Engineer &amp; IT Professional • Network Security (UTM)</w:t>
              <w:br/>
            </w:r>
            <w:r>
              <w:rPr>
                <w:rFonts w:ascii="Calibri" w:hAnsi="Calibri"/>
                <w:color w:val="334155"/>
                <w:sz w:val="16"/>
              </w:rPr>
              <w:t>📍 Puchong, Selangor   |   📞 +60 13-563 6124   |   ✉️ muhammed.munir97.mm@gmail.com</w:t>
              <w:br/>
              <w:t>🌐 Portfolio: https://muhammedmunir.github.io/   |   🔗 LinkedIn: linkedin.com/in/muhammed-munir-bin-mohd-azmi-9b233b271   |   💻 GitHub: github.com/muhammedmunir</w:t>
            </w:r>
          </w:p>
        </w:tc>
      </w:tr>
    </w:tbl>
    <w:p>
      <w:pPr>
        <w:spacing w:before="40" w:after="40"/>
        <w:pBdr>
          <w:bottom w:val="single" w:sz="12" w:space="4" w:color="CBD5E1"/>
        </w:pBdr>
      </w:pPr>
    </w:p>
    <w:p>
      <w:pPr>
        <w:keepNext/>
        <w:spacing w:before="100" w:after="50"/>
        <w:pBdr>
          <w:bottom w:val="single" w:sz="12" w:space="4" w:color="CBD5E1"/>
        </w:pBdr>
      </w:pPr>
      <w:r>
        <w:rPr>
          <w:rFonts w:ascii="Calibri" w:hAnsi="Calibri"/>
          <w:b/>
          <w:color w:val="0F172A"/>
          <w:sz w:val="21"/>
        </w:rPr>
        <w:t>PROFESSIONAL SUMMARY</w:t>
      </w:r>
    </w:p>
    <w:p>
      <w:pPr>
        <w:spacing w:before="40" w:after="60" w:line="276" w:lineRule="auto"/>
      </w:pPr>
      <w:r>
        <w:rPr>
          <w:rFonts w:ascii="Calibri" w:hAnsi="Calibri"/>
          <w:color w:val="334155"/>
          <w:sz w:val="17"/>
        </w:rPr>
        <w:t>Versatile, security-conscious Full-Stack Systems Engineer with proven experience developing and maintaining high-reliability enterprise platforms, public sector asset management systems, and AI-driven automation applications. Highly skilled in Vue.js 3, Laravel 11/12 (Filament), SvelteKit, Flutter, Docker Swarm, and Python Computer Vision, backed by an academic background in Computer Science (Network Security) from UTM, industry Cisco networking certifications, and hands-on Security Operations Center (SOC) threat defense experience at Tenaga Nasional Berhad (TNB).</w:t>
      </w:r>
    </w:p>
    <w:p>
      <w:pPr>
        <w:keepNext/>
        <w:spacing w:before="100" w:after="50"/>
        <w:pBdr>
          <w:bottom w:val="single" w:sz="12" w:space="4" w:color="CBD5E1"/>
        </w:pBdr>
      </w:pPr>
      <w:r>
        <w:rPr>
          <w:rFonts w:ascii="Calibri" w:hAnsi="Calibri"/>
          <w:b/>
          <w:color w:val="0F172A"/>
          <w:sz w:val="21"/>
        </w:rPr>
        <w:t>WORK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693"/>
      </w:tblGrid>
      <w:tr>
        <w:tc>
          <w:tcPr>
            <w:tcW w:type="dxa" w:w="5234"/>
            <w:tcMar>
              <w:top w:w="15" w:type="dxa"/>
              <w:bottom w:w="8" w:type="dxa"/>
              <w:left w:w="0" w:type="dxa"/>
              <w:right w:w="0" w:type="dxa"/>
            </w:tcMar>
          </w:tcPr>
          <w:p>
            <w:pPr>
              <w:spacing w:before="3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Programmer / Full-Stack Enterprise Developer</w:t>
            </w:r>
            <w:r>
              <w:rPr>
                <w:rFonts w:ascii="Calibri" w:hAnsi="Calibri"/>
                <w:b/>
                <w:color w:val="1D4ED8"/>
                <w:sz w:val="19"/>
              </w:rPr>
              <w:t xml:space="preserve"> — YHCM Sdn Bhd</w:t>
            </w:r>
          </w:p>
        </w:tc>
        <w:tc>
          <w:tcPr>
            <w:tcW w:type="dxa" w:w="5234"/>
            <w:tcMar>
              <w:top w:w="15" w:type="dxa"/>
              <w:bottom w:w="8" w:type="dxa"/>
              <w:left w:w="0" w:type="dxa"/>
              <w:right w:w="0" w:type="dxa"/>
            </w:tcMar>
          </w:tcPr>
          <w:p>
            <w:pPr>
              <w:spacing w:before="30" w:after="0" w:line="276" w:lineRule="auto"/>
              <w:jc w:val="right"/>
            </w:pPr>
            <w:r>
              <w:rPr>
                <w:rFonts w:ascii="Calibri" w:hAnsi="Calibri"/>
                <w:b/>
                <w:color w:val="475569"/>
                <w:sz w:val="17"/>
              </w:rPr>
              <w:t>Apr 2026 – Present</w:t>
            </w:r>
          </w:p>
        </w:tc>
      </w:tr>
    </w:tbl>
    <w:p>
      <w:pPr>
        <w:spacing w:before="0" w:after="30" w:line="264" w:lineRule="auto"/>
      </w:pPr>
      <w:r>
        <w:rPr>
          <w:rFonts w:ascii="Calibri" w:hAnsi="Calibri"/>
          <w:i/>
          <w:color w:val="475569"/>
          <w:sz w:val="17"/>
        </w:rPr>
        <w:t>Shah Alam, Selangor</w:t>
      </w:r>
    </w:p>
    <w:p>
      <w:pPr>
        <w:spacing w:before="0" w:after="30" w:line="276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8"/>
        </w:rPr>
        <w:t xml:space="preserve">Maintain &amp; Upgrade Mission-Critical Systems: </w:t>
      </w:r>
      <w:r>
        <w:rPr>
          <w:rFonts w:ascii="Calibri" w:hAnsi="Calibri"/>
          <w:color w:val="334155"/>
          <w:sz w:val="18"/>
        </w:rPr>
        <w:t>Support enterprise web applications for the public/government sector (including eMesys, Sutera, and ADIMS), complying with strict data security, role-based access control (RBAC), and audit standards.</w:t>
      </w:r>
    </w:p>
    <w:p>
      <w:pPr>
        <w:spacing w:before="0" w:after="30" w:line="276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8"/>
        </w:rPr>
        <w:t xml:space="preserve">Modern Frontend &amp; Admin Portals: </w:t>
      </w:r>
      <w:r>
        <w:rPr>
          <w:rFonts w:ascii="Calibri" w:hAnsi="Calibri"/>
          <w:color w:val="334155"/>
          <w:sz w:val="18"/>
        </w:rPr>
        <w:t>Architect modular user interfaces utilizing Vue.js 3 and streamline operations using Laravel Filament admin panels.</w:t>
      </w:r>
    </w:p>
    <w:p>
      <w:pPr>
        <w:spacing w:before="0" w:after="30" w:line="276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8"/>
        </w:rPr>
        <w:t xml:space="preserve">Database Architecture &amp; Tuning: </w:t>
      </w:r>
      <w:r>
        <w:rPr>
          <w:rFonts w:ascii="Calibri" w:hAnsi="Calibri"/>
          <w:color w:val="334155"/>
          <w:sz w:val="18"/>
        </w:rPr>
        <w:t>Optimize relational schemas, indexes, and complex queries across MySQL, MariaDB, and PostgreSQL 17.</w:t>
      </w:r>
    </w:p>
    <w:p>
      <w:pPr>
        <w:spacing w:before="0" w:after="30" w:line="276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8"/>
        </w:rPr>
        <w:t xml:space="preserve">Containerization &amp; Orchestration: </w:t>
      </w:r>
      <w:r>
        <w:rPr>
          <w:rFonts w:ascii="Calibri" w:hAnsi="Calibri"/>
          <w:color w:val="334155"/>
          <w:sz w:val="18"/>
        </w:rPr>
        <w:t>Deploy, manage, and scale microservices and container workloads using Docker and Docker Swarm.</w:t>
      </w:r>
    </w:p>
    <w:p>
      <w:pPr>
        <w:spacing w:before="0" w:after="30" w:line="276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8"/>
        </w:rPr>
        <w:t xml:space="preserve">Hybrid Infrastructure Administration: </w:t>
      </w:r>
      <w:r>
        <w:rPr>
          <w:rFonts w:ascii="Calibri" w:hAnsi="Calibri"/>
          <w:color w:val="334155"/>
          <w:sz w:val="18"/>
        </w:rPr>
        <w:t>Administer, harden, and troubleshoot hybrid production servers across Linux (Ubuntu) and Windows Server environments.</w:t>
      </w:r>
    </w:p>
    <w:p>
      <w:pPr>
        <w:spacing w:before="0" w:after="30" w:line="276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8"/>
        </w:rPr>
        <w:t xml:space="preserve">Tier-2/3 Technical Operations: </w:t>
      </w:r>
      <w:r>
        <w:rPr>
          <w:rFonts w:ascii="Calibri" w:hAnsi="Calibri"/>
          <w:color w:val="334155"/>
          <w:sz w:val="18"/>
        </w:rPr>
        <w:t>Resolve operational IT incidents, configure secure enterprise API integrations, and support day-to-day organizational IT workflows.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693"/>
      </w:tblGrid>
      <w:tr>
        <w:tc>
          <w:tcPr>
            <w:tcW w:type="dxa" w:w="5234"/>
            <w:tcMar>
              <w:top w:w="15" w:type="dxa"/>
              <w:bottom w:w="8" w:type="dxa"/>
              <w:left w:w="0" w:type="dxa"/>
              <w:right w:w="0" w:type="dxa"/>
            </w:tcMar>
          </w:tcPr>
          <w:p>
            <w:pPr>
              <w:spacing w:before="3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IT Support &amp; Web Developer</w:t>
            </w:r>
            <w:r>
              <w:rPr>
                <w:rFonts w:ascii="Calibri" w:hAnsi="Calibri"/>
                <w:b/>
                <w:color w:val="1D4ED8"/>
                <w:sz w:val="19"/>
              </w:rPr>
              <w:t xml:space="preserve"> — Nova Bitara Development Sdn Bhd</w:t>
            </w:r>
          </w:p>
        </w:tc>
        <w:tc>
          <w:tcPr>
            <w:tcW w:type="dxa" w:w="5234"/>
            <w:tcMar>
              <w:top w:w="15" w:type="dxa"/>
              <w:bottom w:w="8" w:type="dxa"/>
              <w:left w:w="0" w:type="dxa"/>
              <w:right w:w="0" w:type="dxa"/>
            </w:tcMar>
          </w:tcPr>
          <w:p>
            <w:pPr>
              <w:spacing w:before="30" w:after="0" w:line="276" w:lineRule="auto"/>
              <w:jc w:val="right"/>
            </w:pPr>
            <w:r>
              <w:rPr>
                <w:rFonts w:ascii="Calibri" w:hAnsi="Calibri"/>
                <w:b/>
                <w:color w:val="475569"/>
                <w:sz w:val="17"/>
              </w:rPr>
              <w:t>Dec 2025 – Mar 2026</w:t>
            </w:r>
          </w:p>
        </w:tc>
      </w:tr>
    </w:tbl>
    <w:p>
      <w:pPr>
        <w:spacing w:before="0" w:after="30" w:line="264" w:lineRule="auto"/>
      </w:pPr>
      <w:r>
        <w:rPr>
          <w:rFonts w:ascii="Calibri" w:hAnsi="Calibri"/>
          <w:i/>
          <w:color w:val="475569"/>
          <w:sz w:val="17"/>
        </w:rPr>
        <w:t>Sunway, Selangor</w:t>
      </w:r>
    </w:p>
    <w:p>
      <w:pPr>
        <w:spacing w:before="0" w:after="30" w:line="276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8"/>
        </w:rPr>
        <w:t xml:space="preserve">Collateralized Loan Platform (IWA001): </w:t>
      </w:r>
      <w:r>
        <w:rPr>
          <w:rFonts w:ascii="Calibri" w:hAnsi="Calibri"/>
          <w:color w:val="334155"/>
          <w:sz w:val="18"/>
        </w:rPr>
        <w:t>Engineered and deployed a production loan management system using SvelteKit and Supabase PostgreSQL with strict Row Level Security (RLS) policies and JWT auth, hosted on Vercel.</w:t>
      </w:r>
    </w:p>
    <w:p>
      <w:pPr>
        <w:spacing w:before="0" w:after="30" w:line="276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8"/>
        </w:rPr>
        <w:t xml:space="preserve">Trilingual Corporate Portal: </w:t>
      </w:r>
      <w:r>
        <w:rPr>
          <w:rFonts w:ascii="Calibri" w:hAnsi="Calibri"/>
          <w:color w:val="334155"/>
          <w:sz w:val="18"/>
        </w:rPr>
        <w:t>Built corporate web portal (Infinity World) using SvelteKit, Redis caching, and Resend transactional email API.</w:t>
      </w:r>
    </w:p>
    <w:p>
      <w:pPr>
        <w:spacing w:before="0" w:after="30" w:line="276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8"/>
        </w:rPr>
        <w:t xml:space="preserve">Commercial E-Commerce Platform: </w:t>
      </w:r>
      <w:r>
        <w:rPr>
          <w:rFonts w:ascii="Calibri" w:hAnsi="Calibri"/>
          <w:color w:val="334155"/>
          <w:sz w:val="18"/>
        </w:rPr>
        <w:t>Developed e-commerce platform using Laravel and MySQL, deployed on DirectAdmin with Cloudflare WAF/CDN.</w:t>
      </w:r>
    </w:p>
    <w:p>
      <w:pPr>
        <w:spacing w:before="0" w:after="30" w:line="276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8"/>
        </w:rPr>
        <w:t xml:space="preserve">Enterprise IT Operations: </w:t>
      </w:r>
      <w:r>
        <w:rPr>
          <w:rFonts w:ascii="Calibri" w:hAnsi="Calibri"/>
          <w:color w:val="334155"/>
          <w:sz w:val="18"/>
        </w:rPr>
        <w:t>Delivered comprehensive internal IT support, troubleshooting corporate hardware, operating systems, network connectivity, and DNS infrastructure.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693"/>
      </w:tblGrid>
      <w:tr>
        <w:tc>
          <w:tcPr>
            <w:tcW w:type="dxa" w:w="5234"/>
            <w:tcMar>
              <w:top w:w="15" w:type="dxa"/>
              <w:bottom w:w="8" w:type="dxa"/>
              <w:left w:w="0" w:type="dxa"/>
              <w:right w:w="0" w:type="dxa"/>
            </w:tcMar>
          </w:tcPr>
          <w:p>
            <w:pPr>
              <w:spacing w:before="3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Enterprise Mobility Solutions (Protégé)</w:t>
            </w:r>
            <w:r>
              <w:rPr>
                <w:rFonts w:ascii="Calibri" w:hAnsi="Calibri"/>
                <w:b/>
                <w:color w:val="1D4ED8"/>
                <w:sz w:val="19"/>
              </w:rPr>
              <w:t xml:space="preserve"> — Tenaga Nasional Berhad (TNB)</w:t>
            </w:r>
          </w:p>
        </w:tc>
        <w:tc>
          <w:tcPr>
            <w:tcW w:type="dxa" w:w="5234"/>
            <w:tcMar>
              <w:top w:w="15" w:type="dxa"/>
              <w:bottom w:w="8" w:type="dxa"/>
              <w:left w:w="0" w:type="dxa"/>
              <w:right w:w="0" w:type="dxa"/>
            </w:tcMar>
          </w:tcPr>
          <w:p>
            <w:pPr>
              <w:spacing w:before="30" w:after="0" w:line="276" w:lineRule="auto"/>
              <w:jc w:val="right"/>
            </w:pPr>
            <w:r>
              <w:rPr>
                <w:rFonts w:ascii="Calibri" w:hAnsi="Calibri"/>
                <w:b/>
                <w:color w:val="475569"/>
                <w:sz w:val="17"/>
              </w:rPr>
              <w:t>Apr 2025 – Dec 2025</w:t>
            </w:r>
          </w:p>
        </w:tc>
      </w:tr>
    </w:tbl>
    <w:p>
      <w:pPr>
        <w:spacing w:before="0" w:after="30" w:line="264" w:lineRule="auto"/>
      </w:pPr>
      <w:r>
        <w:rPr>
          <w:rFonts w:ascii="Calibri" w:hAnsi="Calibri"/>
          <w:i/>
          <w:color w:val="475569"/>
          <w:sz w:val="17"/>
        </w:rPr>
        <w:t>UOA Business Park, Shah Alam</w:t>
      </w:r>
    </w:p>
    <w:p>
      <w:pPr>
        <w:spacing w:before="0" w:after="30" w:line="276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8"/>
        </w:rPr>
        <w:t xml:space="preserve">Full-Stack Mobile Development: </w:t>
      </w:r>
      <w:r>
        <w:rPr>
          <w:rFonts w:ascii="Calibri" w:hAnsi="Calibri"/>
          <w:color w:val="334155"/>
          <w:sz w:val="18"/>
        </w:rPr>
        <w:t>Spearheaded full-stack development of Onboardx, an enterprise onboarding application utilizing Flutter (Dart) and JavaScript.</w:t>
      </w:r>
    </w:p>
    <w:p>
      <w:pPr>
        <w:spacing w:before="0" w:after="30" w:line="276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8"/>
        </w:rPr>
        <w:t xml:space="preserve">Multi-Database Integration: </w:t>
      </w:r>
      <w:r>
        <w:rPr>
          <w:rFonts w:ascii="Calibri" w:hAnsi="Calibri"/>
          <w:color w:val="334155"/>
          <w:sz w:val="18"/>
        </w:rPr>
        <w:t>Engineered multi-database architecture supporting Firebase Realtime DB, MongoDB, Supabase, and MySQL.</w:t>
      </w:r>
    </w:p>
    <w:p>
      <w:pPr>
        <w:spacing w:before="0" w:after="30" w:line="276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8"/>
        </w:rPr>
        <w:t xml:space="preserve">Azure Cloud Administration: </w:t>
      </w:r>
      <w:r>
        <w:rPr>
          <w:rFonts w:ascii="Calibri" w:hAnsi="Calibri"/>
          <w:color w:val="334155"/>
          <w:sz w:val="18"/>
        </w:rPr>
        <w:t>Configured and maintained Ubuntu cloud servers on Microsoft Azure, managing Network Security Groups (NSGs) and system resource monitoring.</w:t>
      </w:r>
    </w:p>
    <w:p>
      <w:pPr>
        <w:spacing w:before="0" w:after="30" w:line="276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8"/>
        </w:rPr>
        <w:t xml:space="preserve">DevOps &amp; CI/CD Pipelines: </w:t>
      </w:r>
      <w:r>
        <w:rPr>
          <w:rFonts w:ascii="Calibri" w:hAnsi="Calibri"/>
          <w:color w:val="334155"/>
          <w:sz w:val="18"/>
        </w:rPr>
        <w:t>Automated build and delivery pipelines with Jenkins CI/CD and gained hands-on container orchestration experience with Kubernetes.</w:t>
      </w:r>
    </w:p>
    <w:p>
      <w:pPr>
        <w:spacing w:before="0" w:after="30" w:line="276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8"/>
        </w:rPr>
        <w:t xml:space="preserve">UI/UX Design &amp; Support: </w:t>
      </w:r>
      <w:r>
        <w:rPr>
          <w:rFonts w:ascii="Calibri" w:hAnsi="Calibri"/>
          <w:color w:val="334155"/>
          <w:sz w:val="18"/>
        </w:rPr>
        <w:t>Designed user journeys in Figma; resolved technical user support tickets within strict SLA turnarounds.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693"/>
      </w:tblGrid>
      <w:tr>
        <w:tc>
          <w:tcPr>
            <w:tcW w:type="dxa" w:w="5234"/>
            <w:tcMar>
              <w:top w:w="15" w:type="dxa"/>
              <w:bottom w:w="8" w:type="dxa"/>
              <w:left w:w="0" w:type="dxa"/>
              <w:right w:w="0" w:type="dxa"/>
            </w:tcMar>
          </w:tcPr>
          <w:p>
            <w:pPr>
              <w:spacing w:before="3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Cyber Security Threat Defense (Internship)</w:t>
            </w:r>
            <w:r>
              <w:rPr>
                <w:rFonts w:ascii="Calibri" w:hAnsi="Calibri"/>
                <w:b/>
                <w:color w:val="1D4ED8"/>
                <w:sz w:val="19"/>
              </w:rPr>
              <w:t xml:space="preserve"> — Tenaga Nasional Berhad (TNB)</w:t>
            </w:r>
          </w:p>
        </w:tc>
        <w:tc>
          <w:tcPr>
            <w:tcW w:type="dxa" w:w="5234"/>
            <w:tcMar>
              <w:top w:w="15" w:type="dxa"/>
              <w:bottom w:w="8" w:type="dxa"/>
              <w:left w:w="0" w:type="dxa"/>
              <w:right w:w="0" w:type="dxa"/>
            </w:tcMar>
          </w:tcPr>
          <w:p>
            <w:pPr>
              <w:spacing w:before="30" w:after="0" w:line="276" w:lineRule="auto"/>
              <w:jc w:val="right"/>
            </w:pPr>
            <w:r>
              <w:rPr>
                <w:rFonts w:ascii="Calibri" w:hAnsi="Calibri"/>
                <w:b/>
                <w:color w:val="475569"/>
                <w:sz w:val="17"/>
              </w:rPr>
              <w:t>Sept 2023 – Feb 2024</w:t>
            </w:r>
          </w:p>
        </w:tc>
      </w:tr>
    </w:tbl>
    <w:p>
      <w:pPr>
        <w:spacing w:before="0" w:after="30" w:line="264" w:lineRule="auto"/>
      </w:pPr>
      <w:r>
        <w:rPr>
          <w:rFonts w:ascii="Calibri" w:hAnsi="Calibri"/>
          <w:i/>
          <w:color w:val="475569"/>
          <w:sz w:val="17"/>
        </w:rPr>
        <w:t>Platinum Bangsar, Kuala Lumpur</w:t>
      </w:r>
    </w:p>
    <w:p>
      <w:pPr>
        <w:spacing w:before="0" w:after="30" w:line="276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8"/>
        </w:rPr>
        <w:t xml:space="preserve">SOC Real-Time Threat Monitoring: </w:t>
      </w:r>
      <w:r>
        <w:rPr>
          <w:rFonts w:ascii="Calibri" w:hAnsi="Calibri"/>
          <w:color w:val="334155"/>
          <w:sz w:val="18"/>
        </w:rPr>
        <w:t>Monitored enterprise network traffic and web access logs via Splunk SIEM dashboards in an active Security Operations Center.</w:t>
      </w:r>
    </w:p>
    <w:p>
      <w:pPr>
        <w:spacing w:before="0" w:after="30" w:line="276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8"/>
        </w:rPr>
        <w:t xml:space="preserve">Red Team Vulnerability Analysis: </w:t>
      </w:r>
      <w:r>
        <w:rPr>
          <w:rFonts w:ascii="Calibri" w:hAnsi="Calibri"/>
          <w:color w:val="334155"/>
          <w:sz w:val="18"/>
        </w:rPr>
        <w:t>Collaborated with the Red Team using Vulhub Docker environments to reproduce and evaluate known CVE exploits.</w:t>
      </w:r>
    </w:p>
    <w:p>
      <w:pPr>
        <w:spacing w:before="0" w:after="30" w:line="276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8"/>
        </w:rPr>
        <w:t xml:space="preserve">Blue Team Defense Hardening: </w:t>
      </w:r>
      <w:r>
        <w:rPr>
          <w:rFonts w:ascii="Calibri" w:hAnsi="Calibri"/>
          <w:color w:val="334155"/>
          <w:sz w:val="18"/>
        </w:rPr>
        <w:t>Assisted in security patch verification, log audits, system configuration hardening, and compliance alignment with ISO 27001 and NIST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693"/>
      </w:tblGrid>
      <w:tr>
        <w:tc>
          <w:tcPr>
            <w:tcW w:type="dxa" w:w="5234"/>
            <w:tcMar>
              <w:top w:w="15" w:type="dxa"/>
              <w:bottom w:w="8" w:type="dxa"/>
              <w:left w:w="0" w:type="dxa"/>
              <w:right w:w="0" w:type="dxa"/>
            </w:tcMar>
          </w:tcPr>
          <w:p>
            <w:pPr>
              <w:spacing w:before="3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Information &amp; Communication Technology (Internship)</w:t>
            </w:r>
            <w:r>
              <w:rPr>
                <w:rFonts w:ascii="Calibri" w:hAnsi="Calibri"/>
                <w:b/>
                <w:color w:val="1D4ED8"/>
                <w:sz w:val="19"/>
              </w:rPr>
              <w:t xml:space="preserve"> — Tenaga Nasional Berhad (TNB)</w:t>
            </w:r>
          </w:p>
        </w:tc>
        <w:tc>
          <w:tcPr>
            <w:tcW w:type="dxa" w:w="5234"/>
            <w:tcMar>
              <w:top w:w="15" w:type="dxa"/>
              <w:bottom w:w="8" w:type="dxa"/>
              <w:left w:w="0" w:type="dxa"/>
              <w:right w:w="0" w:type="dxa"/>
            </w:tcMar>
          </w:tcPr>
          <w:p>
            <w:pPr>
              <w:spacing w:before="30" w:after="0" w:line="276" w:lineRule="auto"/>
              <w:jc w:val="right"/>
            </w:pPr>
            <w:r>
              <w:rPr>
                <w:rFonts w:ascii="Calibri" w:hAnsi="Calibri"/>
                <w:b/>
                <w:color w:val="475569"/>
                <w:sz w:val="17"/>
              </w:rPr>
              <w:t>Dec 2019 – Feb 2020</w:t>
            </w:r>
          </w:p>
        </w:tc>
      </w:tr>
    </w:tbl>
    <w:p>
      <w:pPr>
        <w:spacing w:before="0" w:after="30" w:line="264" w:lineRule="auto"/>
      </w:pPr>
      <w:r>
        <w:rPr>
          <w:rFonts w:ascii="Calibri" w:hAnsi="Calibri"/>
          <w:i/>
          <w:color w:val="475569"/>
          <w:sz w:val="17"/>
        </w:rPr>
        <w:t>Kota Bharu, Kelantan</w:t>
      </w:r>
    </w:p>
    <w:p>
      <w:pPr>
        <w:spacing w:before="0" w:after="30" w:line="276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8"/>
        </w:rPr>
        <w:t xml:space="preserve">Fiber Optic Topography &amp; Costing: </w:t>
      </w:r>
      <w:r>
        <w:rPr>
          <w:rFonts w:ascii="Calibri" w:hAnsi="Calibri"/>
          <w:color w:val="334155"/>
          <w:sz w:val="18"/>
        </w:rPr>
        <w:t>Mapped regional fiber optic routes via Google Earth; calculated precision transmission distances and costing models in Excel.</w:t>
      </w:r>
    </w:p>
    <w:p>
      <w:pPr>
        <w:spacing w:before="0" w:after="30" w:line="276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8"/>
        </w:rPr>
        <w:t xml:space="preserve">Network Infrastructure Audits: </w:t>
      </w:r>
      <w:r>
        <w:rPr>
          <w:rFonts w:ascii="Calibri" w:hAnsi="Calibri"/>
          <w:color w:val="334155"/>
          <w:sz w:val="18"/>
        </w:rPr>
        <w:t>Assisted network engineers with signal attenuation testing, physical equipment audits, and preventive maintenance.</w:t>
      </w:r>
    </w:p>
    <w:p>
      <w:pPr>
        <w:keepNext/>
        <w:spacing w:before="100" w:after="50"/>
        <w:pBdr>
          <w:bottom w:val="single" w:sz="12" w:space="4" w:color="CBD5E1"/>
        </w:pBdr>
      </w:pPr>
      <w:r>
        <w:rPr>
          <w:rFonts w:ascii="Calibri" w:hAnsi="Calibri"/>
          <w:b/>
          <w:color w:val="0F172A"/>
          <w:sz w:val="21"/>
        </w:rPr>
        <w:t>FEATURED SYSTEMS &amp; ENGINEERING 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693"/>
      </w:tblGrid>
      <w:tr>
        <w:tc>
          <w:tcPr>
            <w:tcW w:type="dxa" w:w="5234"/>
            <w:tcMar>
              <w:top w:w="15" w:type="dxa"/>
              <w:bottom w:w="8" w:type="dxa"/>
              <w:left w:w="0" w:type="dxa"/>
              <w:right w:w="0" w:type="dxa"/>
            </w:tcMar>
          </w:tcPr>
          <w:p>
            <w:pPr>
              <w:spacing w:before="3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TINDAK — AI-Powered Mobile Action Engine</w:t>
            </w:r>
            <w:r>
              <w:rPr>
                <w:rFonts w:ascii="Calibri" w:hAnsi="Calibri"/>
                <w:b/>
                <w:color w:val="1D4ED8"/>
                <w:sz w:val="19"/>
              </w:rPr>
              <w:t xml:space="preserve"> — Flutter, Dart, Supabase RLS, Gemini AI</w:t>
            </w:r>
          </w:p>
        </w:tc>
        <w:tc>
          <w:tcPr>
            <w:tcW w:type="dxa" w:w="5234"/>
            <w:tcMar>
              <w:top w:w="15" w:type="dxa"/>
              <w:bottom w:w="8" w:type="dxa"/>
              <w:left w:w="0" w:type="dxa"/>
              <w:right w:w="0" w:type="dxa"/>
            </w:tcMar>
          </w:tcPr>
          <w:p>
            <w:pPr>
              <w:spacing w:before="30" w:after="0" w:line="276" w:lineRule="auto"/>
              <w:jc w:val="right"/>
            </w:pPr>
            <w:r>
              <w:rPr>
                <w:rFonts w:ascii="Calibri" w:hAnsi="Calibri"/>
                <w:b/>
                <w:color w:val="475569"/>
                <w:sz w:val="17"/>
              </w:rPr>
              <w:t>Portfolio Showcase</w:t>
            </w:r>
          </w:p>
        </w:tc>
      </w:tr>
    </w:tbl>
    <w:p>
      <w:pPr>
        <w:spacing w:before="0" w:after="30" w:line="276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color w:val="334155"/>
          <w:sz w:val="18"/>
        </w:rPr>
        <w:t>Android rapid-action utility intercepting Share Intents to parse URLs, contact details, and payments locally via a regex/rule engine with Gemini AI fallback and Supabase RLS backend.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693"/>
      </w:tblGrid>
      <w:tr>
        <w:tc>
          <w:tcPr>
            <w:tcW w:type="dxa" w:w="5234"/>
            <w:tcMar>
              <w:top w:w="15" w:type="dxa"/>
              <w:bottom w:w="8" w:type="dxa"/>
              <w:left w:w="0" w:type="dxa"/>
              <w:right w:w="0" w:type="dxa"/>
            </w:tcMar>
          </w:tcPr>
          <w:p>
            <w:pPr>
              <w:spacing w:before="3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9Router Office — Autonomous AI Agent 3D Workspace</w:t>
            </w:r>
            <w:r>
              <w:rPr>
                <w:rFonts w:ascii="Calibri" w:hAnsi="Calibri"/>
                <w:b/>
                <w:color w:val="1D4ED8"/>
                <w:sz w:val="19"/>
              </w:rPr>
              <w:t xml:space="preserve"> — Node.js 22+, Three.js, Model Context Protocol (MCP)</w:t>
            </w:r>
          </w:p>
        </w:tc>
        <w:tc>
          <w:tcPr>
            <w:tcW w:type="dxa" w:w="5234"/>
            <w:tcMar>
              <w:top w:w="15" w:type="dxa"/>
              <w:bottom w:w="8" w:type="dxa"/>
              <w:left w:w="0" w:type="dxa"/>
              <w:right w:w="0" w:type="dxa"/>
            </w:tcMar>
          </w:tcPr>
          <w:p>
            <w:pPr>
              <w:spacing w:before="30" w:after="0" w:line="276" w:lineRule="auto"/>
              <w:jc w:val="right"/>
            </w:pPr>
            <w:r>
              <w:rPr>
                <w:rFonts w:ascii="Calibri" w:hAnsi="Calibri"/>
                <w:b/>
                <w:color w:val="475569"/>
                <w:sz w:val="17"/>
              </w:rPr>
              <w:t>Portfolio Showcase</w:t>
            </w:r>
          </w:p>
        </w:tc>
      </w:tr>
    </w:tbl>
    <w:p>
      <w:pPr>
        <w:spacing w:before="0" w:after="30" w:line="276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color w:val="334155"/>
          <w:sz w:val="18"/>
        </w:rPr>
        <w:t>Interactive 3D virtual office in Three.js where autonomous AI agents collaborate in real time using MCP SDK tools, voice synthesis, memory persistence, and Playwright MCP E2E automation.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693"/>
      </w:tblGrid>
      <w:tr>
        <w:tc>
          <w:tcPr>
            <w:tcW w:type="dxa" w:w="5234"/>
            <w:tcMar>
              <w:top w:w="15" w:type="dxa"/>
              <w:bottom w:w="8" w:type="dxa"/>
              <w:left w:w="0" w:type="dxa"/>
              <w:right w:w="0" w:type="dxa"/>
            </w:tcMar>
          </w:tcPr>
          <w:p>
            <w:pPr>
              <w:spacing w:before="3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Computer Vision &amp; Win32 Desktop Automation Suite</w:t>
            </w:r>
            <w:r>
              <w:rPr>
                <w:rFonts w:ascii="Calibri" w:hAnsi="Calibri"/>
                <w:b/>
                <w:color w:val="1D4ED8"/>
                <w:sz w:val="19"/>
              </w:rPr>
              <w:t xml:space="preserve"> — Python, OpenCV, CustomTkinter, Win32 API</w:t>
            </w:r>
          </w:p>
        </w:tc>
        <w:tc>
          <w:tcPr>
            <w:tcW w:type="dxa" w:w="5234"/>
            <w:tcMar>
              <w:top w:w="15" w:type="dxa"/>
              <w:bottom w:w="8" w:type="dxa"/>
              <w:left w:w="0" w:type="dxa"/>
              <w:right w:w="0" w:type="dxa"/>
            </w:tcMar>
          </w:tcPr>
          <w:p>
            <w:pPr>
              <w:spacing w:before="30" w:after="0" w:line="276" w:lineRule="auto"/>
              <w:jc w:val="right"/>
            </w:pPr>
            <w:r>
              <w:rPr>
                <w:rFonts w:ascii="Calibri" w:hAnsi="Calibri"/>
                <w:b/>
                <w:color w:val="475569"/>
                <w:sz w:val="17"/>
              </w:rPr>
              <w:t>Portfolio Showcase</w:t>
            </w:r>
          </w:p>
        </w:tc>
      </w:tr>
    </w:tbl>
    <w:p>
      <w:pPr>
        <w:spacing w:before="0" w:after="30" w:line="276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color w:val="334155"/>
          <w:sz w:val="18"/>
        </w:rPr>
        <w:t>Advanced desktop automation framework utilizing multi-scale SIFT pyramid matching, CIELAB color segmentation, closed-loop visual servoing, dynamic OCR, and multithreaded GUI.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693"/>
      </w:tblGrid>
      <w:tr>
        <w:tc>
          <w:tcPr>
            <w:tcW w:type="dxa" w:w="5234"/>
            <w:tcMar>
              <w:top w:w="15" w:type="dxa"/>
              <w:bottom w:w="8" w:type="dxa"/>
              <w:left w:w="0" w:type="dxa"/>
              <w:right w:w="0" w:type="dxa"/>
            </w:tcMar>
          </w:tcPr>
          <w:p>
            <w:pPr>
              <w:spacing w:before="3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Baby Kicking Suite — Mobile Maternal Health Tracker</w:t>
            </w:r>
            <w:r>
              <w:rPr>
                <w:rFonts w:ascii="Calibri" w:hAnsi="Calibri"/>
                <w:b/>
                <w:color w:val="1D4ED8"/>
                <w:sz w:val="19"/>
              </w:rPr>
              <w:t xml:space="preserve"> — Flutter, Dart, Firebase Firestore &amp; Functions</w:t>
            </w:r>
          </w:p>
        </w:tc>
        <w:tc>
          <w:tcPr>
            <w:tcW w:type="dxa" w:w="5234"/>
            <w:tcMar>
              <w:top w:w="15" w:type="dxa"/>
              <w:bottom w:w="8" w:type="dxa"/>
              <w:left w:w="0" w:type="dxa"/>
              <w:right w:w="0" w:type="dxa"/>
            </w:tcMar>
          </w:tcPr>
          <w:p>
            <w:pPr>
              <w:spacing w:before="30" w:after="0" w:line="276" w:lineRule="auto"/>
              <w:jc w:val="right"/>
            </w:pPr>
            <w:r>
              <w:rPr>
                <w:rFonts w:ascii="Calibri" w:hAnsi="Calibri"/>
                <w:b/>
                <w:color w:val="475569"/>
                <w:sz w:val="17"/>
              </w:rPr>
              <w:t>Portfolio Showcase</w:t>
            </w:r>
          </w:p>
        </w:tc>
      </w:tr>
    </w:tbl>
    <w:p>
      <w:pPr>
        <w:spacing w:before="0" w:after="30" w:line="276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color w:val="334155"/>
          <w:sz w:val="18"/>
        </w:rPr>
        <w:t>Cross-platform Flutter maternal wellness app enabling expectant mothers to track fetal movements with real-time Firebase sync, irregularity trend alerts, and structured clinical PDF export.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693"/>
      </w:tblGrid>
      <w:tr>
        <w:tc>
          <w:tcPr>
            <w:tcW w:type="dxa" w:w="5234"/>
            <w:tcMar>
              <w:top w:w="15" w:type="dxa"/>
              <w:bottom w:w="8" w:type="dxa"/>
              <w:left w:w="0" w:type="dxa"/>
              <w:right w:w="0" w:type="dxa"/>
            </w:tcMar>
          </w:tcPr>
          <w:p>
            <w:pPr>
              <w:spacing w:before="3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Lumina Glass Studio &amp; Smart Mirror Visualizer</w:t>
            </w:r>
            <w:r>
              <w:rPr>
                <w:rFonts w:ascii="Calibri" w:hAnsi="Calibri"/>
                <w:b/>
                <w:color w:val="1D4ED8"/>
                <w:sz w:val="19"/>
              </w:rPr>
              <w:t xml:space="preserve"> — SvelteKit, Tailwind CSS, Laravel 11 RESTful API</w:t>
            </w:r>
          </w:p>
        </w:tc>
        <w:tc>
          <w:tcPr>
            <w:tcW w:type="dxa" w:w="5234"/>
            <w:tcMar>
              <w:top w:w="15" w:type="dxa"/>
              <w:bottom w:w="8" w:type="dxa"/>
              <w:left w:w="0" w:type="dxa"/>
              <w:right w:w="0" w:type="dxa"/>
            </w:tcMar>
          </w:tcPr>
          <w:p>
            <w:pPr>
              <w:spacing w:before="30" w:after="0" w:line="276" w:lineRule="auto"/>
              <w:jc w:val="right"/>
            </w:pPr>
            <w:r>
              <w:rPr>
                <w:rFonts w:ascii="Calibri" w:hAnsi="Calibri"/>
                <w:b/>
                <w:color w:val="475569"/>
                <w:sz w:val="17"/>
              </w:rPr>
              <w:t>Portfolio Showcase</w:t>
            </w:r>
          </w:p>
        </w:tc>
      </w:tr>
    </w:tbl>
    <w:p>
      <w:pPr>
        <w:spacing w:before="0" w:after="30" w:line="276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color w:val="334155"/>
          <w:sz w:val="18"/>
        </w:rPr>
        <w:t>Interactive LED smart mirror configurator featuring Kelvin color temperature (3000K–6500K) controls, backed by Laravel 11 RESTful API with 100% PHPUnit feature test coverage.</w:t>
      </w:r>
    </w:p>
    <w:p>
      <w:pPr>
        <w:keepNext/>
        <w:spacing w:before="100" w:after="50"/>
        <w:pBdr>
          <w:bottom w:val="single" w:sz="12" w:space="4" w:color="CBD5E1"/>
        </w:pBdr>
      </w:pPr>
      <w:r>
        <w:rPr>
          <w:rFonts w:ascii="Calibri" w:hAnsi="Calibri"/>
          <w:b/>
          <w:color w:val="0F172A"/>
          <w:sz w:val="21"/>
        </w:rPr>
        <w:t>TECHNICAL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8021"/>
      </w:tblGrid>
      <w:tr>
        <w:tc>
          <w:tcPr>
            <w:tcW w:type="dxa" w:w="5234"/>
            <w:tcMar>
              <w:top w:w="12" w:type="dxa"/>
              <w:bottom w:w="12" w:type="dxa"/>
              <w:left w:w="0" w:type="dxa"/>
              <w:right w:w="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7"/>
              </w:rPr>
              <w:t>Frontend &amp; Mobile:</w:t>
            </w:r>
          </w:p>
        </w:tc>
        <w:tc>
          <w:tcPr>
            <w:tcW w:type="dxa" w:w="5234"/>
            <w:tcMar>
              <w:top w:w="12" w:type="dxa"/>
              <w:bottom w:w="12" w:type="dxa"/>
              <w:left w:w="0" w:type="dxa"/>
              <w:right w:w="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Vue.js 3, SvelteKit, Flutter (Dart), React.js, Tailwind CSS, HTML5, CSS3, JavaScript (ES6+), TypeScript, Three.js</w:t>
            </w:r>
          </w:p>
        </w:tc>
      </w:tr>
      <w:tr>
        <w:tc>
          <w:tcPr>
            <w:tcW w:type="dxa" w:w="5234"/>
            <w:tcMar>
              <w:top w:w="12" w:type="dxa"/>
              <w:bottom w:w="12" w:type="dxa"/>
              <w:left w:w="0" w:type="dxa"/>
              <w:right w:w="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7"/>
              </w:rPr>
              <w:t>Backend &amp; APIs:</w:t>
            </w:r>
          </w:p>
        </w:tc>
        <w:tc>
          <w:tcPr>
            <w:tcW w:type="dxa" w:w="5234"/>
            <w:tcMar>
              <w:top w:w="12" w:type="dxa"/>
              <w:bottom w:w="12" w:type="dxa"/>
              <w:left w:w="0" w:type="dxa"/>
              <w:right w:w="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Laravel 11/12 (PHP 8.2+), Laravel Filament, Node.js, Python, RESTful APIs, C#, C++, Java</w:t>
            </w:r>
          </w:p>
        </w:tc>
      </w:tr>
      <w:tr>
        <w:tc>
          <w:tcPr>
            <w:tcW w:type="dxa" w:w="5234"/>
            <w:tcMar>
              <w:top w:w="12" w:type="dxa"/>
              <w:bottom w:w="12" w:type="dxa"/>
              <w:left w:w="0" w:type="dxa"/>
              <w:right w:w="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7"/>
              </w:rPr>
              <w:t>Databases &amp; Cloud:</w:t>
            </w:r>
          </w:p>
        </w:tc>
        <w:tc>
          <w:tcPr>
            <w:tcW w:type="dxa" w:w="5234"/>
            <w:tcMar>
              <w:top w:w="12" w:type="dxa"/>
              <w:bottom w:w="12" w:type="dxa"/>
              <w:left w:w="0" w:type="dxa"/>
              <w:right w:w="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PostgreSQL (RLS), MySQL, MariaDB, Supabase, Firebase (Firestore &amp; Realtime DB), MongoDB, Redis, Microsoft Azure, Vercel</w:t>
            </w:r>
          </w:p>
        </w:tc>
      </w:tr>
      <w:tr>
        <w:tc>
          <w:tcPr>
            <w:tcW w:type="dxa" w:w="5234"/>
            <w:tcMar>
              <w:top w:w="12" w:type="dxa"/>
              <w:bottom w:w="12" w:type="dxa"/>
              <w:left w:w="0" w:type="dxa"/>
              <w:right w:w="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7"/>
              </w:rPr>
              <w:t>DevOps &amp; Security:</w:t>
            </w:r>
          </w:p>
        </w:tc>
        <w:tc>
          <w:tcPr>
            <w:tcW w:type="dxa" w:w="5234"/>
            <w:tcMar>
              <w:top w:w="12" w:type="dxa"/>
              <w:bottom w:w="12" w:type="dxa"/>
              <w:left w:w="0" w:type="dxa"/>
              <w:right w:w="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Docker, Docker Swarm, Jenkins, Kubernetes (Basic), Git / GitHub, Cloudflare WAF/CDN, DirectAdmin, Splunk SIEM, Wireshark, Vulhub, Firewall &amp; VPN, ISO 27001, NIST</w:t>
            </w:r>
          </w:p>
        </w:tc>
      </w:tr>
      <w:tr>
        <w:tc>
          <w:tcPr>
            <w:tcW w:type="dxa" w:w="5234"/>
            <w:tcMar>
              <w:top w:w="12" w:type="dxa"/>
              <w:bottom w:w="12" w:type="dxa"/>
              <w:left w:w="0" w:type="dxa"/>
              <w:right w:w="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7"/>
              </w:rPr>
              <w:t>AI, Systems &amp; Tools:</w:t>
            </w:r>
          </w:p>
        </w:tc>
        <w:tc>
          <w:tcPr>
            <w:tcW w:type="dxa" w:w="5234"/>
            <w:tcMar>
              <w:top w:w="12" w:type="dxa"/>
              <w:bottom w:w="12" w:type="dxa"/>
              <w:left w:w="0" w:type="dxa"/>
              <w:right w:w="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Model Context Protocol (MCP), OpenCV, Gemini AI, Playwright, Linux (Ubuntu, Kali), Windows Server, Figma, Microsoft Power BI</w:t>
            </w:r>
          </w:p>
        </w:tc>
      </w:tr>
    </w:tbl>
    <w:p>
      <w:pPr>
        <w:keepNext/>
        <w:spacing w:before="100" w:after="50"/>
        <w:pBdr>
          <w:bottom w:val="single" w:sz="12" w:space="4" w:color="CBD5E1"/>
        </w:pBdr>
      </w:pPr>
      <w:r>
        <w:rPr>
          <w:rFonts w:ascii="Calibri" w:hAnsi="Calibri"/>
          <w:b/>
          <w:color w:val="0F172A"/>
          <w:sz w:val="21"/>
        </w:rPr>
        <w:t>EDUCATION &amp; CERTIFICATIONS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693"/>
      </w:tblGrid>
      <w:tr>
        <w:tc>
          <w:tcPr>
            <w:tcW w:type="dxa" w:w="5234"/>
            <w:tcMar>
              <w:top w:w="15" w:type="dxa"/>
              <w:bottom w:w="8" w:type="dxa"/>
              <w:left w:w="0" w:type="dxa"/>
              <w:right w:w="0" w:type="dxa"/>
            </w:tcMar>
          </w:tcPr>
          <w:p>
            <w:pPr>
              <w:spacing w:before="3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Bachelor of Computer Science (Network Security)</w:t>
            </w:r>
            <w:r>
              <w:rPr>
                <w:rFonts w:ascii="Calibri" w:hAnsi="Calibri"/>
                <w:b/>
                <w:color w:val="1D4ED8"/>
                <w:sz w:val="19"/>
              </w:rPr>
              <w:t xml:space="preserve"> — Universiti Teknologi Malaysia (UTM)</w:t>
            </w:r>
          </w:p>
        </w:tc>
        <w:tc>
          <w:tcPr>
            <w:tcW w:type="dxa" w:w="5234"/>
            <w:tcMar>
              <w:top w:w="15" w:type="dxa"/>
              <w:bottom w:w="8" w:type="dxa"/>
              <w:left w:w="0" w:type="dxa"/>
              <w:right w:w="0" w:type="dxa"/>
            </w:tcMar>
          </w:tcPr>
          <w:p>
            <w:pPr>
              <w:spacing w:before="30" w:after="0" w:line="276" w:lineRule="auto"/>
              <w:jc w:val="right"/>
            </w:pPr>
            <w:r>
              <w:rPr>
                <w:rFonts w:ascii="Calibri" w:hAnsi="Calibri"/>
                <w:b/>
                <w:color w:val="475569"/>
                <w:sz w:val="17"/>
              </w:rPr>
              <w:t>2021 – 2024  |  CGPA: 3.17</w:t>
            </w:r>
          </w:p>
        </w:tc>
      </w:tr>
    </w:tbl>
    <w:p>
      <w:pPr>
        <w:spacing w:before="0" w:after="30" w:line="264" w:lineRule="auto"/>
      </w:pPr>
      <w:r>
        <w:rPr>
          <w:rFonts w:ascii="Calibri" w:hAnsi="Calibri"/>
          <w:i/>
          <w:color w:val="475569"/>
          <w:sz w:val="17"/>
        </w:rPr>
        <w:t>Johor Bahru, Johor</w:t>
      </w:r>
    </w:p>
    <w:p>
      <w:pPr>
        <w:spacing w:before="0" w:after="30" w:line="276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8"/>
        </w:rPr>
        <w:t xml:space="preserve">Final Year Project: </w:t>
      </w:r>
      <w:r>
        <w:rPr>
          <w:rFonts w:ascii="Calibri" w:hAnsi="Calibri"/>
          <w:color w:val="334155"/>
          <w:sz w:val="18"/>
        </w:rPr>
        <w:t>Geospatial Reporting Management System for UTM (SvelteKit, Tailwind CSS, Google Maps API, Supabase).</w:t>
      </w:r>
    </w:p>
    <w:p>
      <w:pPr>
        <w:spacing w:before="0" w:after="30" w:line="276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8"/>
        </w:rPr>
        <w:t xml:space="preserve">Key Coursework: </w:t>
      </w:r>
      <w:r>
        <w:rPr>
          <w:rFonts w:ascii="Calibri" w:hAnsi="Calibri"/>
          <w:color w:val="334155"/>
          <w:sz w:val="18"/>
        </w:rPr>
        <w:t>Ethical Hacking &amp; Penetration Testing, Cybersecurity Governance &amp; Compliance, Network Security.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693"/>
      </w:tblGrid>
      <w:tr>
        <w:tc>
          <w:tcPr>
            <w:tcW w:type="dxa" w:w="5234"/>
            <w:tcMar>
              <w:top w:w="15" w:type="dxa"/>
              <w:bottom w:w="8" w:type="dxa"/>
              <w:left w:w="0" w:type="dxa"/>
              <w:right w:w="0" w:type="dxa"/>
            </w:tcMar>
          </w:tcPr>
          <w:p>
            <w:pPr>
              <w:spacing w:before="3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Diploma in Computer Science</w:t>
            </w:r>
            <w:r>
              <w:rPr>
                <w:rFonts w:ascii="Calibri" w:hAnsi="Calibri"/>
                <w:b/>
                <w:color w:val="1D4ED8"/>
                <w:sz w:val="19"/>
              </w:rPr>
              <w:t xml:space="preserve"> — Universiti Teknologi Malaysia (UTM)</w:t>
            </w:r>
          </w:p>
        </w:tc>
        <w:tc>
          <w:tcPr>
            <w:tcW w:type="dxa" w:w="5234"/>
            <w:tcMar>
              <w:top w:w="15" w:type="dxa"/>
              <w:bottom w:w="8" w:type="dxa"/>
              <w:left w:w="0" w:type="dxa"/>
              <w:right w:w="0" w:type="dxa"/>
            </w:tcMar>
          </w:tcPr>
          <w:p>
            <w:pPr>
              <w:spacing w:before="30" w:after="0" w:line="276" w:lineRule="auto"/>
              <w:jc w:val="right"/>
            </w:pPr>
            <w:r>
              <w:rPr>
                <w:rFonts w:ascii="Calibri" w:hAnsi="Calibri"/>
                <w:b/>
                <w:color w:val="475569"/>
                <w:sz w:val="17"/>
              </w:rPr>
              <w:t>2017 – 2020  |  CGPA: 2.72</w:t>
            </w:r>
          </w:p>
        </w:tc>
      </w:tr>
    </w:tbl>
    <w:p>
      <w:pPr>
        <w:spacing w:before="0" w:after="30" w:line="264" w:lineRule="auto"/>
      </w:pPr>
      <w:r>
        <w:rPr>
          <w:rFonts w:ascii="Calibri" w:hAnsi="Calibri"/>
          <w:i/>
          <w:color w:val="475569"/>
          <w:sz w:val="17"/>
        </w:rPr>
        <w:t>Kuala Lumpur</w:t>
      </w:r>
    </w:p>
    <w:p>
      <w:pPr>
        <w:spacing w:before="0" w:after="30" w:line="276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8"/>
        </w:rPr>
        <w:t xml:space="preserve">Final Year Project: </w:t>
      </w:r>
      <w:r>
        <w:rPr>
          <w:rFonts w:ascii="Calibri" w:hAnsi="Calibri"/>
          <w:color w:val="334155"/>
          <w:sz w:val="18"/>
        </w:rPr>
        <w:t>E-Commerce Web Platform with user authentication, catalog management, and payment flows (PHP, MySQL, Azure).</w:t>
      </w:r>
    </w:p>
    <w:p>
      <w:pPr>
        <w:spacing w:before="0" w:after="30" w:line="276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8"/>
        </w:rPr>
        <w:t xml:space="preserve">Key Coursework: </w:t>
      </w:r>
      <w:r>
        <w:rPr>
          <w:rFonts w:ascii="Calibri" w:hAnsi="Calibri"/>
          <w:color w:val="334155"/>
          <w:sz w:val="18"/>
        </w:rPr>
        <w:t>Object-Oriented Programming (C#), Structured Programming (C++), Java Programming.</w:t>
      </w:r>
    </w:p>
    <w:p>
      <w:pPr>
        <w:spacing w:before="0" w:after="30" w:line="276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8"/>
        </w:rPr>
        <w:t xml:space="preserve">Cisco Certifications: </w:t>
      </w:r>
      <w:r>
        <w:rPr>
          <w:rFonts w:ascii="Calibri" w:hAnsi="Calibri"/>
          <w:color w:val="334155"/>
          <w:sz w:val="18"/>
        </w:rPr>
        <w:t>CCNAv7: Introduction to Networks • CCNAv7: Switching, Routing &amp; Wireless Essentials • Cisco DevNet Associate • Cisco Network Security • IoT Fundamentals: Connecting Things</w:t>
      </w:r>
    </w:p>
    <w:p>
      <w:pPr>
        <w:spacing w:before="0" w:after="30" w:line="276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8"/>
        </w:rPr>
        <w:t xml:space="preserve">Specialized Analytics: </w:t>
      </w:r>
      <w:r>
        <w:rPr>
          <w:rFonts w:ascii="Calibri" w:hAnsi="Calibri"/>
          <w:color w:val="334155"/>
          <w:sz w:val="18"/>
        </w:rPr>
        <w:t>Microsoft Power BI Data Analysis (Jan 2025) • Python for Data Analysis (Dec 2024)</w:t>
      </w:r>
    </w:p>
    <w:p>
      <w:pPr>
        <w:keepNext/>
        <w:spacing w:before="100" w:after="50"/>
        <w:pBdr>
          <w:bottom w:val="single" w:sz="12" w:space="4" w:color="CBD5E1"/>
        </w:pBdr>
      </w:pPr>
      <w:r>
        <w:rPr>
          <w:rFonts w:ascii="Calibri" w:hAnsi="Calibri"/>
          <w:b/>
          <w:color w:val="0F172A"/>
          <w:sz w:val="21"/>
        </w:rPr>
        <w:t>LANGUAGES</w:t>
      </w:r>
    </w:p>
    <w:p>
      <w:pPr>
        <w:spacing w:before="20" w:after="40"/>
      </w:pPr>
      <w:r>
        <w:rPr>
          <w:rFonts w:ascii="Calibri" w:hAnsi="Calibri"/>
          <w:b/>
          <w:sz w:val="17"/>
        </w:rPr>
        <w:t xml:space="preserve">Malay: </w:t>
      </w:r>
      <w:r>
        <w:rPr>
          <w:rFonts w:ascii="Calibri" w:hAnsi="Calibri"/>
          <w:sz w:val="17"/>
        </w:rPr>
        <w:t xml:space="preserve">Native / Bilingual Proficiency     |     </w:t>
      </w:r>
      <w:r>
        <w:rPr>
          <w:rFonts w:ascii="Calibri" w:hAnsi="Calibri"/>
          <w:b/>
          <w:sz w:val="17"/>
        </w:rPr>
        <w:t xml:space="preserve">English: </w:t>
      </w:r>
      <w:r>
        <w:rPr>
          <w:rFonts w:ascii="Calibri" w:hAnsi="Calibri"/>
          <w:sz w:val="17"/>
        </w:rPr>
        <w:t>Professional Working Proficiency</w:t>
      </w:r>
    </w:p>
    <w:sectPr w:rsidR="00FC693F" w:rsidRPr="0006063C" w:rsidSect="00034616">
      <w:pgSz w:w="11909" w:h="16834"/>
      <w:pgMar w:top="605" w:right="720" w:bottom="605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