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02AA" w14:textId="6E9F96F1" w:rsidR="004D36D7" w:rsidRPr="00FD4A68" w:rsidRDefault="00E90865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</w:p>
    <w:p w14:paraId="2AE1A117" w14:textId="29E0F786" w:rsidR="00DD2048" w:rsidRDefault="00DD2048" w:rsidP="007072D7">
      <w:pPr>
        <w:pStyle w:val="Heading1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 xml:space="preserve">Part 5: Configure Rapid PVST </w:t>
      </w:r>
      <w:proofErr w:type="spellStart"/>
      <w:r>
        <w:t>PortFast</w:t>
      </w:r>
      <w:proofErr w:type="spellEnd"/>
      <w:r>
        <w:t xml:space="preserve">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lastRenderedPageBreak/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</w:t>
      </w:r>
      <w:proofErr w:type="spellStart"/>
      <w:r>
        <w:t>BlackHole</w:t>
      </w:r>
      <w:proofErr w:type="spellEnd"/>
      <w:r>
        <w:t xml:space="preserve">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 xml:space="preserve">ports to the </w:t>
      </w:r>
      <w:proofErr w:type="spellStart"/>
      <w:r>
        <w:t>BlackHole</w:t>
      </w:r>
      <w:proofErr w:type="spellEnd"/>
      <w:r>
        <w:t xml:space="preserve">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3A325A72" w14:textId="243FBEC3" w:rsidR="00DD2048" w:rsidRDefault="00DD2048" w:rsidP="007072D7">
      <w:pPr>
        <w:pStyle w:val="Heading2"/>
      </w:pPr>
      <w:r>
        <w:t xml:space="preserve">Configure </w:t>
      </w:r>
      <w:proofErr w:type="spellStart"/>
      <w:r>
        <w:t>PortFast</w:t>
      </w:r>
      <w:proofErr w:type="spellEnd"/>
      <w:r>
        <w:t>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43395B74" w:rsidR="00081DA5" w:rsidRDefault="00DD2048" w:rsidP="00081DA5">
      <w:pPr>
        <w:pStyle w:val="SubStepAlpha"/>
        <w:numPr>
          <w:ilvl w:val="3"/>
          <w:numId w:val="2"/>
        </w:numPr>
      </w:pPr>
      <w:r>
        <w:t xml:space="preserve">Configure SW-2 so that all access ports will use </w:t>
      </w:r>
      <w:proofErr w:type="spellStart"/>
      <w:r>
        <w:t>PortFast</w:t>
      </w:r>
      <w:proofErr w:type="spellEnd"/>
      <w:r>
        <w:t xml:space="preserve"> by default.</w:t>
      </w:r>
    </w:p>
    <w:p w14:paraId="0A765A1E" w14:textId="474DF1B3" w:rsidR="00AB10E6" w:rsidRDefault="00AB10E6" w:rsidP="00AB10E6">
      <w:pPr>
        <w:pStyle w:val="ConfigWindow"/>
      </w:pPr>
      <w:r>
        <w:t>End of document</w:t>
      </w:r>
    </w:p>
    <w:sectPr w:rsidR="00AB10E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9B94" w14:textId="77777777" w:rsidR="00E90865" w:rsidRDefault="00E90865" w:rsidP="00710659">
      <w:pPr>
        <w:spacing w:after="0" w:line="240" w:lineRule="auto"/>
      </w:pPr>
      <w:r>
        <w:separator/>
      </w:r>
    </w:p>
    <w:p w14:paraId="07526B97" w14:textId="77777777" w:rsidR="00E90865" w:rsidRDefault="00E90865"/>
  </w:endnote>
  <w:endnote w:type="continuationSeparator" w:id="0">
    <w:p w14:paraId="2113CCF6" w14:textId="77777777" w:rsidR="00E90865" w:rsidRDefault="00E90865" w:rsidP="00710659">
      <w:pPr>
        <w:spacing w:after="0" w:line="240" w:lineRule="auto"/>
      </w:pPr>
      <w:r>
        <w:continuationSeparator/>
      </w:r>
    </w:p>
    <w:p w14:paraId="0FAABD7B" w14:textId="77777777" w:rsidR="00E90865" w:rsidRDefault="00E90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D27C" w14:textId="4F37486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E382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A0047" w14:textId="58BCA5D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E382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267C6" w14:textId="77777777" w:rsidR="00E90865" w:rsidRDefault="00E90865" w:rsidP="00710659">
      <w:pPr>
        <w:spacing w:after="0" w:line="240" w:lineRule="auto"/>
      </w:pPr>
      <w:r>
        <w:separator/>
      </w:r>
    </w:p>
    <w:p w14:paraId="6D6400F3" w14:textId="77777777" w:rsidR="00E90865" w:rsidRDefault="00E90865"/>
  </w:footnote>
  <w:footnote w:type="continuationSeparator" w:id="0">
    <w:p w14:paraId="09726116" w14:textId="77777777" w:rsidR="00E90865" w:rsidRDefault="00E90865" w:rsidP="00710659">
      <w:pPr>
        <w:spacing w:after="0" w:line="240" w:lineRule="auto"/>
      </w:pPr>
      <w:r>
        <w:continuationSeparator/>
      </w:r>
    </w:p>
    <w:p w14:paraId="040342FE" w14:textId="77777777" w:rsidR="00E90865" w:rsidRDefault="00E908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247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1604"/>
    <w:rsid w:val="003D6EF1"/>
    <w:rsid w:val="003E382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B88"/>
    <w:rsid w:val="0041293B"/>
    <w:rsid w:val="004131B0"/>
    <w:rsid w:val="00416C42"/>
    <w:rsid w:val="00422476"/>
    <w:rsid w:val="0042385C"/>
    <w:rsid w:val="00426FA5"/>
    <w:rsid w:val="004279AD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C3A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77971"/>
    <w:rsid w:val="00A807C1"/>
    <w:rsid w:val="00A82658"/>
    <w:rsid w:val="00A83374"/>
    <w:rsid w:val="00A96172"/>
    <w:rsid w:val="00A96D52"/>
    <w:rsid w:val="00A97C5F"/>
    <w:rsid w:val="00AB0D6A"/>
    <w:rsid w:val="00AB10E6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865"/>
    <w:rsid w:val="00E97333"/>
    <w:rsid w:val="00EA47B6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3372A8"/>
    <w:rsid w:val="007A2D6D"/>
    <w:rsid w:val="008335BF"/>
    <w:rsid w:val="008A32C6"/>
    <w:rsid w:val="009D2C22"/>
    <w:rsid w:val="00AB33CC"/>
    <w:rsid w:val="00B2034F"/>
    <w:rsid w:val="00E957B5"/>
    <w:rsid w:val="00F375C0"/>
    <w:rsid w:val="00F511CF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C5E45-F49B-48AF-87B5-F38FD391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creator>Martin Benson</dc:creator>
  <dc:description>2019</dc:description>
  <cp:lastModifiedBy>Suk-Yi Pennock -X (spennock - UNICON INC at Cisco)</cp:lastModifiedBy>
  <cp:revision>3</cp:revision>
  <dcterms:created xsi:type="dcterms:W3CDTF">2020-09-02T23:04:00Z</dcterms:created>
  <dcterms:modified xsi:type="dcterms:W3CDTF">2020-09-02T23:05:00Z</dcterms:modified>
</cp:coreProperties>
</file>