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left w:val="none"/>
          <w:bottom w:val="none"/>
          <w:right w:val="none"/>
          <w:insideH w:val="none"/>
          <w:insideV w:val="none"/>
        </w:tblBorders>
        <w:tblLayout w:type="fixed"/>
      </w:tblPr>
      <w:tblGrid>
        <w:gridCol w:w="100"/>
      </w:tblGrid>
      <w:tr>
        <w:trPr>
          <w:trHeight w:val="16838" w:hRule="exact"/>
        </w:trPr>
        <w:tc>
          <w:tcPr>
            <w:tcBorders>
              <w:top w:val="none"/>
              <w:left w:val="none"/>
              <w:bottom w:val="none"/>
              <w:right w:val="none"/>
            </w:tcBorders>
            <w:shd w:fill="162235" w:val="clear"/>
          </w:tcPr>
          <w:p>
            <w:pPr>
              <w:spacing w:before="3440"/>
            </w:pPr>
          </w:p>
          <w:p>
            <w:pPr>
              <w:pBdr>
                <w:bottom w:val="single" w:color="37DCF2" w:sz="6" w:space="8"/>
              </w:pBdr>
              <w:spacing w:after="500"/>
              <w:ind w:left="1200" w:right="800"/>
            </w:pPr>
            <w:r>
              <w:rPr>
                <w:rFonts w:ascii="Calibri" w:eastAsia="SimHei"/>
                <w:color w:val="37DCF2"/>
                <w:spacing w:val="40"/>
                <w:sz w:val="18"/>
                <w:szCs w:val="18"/>
              </w:rPr>
              <w:t xml:space="preserve">E  N  G  I  N  E  E  R  I  N  G     R  C  A</w:t>
            </w:r>
          </w:p>
          <w:p>
            <w:pPr>
              <w:spacing w:after="100" w:line="920" w:lineRule="atLeast"/>
              <w:ind w:left="1200"/>
            </w:pPr>
            <w:r>
              <w:rPr>
                <w:rFonts w:ascii="Arial" w:eastAsia="SimHei"/>
                <w:b/>
                <w:bCs/>
                <w:color w:val="FFFFFF"/>
                <w:sz w:val="80"/>
                <w:szCs w:val="80"/>
              </w:rPr>
              <w:t xml:space="preserve">Top-4 Coverage</w:t>
            </w:r>
          </w:p>
          <w:p>
            <w:pPr>
              <w:spacing w:after="100" w:line="920" w:lineRule="atLeast"/>
              <w:ind w:left="1200"/>
            </w:pPr>
            <w:r>
              <w:rPr>
                <w:rFonts w:ascii="Arial" w:eastAsia="SimHei"/>
                <w:b/>
                <w:bCs/>
                <w:color w:val="FFFFFF"/>
                <w:sz w:val="80"/>
                <w:szCs w:val="80"/>
              </w:rPr>
              <w:t xml:space="preserve">Engine — Diagnostic</w:t>
            </w:r>
          </w:p>
          <w:p>
            <w:pPr>
              <w:spacing w:after="300" w:line="920" w:lineRule="atLeast"/>
              <w:ind w:left="1200"/>
            </w:pPr>
            <w:r>
              <w:rPr>
                <w:rFonts w:ascii="Arial" w:eastAsia="SimHei"/>
                <w:b/>
                <w:bCs/>
                <w:color w:val="FFFFFF"/>
                <w:sz w:val="80"/>
                <w:szCs w:val="80"/>
              </w:rPr>
              <w:t xml:space="preserve">Report</w:t>
            </w:r>
          </w:p>
          <w:p>
            <w:pPr>
              <w:spacing w:after="800" w:line="340" w:lineRule="atLeast"/>
              <w:ind w:left="1200" w:right="800"/>
            </w:pPr>
            <w:r>
              <w:rPr>
                <w:rFonts w:ascii="Arial" w:eastAsia="Microsoft YaHei"/>
                <w:color w:val="B0B8C0"/>
                <w:sz w:val="24"/>
                <w:szCs w:val="24"/>
              </w:rPr>
              <w:t xml:space="preserve">Pre-code root-cause analysis: why the dynamic Top-4 loses the theoretical [1, 2, 5, 10] baseline</w:t>
            </w:r>
          </w:p>
          <w:p>
            <w:pPr>
              <w:pBdr>
                <w:left w:val="single" w:color="37DCF2" w:sz="8" w:space="12"/>
              </w:pBdr>
              <w:spacing w:after="80"/>
              <w:ind w:left="1400"/>
            </w:pPr>
            <w:r>
              <w:rPr>
                <w:rFonts w:ascii="Arial" w:eastAsia="Microsoft YaHei"/>
                <w:color w:val="90989F"/>
                <w:sz w:val="24"/>
                <w:szCs w:val="24"/>
              </w:rPr>
              <w:t xml:space="preserve">Dataset: 178 stored walk-forward rounds (era-3 clean validation)</w:t>
            </w:r>
          </w:p>
          <w:p>
            <w:pPr>
              <w:pBdr>
                <w:left w:val="single" w:color="37DCF2" w:sz="8" w:space="12"/>
              </w:pBdr>
              <w:spacing w:after="80"/>
              <w:ind w:left="1400"/>
            </w:pPr>
            <w:r>
              <w:rPr>
                <w:rFonts w:ascii="Arial" w:eastAsia="Microsoft YaHei"/>
                <w:color w:val="90989F"/>
                <w:sz w:val="24"/>
                <w:szCs w:val="24"/>
              </w:rPr>
              <w:t xml:space="preserve">Mode: observation-only — zero production code modified</w:t>
            </w:r>
          </w:p>
          <w:p>
            <w:pPr>
              <w:pBdr>
                <w:left w:val="single" w:color="37DCF2" w:sz="8" w:space="12"/>
              </w:pBdr>
              <w:spacing w:after="80"/>
              <w:ind w:left="1400"/>
            </w:pPr>
            <w:r>
              <w:rPr>
                <w:rFonts w:ascii="Arial" w:eastAsia="Microsoft YaHei"/>
                <w:color w:val="90989F"/>
                <w:sz w:val="24"/>
                <w:szCs w:val="24"/>
              </w:rPr>
              <w:t xml:space="preserve">Benchmarks: dynamic 66.29% vs theoretical 85.96% vs random 50.00%</w:t>
            </w:r>
          </w:p>
          <w:p>
            <w:pPr>
              <w:pBdr>
                <w:left w:val="single" w:color="37DCF2" w:sz="8" w:space="12"/>
              </w:pBdr>
              <w:spacing w:after="80"/>
              <w:ind w:left="1400"/>
            </w:pPr>
            <w:r>
              <w:rPr>
                <w:rFonts w:ascii="Arial" w:eastAsia="Microsoft YaHei"/>
                <w:color w:val="90989F"/>
                <w:sz w:val="24"/>
                <w:szCs w:val="24"/>
              </w:rPr>
              <w:t xml:space="preserve">Prepared for: Top-4 Coverage Optimization Program</w:t>
            </w:r>
          </w:p>
          <w:p>
            <w:pPr>
              <w:pBdr>
                <w:left w:val="single" w:color="37DCF2" w:sz="8" w:space="12"/>
              </w:pBdr>
              <w:spacing w:after="80"/>
              <w:ind w:left="1400"/>
            </w:pPr>
            <w:r>
              <w:rPr>
                <w:rFonts w:ascii="Arial" w:eastAsia="Microsoft YaHei"/>
                <w:color w:val="90989F"/>
                <w:sz w:val="24"/>
                <w:szCs w:val="24"/>
              </w:rPr>
              <w:t xml:space="preserve">Date: 2026-09-13</w:t>
            </w:r>
          </w:p>
          <w:p>
            <w:pPr>
              <w:spacing w:before="3440"/>
            </w:pPr>
          </w:p>
          <w:p>
            <w:pPr>
              <w:pBdr>
                <w:top w:val="single" w:color="37DCF2" w:sz="2" w:space="8"/>
              </w:pBdr>
              <w:spacing w:before="200"/>
              <w:ind w:left="1200" w:right="800"/>
            </w:pPr>
            <w:r>
              <w:rPr>
                <w:rFonts w:ascii="Arial"/>
                <w:color w:val="687078"/>
                <w:sz w:val="16"/>
                <w:szCs w:val="16"/>
              </w:rPr>
              <w:t xml:space="preserve">Prediction Engine Development — Phase 1</w:t>
            </w:r>
            <w:r>
              <w:t xml:space="preserve">                                        </w:t>
            </w:r>
            <w:r>
              <w:rPr>
                <w:rFonts w:ascii="Arial"/>
                <w:color w:val="687078"/>
                <w:sz w:val="16"/>
                <w:szCs w:val="16"/>
              </w:rPr>
              <w:t xml:space="preserve">Confidential — internal working document</w:t>
            </w:r>
          </w:p>
        </w:tc>
      </w:tr>
    </w:tbl>
    <w:p>
      <w:pPr>
        <w:sectPr>
          <w:pgSz w:w="11906" w:h="16838" w:orient="portrait"/>
          <w:pgMar w:top="0" w:right="0" w:bottom="0" w:left="0" w:header="708" w:footer="708" w:gutter="0"/>
          <w:docGrid w:linePitch="360"/>
        </w:sectPr>
      </w:pPr>
    </w:p>
    <w:p>
      <w:pPr>
        <w:spacing w:after="360" w:before="480"/>
        <w:jc w:val="center"/>
      </w:pPr>
      <w:r>
        <w:rPr>
          <w:rFonts w:ascii="Times New Roman" w:eastAsia="SimHei"/>
          <w:b/>
          <w:bCs/>
          <w:color w:val="162235"/>
          <w:sz w:val="32"/>
          <w:szCs w:val="32"/>
        </w:rPr>
        <w:t xml:space="preserve">Table of Contents</w:t>
      </w:r>
    </w:p>
    <w:sdt>
      <w:sdtPr>
        <w:alias w:val="Table of Contents"/>
      </w:sdtPr>
      <w:sdtContent>
        <w:p>
          <w:r>
            <w:fldChar w:fldCharType="begin" w:dirty="true"/>
          </w:r>
          <w:r>
            <w:instrText xml:space="preserve">TOC \h \o "1-2"</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Scope, Data Sources and Integrity</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2.1 Data basis</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2.2 Caveats and boundaries</w:t>
            </w:r>
            <w:r>
              <w:tab/>
            </w:r>
            <w:r>
              <w:fldChar w:fldCharType="begin"/>
            </w:r>
            <w:r>
              <w:instrText xml:space="preserve"> PAGEREF _Toc100003 \h </w:instrText>
            </w:r>
            <w:r>
              <w:fldChar w:fldCharType="separate"/>
            </w:r>
            <w:r>
              <w:t>2</w:t>
            </w:r>
            <w:r>
              <w:fldChar w:fldCharType="end"/>
            </w:r>
          </w:hyperlink>
        </w:p>
        <w:p>
          <w:pPr>
            <w:pStyle w:val="9"/>
            <w:tabs>
              <w:tab w:val="right" w:leader="dot" w:pos="9026"/>
            </w:tabs>
            <w:spacing w:before="120" w:after="60"/>
          </w:pPr>
          <w:hyperlink w:anchor="_Toc100004" w:history="1">
            <w:r>
              <w:rPr>
                <w:rStyle w:val="Hyperlink"/>
              </w:rPr>
              <w:t>3. Benchmark Comparison on the Same 178 Rounds</w:t>
            </w:r>
            <w:r>
              <w:tab/>
            </w:r>
            <w:r>
              <w:fldChar w:fldCharType="begin"/>
            </w:r>
            <w:r>
              <w:instrText xml:space="preserve"> PAGEREF _Toc100004 \h </w:instrText>
            </w:r>
            <w:r>
              <w:fldChar w:fldCharType="separate"/>
            </w:r>
            <w:r>
              <w:t>3</w:t>
            </w:r>
            <w:r>
              <w:fldChar w:fldCharType="end"/>
            </w:r>
          </w:hyperlink>
        </w:p>
        <w:p>
          <w:pPr>
            <w:pStyle w:val="9"/>
            <w:tabs>
              <w:tab w:val="right" w:leader="dot" w:pos="9026"/>
            </w:tabs>
            <w:spacing w:before="120" w:after="60"/>
          </w:pPr>
          <w:hyperlink w:anchor="_Toc100005" w:history="1">
            <w:r>
              <w:rPr>
                <w:rStyle w:val="Hyperlink"/>
              </w:rPr>
              <w:t>4. Miss Anatomy and Root-Cause Quantification</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4.1 The 60 misses decompose into 41 avoidable and 19 structural</w:t>
            </w:r>
            <w:r>
              <w:tab/>
            </w:r>
            <w:r>
              <w:fldChar w:fldCharType="begin"/>
            </w:r>
            <w:r>
              <w:instrText xml:space="preserve"> PAGEREF _Toc100006 \h </w:instrText>
            </w:r>
            <w:r>
              <w:fldChar w:fldCharType="separate"/>
            </w:r>
            <w:r>
              <w:t>4</w:t>
            </w:r>
            <w:r>
              <w:fldChar w:fldCharType="end"/>
            </w:r>
          </w:hyperlink>
        </w:p>
        <w:p>
          <w:pPr>
            <w:pStyle w:val="11"/>
            <w:ind w:left="360"/>
            <w:tabs>
              <w:tab w:val="right" w:leader="dot" w:pos="9026"/>
            </w:tabs>
            <w:spacing w:before="120" w:after="60"/>
          </w:pPr>
          <w:hyperlink w:anchor="_Toc100007" w:history="1">
            <w:r>
              <w:rPr>
                <w:rStyle w:val="Hyperlink"/>
              </w:rPr>
              <w:t>4.2 Bonus slot economics</w:t>
            </w:r>
            <w:r>
              <w:tab/>
            </w:r>
            <w:r>
              <w:fldChar w:fldCharType="begin"/>
            </w:r>
            <w:r>
              <w:instrText xml:space="preserve"> PAGEREF _Toc100007 \h </w:instrText>
            </w:r>
            <w:r>
              <w:fldChar w:fldCharType="separate"/>
            </w:r>
            <w:r>
              <w:t>4</w:t>
            </w:r>
            <w:r>
              <w:fldChar w:fldCharType="end"/>
            </w:r>
          </w:hyperlink>
        </w:p>
        <w:p>
          <w:pPr>
            <w:pStyle w:val="9"/>
            <w:tabs>
              <w:tab w:val="right" w:leader="dot" w:pos="9026"/>
            </w:tabs>
            <w:spacing w:before="120" w:after="60"/>
          </w:pPr>
          <w:hyperlink w:anchor="_Toc100008" w:history="1">
            <w:r>
              <w:rPr>
                <w:rStyle w:val="Hyperlink"/>
              </w:rPr>
              <w:t>5. Mechanism Audit: Why the Engine Does This</w:t>
            </w:r>
            <w:r>
              <w:tab/>
            </w:r>
            <w:r>
              <w:fldChar w:fldCharType="begin"/>
            </w:r>
            <w:r>
              <w:instrText xml:space="preserve"> PAGEREF _Toc100008 \h </w:instrText>
            </w:r>
            <w:r>
              <w:fldChar w:fldCharType="separate"/>
            </w:r>
            <w:r>
              <w:t>5</w:t>
            </w:r>
            <w:r>
              <w:fldChar w:fldCharType="end"/>
            </w:r>
          </w:hyperlink>
        </w:p>
        <w:p>
          <w:pPr>
            <w:pStyle w:val="11"/>
            <w:ind w:left="360"/>
            <w:tabs>
              <w:tab w:val="right" w:leader="dot" w:pos="9026"/>
            </w:tabs>
            <w:spacing w:before="120" w:after="60"/>
          </w:pPr>
          <w:hyperlink w:anchor="_Toc100009" w:history="1">
            <w:r>
              <w:rPr>
                <w:rStyle w:val="Hyperlink"/>
              </w:rPr>
              <w:t>5.1 The evidence score is heteroscedastic by construction</w:t>
            </w:r>
            <w:r>
              <w:tab/>
            </w:r>
            <w:r>
              <w:fldChar w:fldCharType="begin"/>
            </w:r>
            <w:r>
              <w:instrText xml:space="preserve"> PAGEREF _Toc100009 \h </w:instrText>
            </w:r>
            <w:r>
              <w:fldChar w:fldCharType="separate"/>
            </w:r>
            <w:r>
              <w:t>5</w:t>
            </w:r>
            <w:r>
              <w:fldChar w:fldCharType="end"/>
            </w:r>
          </w:hyperlink>
        </w:p>
        <w:p>
          <w:pPr>
            <w:pStyle w:val="11"/>
            <w:ind w:left="360"/>
            <w:tabs>
              <w:tab w:val="right" w:leader="dot" w:pos="9026"/>
            </w:tabs>
            <w:spacing w:before="120" w:after="60"/>
          </w:pPr>
          <w:hyperlink w:anchor="_Toc100010" w:history="1">
            <w:r>
              <w:rPr>
                <w:rStyle w:val="Hyperlink"/>
              </w:rPr>
              <w:t>5.2 Recency multipliers and the pattern-shift overwrite</w:t>
            </w:r>
            <w:r>
              <w:tab/>
            </w:r>
            <w:r>
              <w:fldChar w:fldCharType="begin"/>
            </w:r>
            <w:r>
              <w:instrText xml:space="preserve"> PAGEREF _Toc100010 \h </w:instrText>
            </w:r>
            <w:r>
              <w:fldChar w:fldCharType="separate"/>
            </w:r>
            <w:r>
              <w:t>5</w:t>
            </w:r>
            <w:r>
              <w:fldChar w:fldCharType="end"/>
            </w:r>
          </w:hyperlink>
        </w:p>
        <w:p>
          <w:pPr>
            <w:pStyle w:val="11"/>
            <w:ind w:left="360"/>
            <w:tabs>
              <w:tab w:val="right" w:leader="dot" w:pos="9026"/>
            </w:tabs>
            <w:spacing w:before="120" w:after="60"/>
          </w:pPr>
          <w:hyperlink w:anchor="_Toc100011" w:history="1">
            <w:r>
              <w:rPr>
                <w:rStyle w:val="Hyperlink"/>
              </w:rPr>
              <w:t>5.3 Persistence penalty misfire on high-prior outcomes</w:t>
            </w:r>
            <w:r>
              <w:tab/>
            </w:r>
            <w:r>
              <w:fldChar w:fldCharType="begin"/>
            </w:r>
            <w:r>
              <w:instrText xml:space="preserve"> PAGEREF _Toc100011 \h </w:instrText>
            </w:r>
            <w:r>
              <w:fldChar w:fldCharType="separate"/>
            </w:r>
            <w:r>
              <w:t>5</w:t>
            </w:r>
            <w:r>
              <w:fldChar w:fldCharType="end"/>
            </w:r>
          </w:hyperlink>
        </w:p>
        <w:p>
          <w:pPr>
            <w:pStyle w:val="11"/>
            <w:ind w:left="360"/>
            <w:tabs>
              <w:tab w:val="right" w:leader="dot" w:pos="9026"/>
            </w:tabs>
            <w:spacing w:before="120" w:after="60"/>
          </w:pPr>
          <w:hyperlink w:anchor="_Toc100012" w:history="1">
            <w:r>
              <w:rPr>
                <w:rStyle w:val="Hyperlink"/>
              </w:rPr>
              <w:t>5.4 Optimizer verdict: consistent but vacuous</w:t>
            </w:r>
            <w:r>
              <w:tab/>
            </w:r>
            <w:r>
              <w:fldChar w:fldCharType="begin"/>
            </w:r>
            <w:r>
              <w:instrText xml:space="preserve"> PAGEREF _Toc100012 \h </w:instrText>
            </w:r>
            <w:r>
              <w:fldChar w:fldCharType="separate"/>
            </w:r>
            <w:r>
              <w:t>6</w:t>
            </w:r>
            <w:r>
              <w:fldChar w:fldCharType="end"/>
            </w:r>
          </w:hyperlink>
        </w:p>
        <w:p>
          <w:pPr>
            <w:pStyle w:val="11"/>
            <w:ind w:left="360"/>
            <w:tabs>
              <w:tab w:val="right" w:leader="dot" w:pos="9026"/>
            </w:tabs>
            <w:spacing w:before="120" w:after="60"/>
          </w:pPr>
          <w:hyperlink w:anchor="_Toc100013" w:history="1">
            <w:r>
              <w:rPr>
                <w:rStyle w:val="Hyperlink"/>
              </w:rPr>
              <w:t>5.5 Calibration verdict: pseudo-probabilities and a pessimistic confidence display</w:t>
            </w:r>
            <w:r>
              <w:tab/>
            </w:r>
            <w:r>
              <w:fldChar w:fldCharType="begin"/>
            </w:r>
            <w:r>
              <w:instrText xml:space="preserve"> PAGEREF _Toc100013 \h </w:instrText>
            </w:r>
            <w:r>
              <w:fldChar w:fldCharType="separate"/>
            </w:r>
            <w:r>
              <w:t>6</w:t>
            </w:r>
            <w:r>
              <w:fldChar w:fldCharType="end"/>
            </w:r>
          </w:hyperlink>
        </w:p>
        <w:p>
          <w:pPr>
            <w:pStyle w:val="11"/>
            <w:ind w:left="360"/>
            <w:tabs>
              <w:tab w:val="right" w:leader="dot" w:pos="9026"/>
            </w:tabs>
            <w:spacing w:before="120" w:after="60"/>
          </w:pPr>
          <w:hyperlink w:anchor="_Toc100014" w:history="1">
            <w:r>
              <w:rPr>
                <w:rStyle w:val="Hyperlink"/>
              </w:rPr>
              <w:t>5.6 Rare-outcome reliability layer: designed correctly, never tested live</w:t>
            </w:r>
            <w:r>
              <w:tab/>
            </w:r>
            <w:r>
              <w:fldChar w:fldCharType="begin"/>
            </w:r>
            <w:r>
              <w:instrText xml:space="preserve"> PAGEREF _Toc100014 \h </w:instrText>
            </w:r>
            <w:r>
              <w:fldChar w:fldCharType="separate"/>
            </w:r>
            <w:r>
              <w:t>6</w:t>
            </w:r>
            <w:r>
              <w:fldChar w:fldCharType="end"/>
            </w:r>
          </w:hyperlink>
        </w:p>
        <w:p>
          <w:pPr>
            <w:pStyle w:val="9"/>
            <w:tabs>
              <w:tab w:val="right" w:leader="dot" w:pos="9026"/>
            </w:tabs>
            <w:spacing w:before="120" w:after="60"/>
          </w:pPr>
          <w:hyperlink w:anchor="_Toc100015" w:history="1">
            <w:r>
              <w:rPr>
                <w:rStyle w:val="Hyperlink"/>
              </w:rPr>
              <w:t>6. Root-Cause Classification</w:t>
            </w:r>
            <w:r>
              <w:tab/>
            </w:r>
            <w:r>
              <w:fldChar w:fldCharType="begin"/>
            </w:r>
            <w:r>
              <w:instrText xml:space="preserve"> PAGEREF _Toc100015 \h </w:instrText>
            </w:r>
            <w:r>
              <w:fldChar w:fldCharType="separate"/>
            </w:r>
            <w:r>
              <w:t>7</w:t>
            </w:r>
            <w:r>
              <w:fldChar w:fldCharType="end"/>
            </w:r>
          </w:hyperlink>
        </w:p>
        <w:p>
          <w:pPr>
            <w:pStyle w:val="9"/>
            <w:tabs>
              <w:tab w:val="right" w:leader="dot" w:pos="9026"/>
            </w:tabs>
            <w:spacing w:before="120" w:after="60"/>
          </w:pPr>
          <w:hyperlink w:anchor="_Toc100016" w:history="1">
            <w:r>
              <w:rPr>
                <w:rStyle w:val="Hyperlink"/>
              </w:rPr>
              <w:t>7. Exact Proposed Changes</w:t>
            </w:r>
            <w:r>
              <w:tab/>
            </w:r>
            <w:r>
              <w:fldChar w:fldCharType="begin"/>
            </w:r>
            <w:r>
              <w:instrText xml:space="preserve"> PAGEREF _Toc100016 \h </w:instrText>
            </w:r>
            <w:r>
              <w:fldChar w:fldCharType="separate"/>
            </w:r>
            <w:r>
              <w:t>7</w:t>
            </w:r>
            <w:r>
              <w:fldChar w:fldCharType="end"/>
            </w:r>
          </w:hyperlink>
        </w:p>
        <w:p>
          <w:pPr>
            <w:pStyle w:val="9"/>
            <w:tabs>
              <w:tab w:val="right" w:leader="dot" w:pos="9026"/>
            </w:tabs>
            <w:spacing w:before="120" w:after="60"/>
          </w:pPr>
          <w:hyperlink w:anchor="_Toc100017" w:history="1">
            <w:r>
              <w:rPr>
                <w:rStyle w:val="Hyperlink"/>
              </w:rPr>
              <w:t>8. Risk Register</w:t>
            </w:r>
            <w:r>
              <w:tab/>
            </w:r>
            <w:r>
              <w:fldChar w:fldCharType="begin"/>
            </w:r>
            <w:r>
              <w:instrText xml:space="preserve"> PAGEREF _Toc100017 \h </w:instrText>
            </w:r>
            <w:r>
              <w:fldChar w:fldCharType="separate"/>
            </w:r>
            <w:r>
              <w:t>7</w:t>
            </w:r>
            <w:r>
              <w:fldChar w:fldCharType="end"/>
            </w:r>
          </w:hyperlink>
        </w:p>
        <w:p>
          <w:pPr>
            <w:pStyle w:val="9"/>
            <w:tabs>
              <w:tab w:val="right" w:leader="dot" w:pos="9026"/>
            </w:tabs>
            <w:spacing w:before="120" w:after="60"/>
          </w:pPr>
          <w:hyperlink w:anchor="_Toc100018" w:history="1">
            <w:r>
              <w:rPr>
                <w:rStyle w:val="Hyperlink"/>
              </w:rPr>
              <w:t>9. Validation Plan, Success Criteria and No-Go Compliance</w:t>
            </w:r>
            <w:r>
              <w:tab/>
            </w:r>
            <w:r>
              <w:fldChar w:fldCharType="begin"/>
            </w:r>
            <w:r>
              <w:instrText xml:space="preserve"> PAGEREF _Toc100018 \h </w:instrText>
            </w:r>
            <w:r>
              <w:fldChar w:fldCharType="separate"/>
            </w:r>
            <w:r>
              <w:t>8</w:t>
            </w:r>
            <w:r>
              <w:fldChar w:fldCharType="end"/>
            </w:r>
          </w:hyperlink>
        </w:p>
        <w:p>
          <w:pPr>
            <w:pStyle w:val="11"/>
            <w:ind w:left="360"/>
            <w:tabs>
              <w:tab w:val="right" w:leader="dot" w:pos="9026"/>
            </w:tabs>
            <w:spacing w:before="120" w:after="60"/>
          </w:pPr>
          <w:hyperlink w:anchor="_Toc100019" w:history="1">
            <w:r>
              <w:rPr>
                <w:rStyle w:val="Hyperlink"/>
              </w:rPr>
              <w:t>9.1 Protocol</w:t>
            </w:r>
            <w:r>
              <w:tab/>
            </w:r>
            <w:r>
              <w:fldChar w:fldCharType="begin"/>
            </w:r>
            <w:r>
              <w:instrText xml:space="preserve"> PAGEREF _Toc100019 \h </w:instrText>
            </w:r>
            <w:r>
              <w:fldChar w:fldCharType="separate"/>
            </w:r>
            <w:r>
              <w:t>8</w:t>
            </w:r>
            <w:r>
              <w:fldChar w:fldCharType="end"/>
            </w:r>
          </w:hyperlink>
        </w:p>
        <w:p>
          <w:pPr>
            <w:pStyle w:val="11"/>
            <w:ind w:left="360"/>
            <w:tabs>
              <w:tab w:val="right" w:leader="dot" w:pos="9026"/>
            </w:tabs>
            <w:spacing w:before="120" w:after="60"/>
          </w:pPr>
          <w:hyperlink w:anchor="_Toc100020" w:history="1">
            <w:r>
              <w:rPr>
                <w:rStyle w:val="Hyperlink"/>
              </w:rPr>
              <w:t>9.2 Success criteria and the 100 percent target</w:t>
            </w:r>
            <w:r>
              <w:tab/>
            </w:r>
            <w:r>
              <w:fldChar w:fldCharType="begin"/>
            </w:r>
            <w:r>
              <w:instrText xml:space="preserve"> PAGEREF _Toc100020 \h </w:instrText>
            </w:r>
            <w:r>
              <w:fldChar w:fldCharType="separate"/>
            </w:r>
            <w:r>
              <w:t>8</w:t>
            </w:r>
            <w:r>
              <w:fldChar w:fldCharType="end"/>
            </w:r>
          </w:hyperlink>
        </w:p>
        <w:p>
          <w:pPr>
            <w:pStyle w:val="11"/>
            <w:ind w:left="360"/>
            <w:tabs>
              <w:tab w:val="right" w:leader="dot" w:pos="9026"/>
            </w:tabs>
            <w:spacing w:before="120" w:after="60"/>
          </w:pPr>
          <w:hyperlink w:anchor="_Toc100021" w:history="1">
            <w:r>
              <w:rPr>
                <w:rStyle w:val="Hyperlink"/>
              </w:rPr>
              <w:t>9.3 No-go compliance</w:t>
            </w:r>
            <w:r>
              <w:tab/>
            </w:r>
            <w:r>
              <w:fldChar w:fldCharType="begin"/>
            </w:r>
            <w:r>
              <w:instrText xml:space="preserve"> PAGEREF _Toc100021 \h </w:instrText>
            </w:r>
            <w:r>
              <w:fldChar w:fldCharType="separate"/>
            </w:r>
            <w:r>
              <w:t>8</w:t>
            </w:r>
            <w:r>
              <w:fldChar w:fldCharType="end"/>
            </w:r>
          </w:hyperlink>
        </w:p>
        <w:p>
          <w:pPr>
            <w:pStyle w:val="9"/>
            <w:tabs>
              <w:tab w:val="right" w:leader="dot" w:pos="9026"/>
            </w:tabs>
            <w:spacing w:before="120" w:after="60"/>
          </w:pPr>
          <w:hyperlink w:anchor="_Toc100022" w:history="1">
            <w:r>
              <w:rPr>
                <w:rStyle w:val="Hyperlink"/>
              </w:rPr>
              <w:t>Appendix A. Per-Miss Ledger (60 rounds)</w:t>
            </w:r>
            <w:r>
              <w:tab/>
            </w:r>
            <w:r>
              <w:fldChar w:fldCharType="begin"/>
            </w:r>
            <w:r>
              <w:instrText xml:space="preserve"> PAGEREF _Toc100022 \h </w:instrText>
            </w:r>
            <w:r>
              <w:fldChar w:fldCharType="separate"/>
            </w:r>
            <w:r>
              <w:t>9</w:t>
            </w:r>
            <w:r>
              <w:fldChar w:fldCharType="end"/>
            </w:r>
          </w:hyperlink>
        </w:p>
        <w:p>
          <w:r>
            <w:fldChar w:fldCharType="end"/>
          </w:r>
        </w:p>
      </w:sdtContent>
    </w:sdt>
    <w:p>
      <w:pPr>
        <w:spacing w:before="200"/>
      </w:pPr>
      <w:r>
        <w:rPr>
          <w:rFonts w:ascii="Times New Roman"/>
          <w:i/>
          <w:iCs/>
          <w:color w:val="888888"/>
          <w:sz w:val="18"/>
          <w:szCs w:val="18"/>
        </w:rPr>
        <w:t xml:space="preserve">Note: This Table of Contents is generated via field codes. To ensure page number accuracy after editing, please right-click the TOC and select "Update Field."</w:t>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spacing w:after="160" w:before="360" w:line="312"/>
      </w:pPr>
      <w:bookmarkStart w:id="100000" w:name="_Toc100000"/>
      <w:r>
        <w:rPr>
          <w:rFonts w:ascii="Times New Roman" w:eastAsia="SimHei"/>
          <w:b/>
          <w:bCs/>
          <w:color w:val="162235"/>
          <w:sz w:val="32"/>
          <w:szCs w:val="32"/>
        </w:rPr>
        <w:t xml:space="preserve">1. Executive Summary</w:t>
      </w:r>
      <w:bookmarkEnd w:id="100000"/>
    </w:p>
    <w:p>
      <w:pPr>
        <w:spacing w:after="120" w:line="312"/>
        <w:jc w:val="both"/>
      </w:pPr>
      <w:r>
        <w:rPr>
          <w:rFonts w:ascii="Times New Roman"/>
          <w:color w:val="000000"/>
          <w:sz w:val="24"/>
          <w:szCs w:val="24"/>
        </w:rPr>
        <w:t xml:space="preserve">This report is the mandatory pre-code diagnostic for the Top-4 coverage optimization program. It answers the eight required diagnostic questions using only the existing clean validation dataset, and it deliberately makes no changes to the prediction engine or to any production file. The engine repository drift anchor (git diff against commit 62214ee across src/) is empty, confirming an observation-only analysis. All quantitative findings below are reproducible from the stored round history and the persisted analysis scripts.</w:t>
      </w:r>
    </w:p>
    <w:p>
      <w:pPr>
        <w:spacing w:after="120" w:line="312"/>
        <w:jc w:val="both"/>
      </w:pPr>
      <w:r>
        <w:rPr>
          <w:rFonts w:ascii="Times New Roman"/>
          <w:color w:val="000000"/>
          <w:sz w:val="24"/>
          <w:szCs w:val="24"/>
        </w:rPr>
        <w:t xml:space="preserve">On the same 178 unseen walk-forward rounds, the current dynamic baseline locked 118 hits (66.29%; 95% CI 59.3 to 73.2) while the fixed theoretical [1, 2, 5, 10] reference would have covered 153 (85.96%; CI 80.9 to 91.1). The deficit of 35 rounds (19.66 percentage points) is highly significant in a paired McNemar test (chi-squared 24.6 on 1 degree of freedom, p = 7.1e-07) and the two confidence intervals do not overlap, so the shortfall is a structural property of the current model rather than sampling noise. A random Top-4 baseline sits at 50.0 percent by construction, and the engine itself, replayed retrospectively in its experimental configuration, scores 70.22 percent, which still leaves it 28 rounds behind the theoretical reference.</w:t>
      </w:r>
    </w:p>
    <w:p>
      <w:pPr>
        <w:spacing w:after="120" w:line="312"/>
        <w:jc w:val="both"/>
      </w:pPr>
      <w:r>
        <w:rPr>
          <w:rFonts w:ascii="Times New Roman"/>
          <w:color w:val="000000"/>
          <w:sz w:val="24"/>
          <w:szCs w:val="24"/>
        </w:rPr>
        <w:t xml:space="preserve">The dominant miss cause is unambiguous: bonuses occupied 253 of 712 Top-4 slots (35.5 percent) against a combined prior of 16.67 percent, and produced only 6 hits, a 2.37 percent slot efficiency. Forty-one of the 60 misses are rounds in which a number outcome was excluded while at least one bonus slot was occupied; the remaining 19 are bonus outcomes that no configuration short of buying additional bonus slots would have covered. Code audit attributes the over-inclusion to three mechanisms: a relative-deviation evidence score whose variance explodes for rare outcomes, a pattern-shift and anomaly pathway that overwrites the entire score with a last-10 recency deviation (active in 93 of 178 rounds), and a persistence penalty that punished the highest-prior outcome in 14 rounds. Wheel structure tests find no exploitable signal (chi-squared goodness of fit p = 0.986; bonus runs test p = 0.351; next-round dependence p = 0.548; lag-1 autocorrelation of the dominant outcome +0.011), so the statistically defensible ceiling is the prior-dominant policy near 83.3 percent expected coverage, with any upside requiring fresh walk-forward proof. Exact proposed changes and their risks are given in Sections 7 and 8.</w:t>
      </w:r>
    </w:p>
    <w:p>
      <w:pPr>
        <w:keepNext/>
        <w:spacing w:after="80" w:before="160" w:line="312"/>
        <w:jc w:val="left"/>
      </w:pPr>
      <w:r>
        <w:rPr>
          <w:rFonts w:ascii="Times New Roman"/>
          <w:b/>
          <w:bCs/>
          <w:color w:val="505A66"/>
          <w:sz w:val="21"/>
          <w:szCs w:val="21"/>
        </w:rPr>
        <w:t xml:space="preserve">Table 1: The eight mandated diagnostic questions, answered in one line each</w:t>
      </w:r>
    </w:p>
    <w:tbl>
      <w:tblPr>
        <w:tblW w:type="pct" w:w="100%"/>
        <w:tblBorders>
          <w:top w:val="single" w:color="1B6B7A" w:sz="4"/>
          <w:left w:val="none"/>
          <w:bottom w:val="single" w:color="1B6B7A" w:sz="4"/>
          <w:right w:val="none"/>
          <w:insideH w:val="single" w:color="C8DDE2" w:sz="1"/>
          <w:insideV w:val="none"/>
        </w:tblBorders>
      </w:tblPr>
      <w:tblGrid>
        <w:gridCol w:w="100"/>
        <w:gridCol w:w="100"/>
        <w:gridCol w:w="100"/>
      </w:tblGrid>
      <w:tr>
        <w:trPr>
          <w:cantSplit/>
          <w:tblHeader/>
        </w:trPr>
        <w:tc>
          <w:tcPr>
            <w:tcW w:type="pct" w:w="5%"/>
            <w:shd w:fill="1B6B7A" w:val="clear"/>
            <w:tcMar>
              <w:top w:type="dxa" w:w="60"/>
              <w:left w:type="dxa" w:w="120"/>
              <w:bottom w:type="dxa" w:w="60"/>
              <w:right w:type="dxa" w:w="120"/>
            </w:tcMar>
          </w:tcPr>
          <w:p>
            <w:pPr>
              <w:spacing w:line="276"/>
              <w:jc w:val="left"/>
            </w:pPr>
            <w:r>
              <w:rPr>
                <w:rFonts w:ascii="Times New Roman"/>
                <w:b/>
                <w:bCs/>
                <w:color w:val="FFFFFF"/>
                <w:sz w:val="20"/>
                <w:szCs w:val="20"/>
              </w:rPr>
              <w:t xml:space="preserve">#</w:t>
            </w:r>
          </w:p>
        </w:tc>
        <w:tc>
          <w:tcPr>
            <w:tcW w:type="pct" w:w="33%"/>
            <w:shd w:fill="1B6B7A" w:val="clear"/>
            <w:tcMar>
              <w:top w:type="dxa" w:w="60"/>
              <w:left w:type="dxa" w:w="120"/>
              <w:bottom w:type="dxa" w:w="60"/>
              <w:right w:type="dxa" w:w="120"/>
            </w:tcMar>
          </w:tcPr>
          <w:p>
            <w:pPr>
              <w:spacing w:line="276"/>
              <w:jc w:val="left"/>
            </w:pPr>
            <w:r>
              <w:rPr>
                <w:rFonts w:ascii="Times New Roman"/>
                <w:b/>
                <w:bCs/>
                <w:color w:val="FFFFFF"/>
                <w:sz w:val="20"/>
                <w:szCs w:val="20"/>
              </w:rPr>
              <w:t xml:space="preserve">Required diagnostic item</w:t>
            </w:r>
          </w:p>
        </w:tc>
        <w:tc>
          <w:tcPr>
            <w:tcW w:type="pct" w:w="62%"/>
            <w:shd w:fill="1B6B7A" w:val="clear"/>
            <w:tcMar>
              <w:top w:type="dxa" w:w="60"/>
              <w:left w:type="dxa" w:w="120"/>
              <w:bottom w:type="dxa" w:w="60"/>
              <w:right w:type="dxa" w:w="120"/>
            </w:tcMar>
          </w:tcPr>
          <w:p>
            <w:pPr>
              <w:spacing w:line="276"/>
              <w:jc w:val="left"/>
            </w:pPr>
            <w:r>
              <w:rPr>
                <w:rFonts w:ascii="Times New Roman"/>
                <w:b/>
                <w:bCs/>
                <w:color w:val="FFFFFF"/>
                <w:sz w:val="20"/>
                <w:szCs w:val="20"/>
              </w:rPr>
              <w:t xml:space="preserve">Answer (evidence section)</w:t>
            </w:r>
          </w:p>
        </w:tc>
      </w:tr>
      <w:tr>
        <w:trPr>
          <w:cantSplit/>
        </w:trPr>
        <w:tc>
          <w:tcPr>
            <w:tcW w:type="pct" w:w="5%"/>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1</w:t>
            </w:r>
          </w:p>
        </w:tc>
        <w:tc>
          <w:tcPr>
            <w:tcW w:type="pct" w:w="33%"/>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Dominant cause of current MISSes</w:t>
            </w:r>
          </w:p>
        </w:tc>
        <w:tc>
          <w:tcPr>
            <w:tcW w:type="pct" w:w="62%"/>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Bonus over-inclusion: 41 of 60 misses are number actuals excluded while bonus slots were occupied; bonus slots ran at 2.37% efficiency (Sec. 4)</w:t>
            </w:r>
          </w:p>
        </w:tc>
      </w:tr>
      <w:tr>
        <w:trPr>
          <w:cantSplit/>
        </w:trPr>
        <w:tc>
          <w:tcPr>
            <w:tcW w:type="pct" w:w="5%"/>
            <w:shd w:fill="EDF3F5" w:val="clear"/>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2</w:t>
            </w:r>
          </w:p>
        </w:tc>
        <w:tc>
          <w:tcPr>
            <w:tcW w:type="pct" w:w="33%"/>
            <w:shd w:fill="EDF3F5" w:val="clear"/>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Why dynamic loses to [1,2,5,10]</w:t>
            </w:r>
          </w:p>
        </w:tc>
        <w:tc>
          <w:tcPr>
            <w:tcW w:type="pct" w:w="62%"/>
            <w:shd w:fill="EDF3F5" w:val="clear"/>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Every bonus slot displaces a number slot with 2 to 20 times higher hit efficiency; exchange rate realized 41 misses for 6 hits vs a breakeven of about 1 to 2 (Sec. 3, 4)</w:t>
            </w:r>
          </w:p>
        </w:tc>
      </w:tr>
      <w:tr>
        <w:trPr>
          <w:cantSplit/>
        </w:trPr>
        <w:tc>
          <w:tcPr>
            <w:tcW w:type="pct" w:w="5%"/>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3</w:t>
            </w:r>
          </w:p>
        </w:tc>
        <w:tc>
          <w:tcPr>
            <w:tcW w:type="pct" w:w="33%"/>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Most harmful displacement feature</w:t>
            </w:r>
          </w:p>
        </w:tc>
        <w:tc>
          <w:tcPr>
            <w:tcW w:type="pct" w:w="62%"/>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Pattern-shift / anomaly score overwrite: replaces all evidence with last-10 recency deviation; active 93/178 rounds (Sec. 5.2)</w:t>
            </w:r>
          </w:p>
        </w:tc>
      </w:tr>
      <w:tr>
        <w:trPr>
          <w:cantSplit/>
        </w:trPr>
        <w:tc>
          <w:tcPr>
            <w:tcW w:type="pct" w:w="5%"/>
            <w:shd w:fill="EDF3F5" w:val="clear"/>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4</w:t>
            </w:r>
          </w:p>
        </w:tc>
        <w:tc>
          <w:tcPr>
            <w:tcW w:type="pct" w:w="33%"/>
            <w:shd w:fill="EDF3F5" w:val="clear"/>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Is the optimizer mathematically correct?</w:t>
            </w:r>
          </w:p>
        </w:tc>
        <w:tc>
          <w:tcPr>
            <w:tcW w:type="pct" w:w="62%"/>
            <w:shd w:fill="EDF3F5" w:val="clear"/>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Consistent but vacuous: with mutually exclusive outcomes the argmax of summed normalized scores is always the top-4 by score, so the 70-combination loop adds no correction; failure is upstream in the probabilities (Sec. 5.4)</w:t>
            </w:r>
          </w:p>
        </w:tc>
      </w:tr>
      <w:tr>
        <w:trPr>
          <w:cantSplit/>
        </w:trPr>
        <w:tc>
          <w:tcPr>
            <w:tcW w:type="pct" w:w="5%"/>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5</w:t>
            </w:r>
          </w:p>
        </w:tc>
        <w:tc>
          <w:tcPr>
            <w:tcW w:type="pct" w:w="33%"/>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Are probabilities calibrated?</w:t>
            </w:r>
          </w:p>
        </w:tc>
        <w:tc>
          <w:tcPr>
            <w:tcW w:type="pct" w:w="62%"/>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No. Raw evidence scores are normalized into pseudo-probabilities that do not behave as probabilities; displayed confidence is a coverage estimate and runs 8.8 points pessimistic overall (Sec. 5.5)</w:t>
            </w:r>
          </w:p>
        </w:tc>
      </w:tr>
      <w:tr>
        <w:trPr>
          <w:cantSplit/>
        </w:trPr>
        <w:tc>
          <w:tcPr>
            <w:tcW w:type="pct" w:w="5%"/>
            <w:shd w:fill="EDF3F5" w:val="clear"/>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6</w:t>
            </w:r>
          </w:p>
        </w:tc>
        <w:tc>
          <w:tcPr>
            <w:tcW w:type="pct" w:w="33%"/>
            <w:shd w:fill="EDF3F5" w:val="clear"/>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Is rare-outcome reliability working?</w:t>
            </w:r>
          </w:p>
        </w:tc>
        <w:tc>
          <w:tcPr>
            <w:tcW w:type="pct" w:w="62%"/>
            <w:shd w:fill="EDF3F5" w:val="clear"/>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Not yet observable: the reliability layer has never run live (Shadow OFF for 282 consecutive checks); retrospective simulation gains only +4 of 35 rounds back (Sec. 5.6)</w:t>
            </w:r>
          </w:p>
        </w:tc>
      </w:tr>
      <w:tr>
        <w:trPr>
          <w:cantSplit/>
        </w:trPr>
        <w:tc>
          <w:tcPr>
            <w:tcW w:type="pct" w:w="5%"/>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7</w:t>
            </w:r>
          </w:p>
        </w:tc>
        <w:tc>
          <w:tcPr>
            <w:tcW w:type="pct" w:w="33%"/>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Exact proposed changes</w:t>
            </w:r>
          </w:p>
        </w:tc>
        <w:tc>
          <w:tcPr>
            <w:tcW w:type="pct" w:w="62%"/>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Seven changes: calibrated probability channel, continuous generic reliability, uncertainty shrinkage, uncertainty-penalized 70-combo optimizer, feature de-scoping, RCA extension, frozen walk-forward validation (Sec. 7)</w:t>
            </w:r>
          </w:p>
        </w:tc>
      </w:tr>
      <w:tr>
        <w:trPr>
          <w:cantSplit/>
        </w:trPr>
        <w:tc>
          <w:tcPr>
            <w:tcW w:type="pct" w:w="5%"/>
            <w:shd w:fill="EDF3F5" w:val="clear"/>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8</w:t>
            </w:r>
          </w:p>
        </w:tc>
        <w:tc>
          <w:tcPr>
            <w:tcW w:type="pct" w:w="33%"/>
            <w:shd w:fill="EDF3F5" w:val="clear"/>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Expected risk of each change</w:t>
            </w:r>
          </w:p>
        </w:tc>
        <w:tc>
          <w:tcPr>
            <w:tcW w:type="pct" w:w="62%"/>
            <w:shd w:fill="EDF3F5" w:val="clear"/>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Per-change risk register with likelihood, impact, mitigation and rollback path; dominant risk is over-shrinkage toward a static policy, which is acceptable and reversible (Sec. 8)</w:t>
            </w:r>
          </w:p>
        </w:tc>
      </w:tr>
    </w:tbl>
    <w:p>
      <w:pPr>
        <w:pStyle w:val="Heading1"/>
        <w:spacing w:after="160" w:before="360" w:line="312"/>
      </w:pPr>
      <w:bookmarkStart w:id="100001" w:name="_Toc100001"/>
      <w:r>
        <w:rPr>
          <w:rFonts w:ascii="Times New Roman" w:eastAsia="SimHei"/>
          <w:b/>
          <w:bCs/>
          <w:color w:val="162235"/>
          <w:sz w:val="32"/>
          <w:szCs w:val="32"/>
        </w:rPr>
        <w:t xml:space="preserve">2. Scope, Data Sources and Integrity</w:t>
      </w:r>
      <w:bookmarkEnd w:id="100001"/>
    </w:p>
    <w:p>
      <w:pPr>
        <w:pStyle w:val="Heading2"/>
        <w:spacing w:after="120" w:before="240" w:line="312"/>
      </w:pPr>
      <w:bookmarkStart w:id="100002" w:name="_Toc100002"/>
      <w:r>
        <w:rPr>
          <w:rFonts w:ascii="Times New Roman" w:eastAsia="SimHei"/>
          <w:b/>
          <w:bCs/>
          <w:color w:val="162235"/>
          <w:sz w:val="28"/>
          <w:szCs w:val="28"/>
        </w:rPr>
        <w:t xml:space="preserve">2.1 Data basis</w:t>
      </w:r>
      <w:bookmarkEnd w:id="100002"/>
    </w:p>
    <w:p>
      <w:pPr>
        <w:spacing w:after="120" w:line="312"/>
        <w:jc w:val="both"/>
      </w:pPr>
      <w:r>
        <w:rPr>
          <w:rFonts w:ascii="Times New Roman"/>
          <w:color w:val="000000"/>
          <w:sz w:val="24"/>
          <w:szCs w:val="24"/>
        </w:rPr>
        <w:t xml:space="preserve">The diagnostic uses the era-3 stored round history (scripts/data/pass282_history.json), which contains 178 complete walk-forward rounds captured at the 00:34 probe on 2026-09-13. Each entry stores the locked Top-4 prediction (four named outcomes with a shared confidence value), the actual result, the HIT/MISS settlement flag, a recalibration flag and a millisecond timestamp. This is the same dataset the live engine settled against, so no reconstruction or simulation is needed for the primary findings; the numbers in this report are the engine's own record.</w:t>
      </w:r>
    </w:p>
    <w:p>
      <w:pPr>
        <w:spacing w:after="120" w:line="312"/>
        <w:jc w:val="both"/>
      </w:pPr>
      <w:r>
        <w:rPr>
          <w:rFonts w:ascii="Times New Roman"/>
          <w:color w:val="000000"/>
          <w:sz w:val="24"/>
          <w:szCs w:val="24"/>
        </w:rPr>
        <w:t xml:space="preserve">Three integrity checks were run before any analysis. First, settlement uniqueness: all 178 timestamps are strictly increasing with zero duplicates, confirming that exactly one settlement occurred per live result. Second, settlement consistency: the stored HIT flag matches the stored Top-4 membership of the actual outcome in all 178 rounds, with zero mismatches. Third, shape validity: every round carries exactly four predictions. The engine-side lifecycle additionally enforces the required order, settle the old locked prediction, append the result, recalculate on the updated history, lock the new prediction, and this order is verified at runtime by the on-page PIPELINE AUDIT panel with its proof footer.</w:t>
      </w:r>
    </w:p>
    <w:p>
      <w:pPr>
        <w:pStyle w:val="Heading2"/>
        <w:spacing w:after="120" w:before="240" w:line="312"/>
      </w:pPr>
      <w:bookmarkStart w:id="100003" w:name="_Toc100003"/>
      <w:r>
        <w:rPr>
          <w:rFonts w:ascii="Times New Roman" w:eastAsia="SimHei"/>
          <w:b/>
          <w:bCs/>
          <w:color w:val="162235"/>
          <w:sz w:val="28"/>
          <w:szCs w:val="28"/>
        </w:rPr>
        <w:t xml:space="preserve">2.2 Caveats and boundaries</w:t>
      </w:r>
      <w:bookmarkEnd w:id="100003"/>
    </w:p>
    <w:p>
      <w:pPr>
        <w:spacing w:after="120" w:line="312"/>
        <w:jc w:val="both"/>
      </w:pPr>
      <w:r>
        <w:rPr>
          <w:rFonts w:ascii="Times New Roman"/>
          <w:color w:val="000000"/>
          <w:sz w:val="24"/>
          <w:szCs w:val="24"/>
        </w:rPr>
        <w:t xml:space="preserve">Two caveats bound the interpretation. First, the experimental-mode figure of 125 hits (70.22 percent) comes from a retrospective replay of the engine over the same 178 actuals, not from live shadow rounds; the engine's own retrospective diagnostic output carries the same warning, and the replay baseline (121 hits) differs from the stored live record (118 hits) by three rounds because the replay cannot reconstruct the live external spin feed that the production engine blended into its priors. Second, era-1 history (1,406 rounds, final HIT rate 65.29 percent) is no longer available for per-round analysis after the earlier workspace rollback, so structure tests are bounded by n = 178; the direction and magnitude of every era-3 finding is nonetheless consistent with the era-1 aggregate.</w:t>
      </w:r>
    </w:p>
    <w:p>
      <w:pPr>
        <w:spacing w:after="120" w:line="312"/>
        <w:jc w:val="both"/>
      </w:pPr>
      <w:r>
        <w:rPr>
          <w:rFonts w:ascii="Times New Roman"/>
          <w:color w:val="000000"/>
          <w:sz w:val="24"/>
          <w:szCs w:val="24"/>
        </w:rPr>
        <w:t xml:space="preserve">What was deliberately not done: no engine parameter was tuned, no code path was edited, and no model variant was fitted to the historical rounds. The analysis exists solely to diagnose, and every proposed change in Section 7 is specified so that it can be validated on genuinely new rounds under the frozen-model protocol of Section 9.</w:t>
      </w:r>
    </w:p>
    <w:p>
      <w:pPr>
        <w:pStyle w:val="Heading1"/>
        <w:spacing w:after="160" w:before="360" w:line="312"/>
      </w:pPr>
      <w:bookmarkStart w:id="100004" w:name="_Toc100004"/>
      <w:r>
        <w:rPr>
          <w:rFonts w:ascii="Times New Roman" w:eastAsia="SimHei"/>
          <w:b/>
          <w:bCs/>
          <w:color w:val="162235"/>
          <w:sz w:val="32"/>
          <w:szCs w:val="32"/>
        </w:rPr>
        <w:t xml:space="preserve">3. Benchmark Comparison on the Same 178 Rounds</w:t>
      </w:r>
      <w:bookmarkEnd w:id="100004"/>
    </w:p>
    <w:p>
      <w:pPr>
        <w:spacing w:after="120" w:line="312"/>
        <w:jc w:val="both"/>
      </w:pPr>
      <w:r>
        <w:rPr>
          <w:rFonts w:ascii="Times New Roman"/>
          <w:color w:val="000000"/>
          <w:sz w:val="24"/>
          <w:szCs w:val="24"/>
        </w:rPr>
        <w:t xml:space="preserve">All four benchmarks are evaluated on exactly the same 178 actuals. Benchmark A is the stored dynamic baseline as the live engine actually locked it. Benchmark B is the engine replayed retrospectively in its experimental configuration (k = 30 shrinkage plus the rare-outcome reliability layer); it is labeled a simulation and excluded from validation claims. Benchmark C is the fixed theoretical [1, 2, 5, 10] reference that the wheel geometry implies. Benchmark D is the uniform random Top-4, which covers 50 percent of rounds in expectation because each round's actual belongs to 4 of 8 equally likely slots.</w:t>
      </w:r>
    </w:p>
    <w:p>
      <w:pPr>
        <w:keepNext/>
        <w:spacing w:after="80" w:before="160" w:line="312"/>
        <w:jc w:val="left"/>
      </w:pPr>
      <w:r>
        <w:rPr>
          <w:rFonts w:ascii="Times New Roman"/>
          <w:b/>
          <w:bCs/>
          <w:color w:val="505A66"/>
          <w:sz w:val="21"/>
          <w:szCs w:val="21"/>
        </w:rPr>
        <w:t xml:space="preserve">Table 2: Benchmark results on the same 178 unseen rounds</w:t>
      </w:r>
    </w:p>
    <w:tbl>
      <w:tblPr>
        <w:tblW w:type="pct" w:w="100%"/>
        <w:tblBorders>
          <w:top w:val="single" w:color="1B6B7A" w:sz="4"/>
          <w:left w:val="none"/>
          <w:bottom w:val="single" w:color="1B6B7A" w:sz="4"/>
          <w:right w:val="none"/>
          <w:insideH w:val="single" w:color="C8DDE2" w:sz="1"/>
          <w:insideV w:val="none"/>
        </w:tblBorders>
      </w:tblPr>
      <w:tblGrid>
        <w:gridCol w:w="100"/>
        <w:gridCol w:w="100"/>
        <w:gridCol w:w="100"/>
        <w:gridCol w:w="100"/>
        <w:gridCol w:w="100"/>
      </w:tblGrid>
      <w:tr>
        <w:trPr>
          <w:cantSplit/>
          <w:tblHeader/>
        </w:trPr>
        <w:tc>
          <w:tcPr>
            <w:tcW w:type="pct" w:w="10%"/>
            <w:shd w:fill="1B6B7A" w:val="clear"/>
            <w:tcMar>
              <w:top w:type="dxa" w:w="60"/>
              <w:left w:type="dxa" w:w="120"/>
              <w:bottom w:type="dxa" w:w="60"/>
              <w:right w:type="dxa" w:w="120"/>
            </w:tcMar>
          </w:tcPr>
          <w:p>
            <w:pPr>
              <w:spacing w:line="276"/>
              <w:jc w:val="left"/>
            </w:pPr>
            <w:r>
              <w:rPr>
                <w:rFonts w:ascii="Times New Roman"/>
                <w:b/>
                <w:bCs/>
                <w:color w:val="FFFFFF"/>
                <w:sz w:val="20"/>
                <w:szCs w:val="20"/>
              </w:rPr>
              <w:t xml:space="preserve">Benchmark</w:t>
            </w:r>
          </w:p>
        </w:tc>
        <w:tc>
          <w:tcPr>
            <w:tcW w:type="pct" w:w="42%"/>
            <w:shd w:fill="1B6B7A" w:val="clear"/>
            <w:tcMar>
              <w:top w:type="dxa" w:w="60"/>
              <w:left w:type="dxa" w:w="120"/>
              <w:bottom w:type="dxa" w:w="60"/>
              <w:right w:type="dxa" w:w="120"/>
            </w:tcMar>
          </w:tcPr>
          <w:p>
            <w:pPr>
              <w:spacing w:line="276"/>
              <w:jc w:val="left"/>
            </w:pPr>
            <w:r>
              <w:rPr>
                <w:rFonts w:ascii="Times New Roman"/>
                <w:b/>
                <w:bCs/>
                <w:color w:val="FFFFFF"/>
                <w:sz w:val="20"/>
                <w:szCs w:val="20"/>
              </w:rPr>
              <w:t xml:space="preserve">Configuration</w:t>
            </w:r>
          </w:p>
        </w:tc>
        <w:tc>
          <w:tcPr>
            <w:tcW w:type="pct" w:w="14%"/>
            <w:shd w:fill="1B6B7A" w:val="clear"/>
            <w:tcMar>
              <w:top w:type="dxa" w:w="60"/>
              <w:left w:type="dxa" w:w="120"/>
              <w:bottom w:type="dxa" w:w="60"/>
              <w:right w:type="dxa" w:w="120"/>
            </w:tcMar>
          </w:tcPr>
          <w:p>
            <w:pPr>
              <w:spacing w:line="276"/>
              <w:jc w:val="left"/>
            </w:pPr>
            <w:r>
              <w:rPr>
                <w:rFonts w:ascii="Times New Roman"/>
                <w:b/>
                <w:bCs/>
                <w:color w:val="FFFFFF"/>
                <w:sz w:val="20"/>
                <w:szCs w:val="20"/>
              </w:rPr>
              <w:t xml:space="preserve">Hits / 178</w:t>
            </w:r>
          </w:p>
        </w:tc>
        <w:tc>
          <w:tcPr>
            <w:tcW w:type="pct" w:w="14%"/>
            <w:shd w:fill="1B6B7A" w:val="clear"/>
            <w:tcMar>
              <w:top w:type="dxa" w:w="60"/>
              <w:left w:type="dxa" w:w="120"/>
              <w:bottom w:type="dxa" w:w="60"/>
              <w:right w:type="dxa" w:w="120"/>
            </w:tcMar>
          </w:tcPr>
          <w:p>
            <w:pPr>
              <w:spacing w:line="276"/>
              <w:jc w:val="left"/>
            </w:pPr>
            <w:r>
              <w:rPr>
                <w:rFonts w:ascii="Times New Roman"/>
                <w:b/>
                <w:bCs/>
                <w:color w:val="FFFFFF"/>
                <w:sz w:val="20"/>
                <w:szCs w:val="20"/>
              </w:rPr>
              <w:t xml:space="preserve">HIT rate</w:t>
            </w:r>
          </w:p>
        </w:tc>
        <w:tc>
          <w:tcPr>
            <w:tcW w:type="pct" w:w="20%"/>
            <w:shd w:fill="1B6B7A" w:val="clear"/>
            <w:tcMar>
              <w:top w:type="dxa" w:w="60"/>
              <w:left w:type="dxa" w:w="120"/>
              <w:bottom w:type="dxa" w:w="60"/>
              <w:right w:type="dxa" w:w="120"/>
            </w:tcMar>
          </w:tcPr>
          <w:p>
            <w:pPr>
              <w:spacing w:line="276"/>
              <w:jc w:val="left"/>
            </w:pPr>
            <w:r>
              <w:rPr>
                <w:rFonts w:ascii="Times New Roman"/>
                <w:b/>
                <w:bCs/>
                <w:color w:val="FFFFFF"/>
                <w:sz w:val="20"/>
                <w:szCs w:val="20"/>
              </w:rPr>
              <w:t xml:space="preserve">95% CI</w:t>
            </w:r>
          </w:p>
        </w:tc>
      </w:tr>
      <w:tr>
        <w:trPr>
          <w:cantSplit/>
        </w:trPr>
        <w:tc>
          <w:tcPr>
            <w:tcW w:type="pct" w:w="10%"/>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A</w:t>
            </w:r>
          </w:p>
        </w:tc>
        <w:tc>
          <w:tcPr>
            <w:tcW w:type="pct" w:w="42%"/>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Current dynamic baseline (stored locked sets)</w:t>
            </w:r>
          </w:p>
        </w:tc>
        <w:tc>
          <w:tcPr>
            <w:tcW w:type="pct" w:w="14%"/>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118</w:t>
            </w:r>
          </w:p>
        </w:tc>
        <w:tc>
          <w:tcPr>
            <w:tcW w:type="pct" w:w="14%"/>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66.29%</w:t>
            </w:r>
          </w:p>
        </w:tc>
        <w:tc>
          <w:tcPr>
            <w:tcW w:type="pct" w:w="20%"/>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59.3 - 73.2</w:t>
            </w:r>
          </w:p>
        </w:tc>
      </w:tr>
      <w:tr>
        <w:trPr>
          <w:cantSplit/>
        </w:trPr>
        <w:tc>
          <w:tcPr>
            <w:tcW w:type="pct" w:w="10%"/>
            <w:shd w:fill="EDF3F5" w:val="clear"/>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B</w:t>
            </w:r>
          </w:p>
        </w:tc>
        <w:tc>
          <w:tcPr>
            <w:tcW w:type="pct" w:w="42%"/>
            <w:shd w:fill="EDF3F5" w:val="clear"/>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Experimental layer, retrospective replay only</w:t>
            </w:r>
          </w:p>
        </w:tc>
        <w:tc>
          <w:tcPr>
            <w:tcW w:type="pct" w:w="14%"/>
            <w:shd w:fill="EDF3F5" w:val="clear"/>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125</w:t>
            </w:r>
          </w:p>
        </w:tc>
        <w:tc>
          <w:tcPr>
            <w:tcW w:type="pct" w:w="14%"/>
            <w:shd w:fill="EDF3F5" w:val="clear"/>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70.22%</w:t>
            </w:r>
          </w:p>
        </w:tc>
        <w:tc>
          <w:tcPr>
            <w:tcW w:type="pct" w:w="20%"/>
            <w:shd w:fill="EDF3F5" w:val="clear"/>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not a validation result</w:t>
            </w:r>
          </w:p>
        </w:tc>
      </w:tr>
      <w:tr>
        <w:trPr>
          <w:cantSplit/>
        </w:trPr>
        <w:tc>
          <w:tcPr>
            <w:tcW w:type="pct" w:w="10%"/>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C</w:t>
            </w:r>
          </w:p>
        </w:tc>
        <w:tc>
          <w:tcPr>
            <w:tcW w:type="pct" w:w="42%"/>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Theoretical [1, 2, 5, 10]</w:t>
            </w:r>
          </w:p>
        </w:tc>
        <w:tc>
          <w:tcPr>
            <w:tcW w:type="pct" w:w="14%"/>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153</w:t>
            </w:r>
          </w:p>
        </w:tc>
        <w:tc>
          <w:tcPr>
            <w:tcW w:type="pct" w:w="14%"/>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85.96%</w:t>
            </w:r>
          </w:p>
        </w:tc>
        <w:tc>
          <w:tcPr>
            <w:tcW w:type="pct" w:w="20%"/>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80.9 - 91.1</w:t>
            </w:r>
          </w:p>
        </w:tc>
      </w:tr>
      <w:tr>
        <w:trPr>
          <w:cantSplit/>
        </w:trPr>
        <w:tc>
          <w:tcPr>
            <w:tcW w:type="pct" w:w="10%"/>
            <w:shd w:fill="EDF3F5" w:val="clear"/>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D</w:t>
            </w:r>
          </w:p>
        </w:tc>
        <w:tc>
          <w:tcPr>
            <w:tcW w:type="pct" w:w="42%"/>
            <w:shd w:fill="EDF3F5" w:val="clear"/>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Uniform random Top-4</w:t>
            </w:r>
          </w:p>
        </w:tc>
        <w:tc>
          <w:tcPr>
            <w:tcW w:type="pct" w:w="14%"/>
            <w:shd w:fill="EDF3F5" w:val="clear"/>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89 expected</w:t>
            </w:r>
          </w:p>
        </w:tc>
        <w:tc>
          <w:tcPr>
            <w:tcW w:type="pct" w:w="14%"/>
            <w:shd w:fill="EDF3F5" w:val="clear"/>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50.00%</w:t>
            </w:r>
          </w:p>
        </w:tc>
        <w:tc>
          <w:tcPr>
            <w:tcW w:type="pct" w:w="20%"/>
            <w:shd w:fill="EDF3F5" w:val="clear"/>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analytical; simulated 49.93%</w:t>
            </w:r>
          </w:p>
        </w:tc>
      </w:tr>
    </w:tbl>
    <w:p>
      <w:pPr>
        <w:spacing w:before="120"/>
        <w:jc w:val="center"/>
      </w:pPr>
      <w:r>
        <w:drawing>
          <wp:inline distT="0" distB="0" distL="0" distR="0">
            <wp:extent cx="4953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476500"/>
                    </a:xfrm>
                    <a:prstGeom prst="rect">
                      <a:avLst/>
                    </a:prstGeom>
                  </pic:spPr>
                </pic:pic>
              </a:graphicData>
            </a:graphic>
          </wp:inline>
        </w:drawing>
      </w:r>
    </w:p>
    <w:p>
      <w:pPr>
        <w:spacing w:after="160" w:before="60" w:line="312"/>
        <w:jc w:val="center"/>
      </w:pPr>
      <w:r>
        <w:rPr>
          <w:rFonts w:ascii="Times New Roman"/>
          <w:color w:val="505A66"/>
          <w:sz w:val="21"/>
          <w:szCs w:val="21"/>
        </w:rPr>
        <w:t xml:space="preserve">Figure 1: Benchmark HIT rates. The dashed line marks the 83.33 percent expected coverage of the 54-segment wheel under the i.i.d. null.</w:t>
      </w:r>
    </w:p>
    <w:p>
      <w:pPr>
        <w:spacing w:after="120" w:line="312"/>
        <w:jc w:val="both"/>
      </w:pPr>
      <w:r>
        <w:rPr>
          <w:rFonts w:ascii="Times New Roman"/>
          <w:color w:val="000000"/>
          <w:sz w:val="24"/>
          <w:szCs w:val="24"/>
        </w:rPr>
        <w:t xml:space="preserve">The paired structure of the comparison is what makes the deficit decisive. In 41 rounds the theoretical set covered the actual while the dynamic set missed it, and in only 6 rounds did the reverse happen (bonus actuals the dynamic set covered and the theoretical set missed). A McNemar test on this 41-versus-6 discordance yields chi-squared 24.6 with p = 7.1e-07. The dynamic model is not merely behind on aggregate; it is behind on the same rounds it was given every opportunity to cover, and its bonus wins are an order of magnitude too rare to pay for its number misses.</w:t>
      </w:r>
    </w:p>
    <w:p>
      <w:pPr>
        <w:spacing w:after="120" w:line="312"/>
        <w:jc w:val="both"/>
      </w:pPr>
      <w:r>
        <w:rPr>
          <w:rFonts w:ascii="Times New Roman"/>
          <w:color w:val="000000"/>
          <w:sz w:val="24"/>
          <w:szCs w:val="24"/>
        </w:rPr>
        <w:t xml:space="preserve">For context, the all-time era-1 aggregate (918 hits in 1,406 rounds, 65.29 percent) sits in the same band as the current 66.29 percent, which indicates the deficit is a persistent property of the scoring design rather than a recent regression. The best fixed combination in hindsight on these 178 actuals is also [1, 2, 5, 10] at 153 hits; no other static combination does better, so the theoretical reference is not an artifact of the sample.</w:t>
      </w:r>
    </w:p>
    <w:p>
      <w:pPr>
        <w:pStyle w:val="Heading1"/>
        <w:spacing w:after="160" w:before="360" w:line="312"/>
      </w:pPr>
      <w:bookmarkStart w:id="100005" w:name="_Toc100005"/>
      <w:r>
        <w:rPr>
          <w:rFonts w:ascii="Times New Roman" w:eastAsia="SimHei"/>
          <w:b/>
          <w:bCs/>
          <w:color w:val="162235"/>
          <w:sz w:val="32"/>
          <w:szCs w:val="32"/>
        </w:rPr>
        <w:t xml:space="preserve">4. Miss Anatomy and Root-Cause Quantification</w:t>
      </w:r>
      <w:bookmarkEnd w:id="100005"/>
    </w:p>
    <w:p>
      <w:pPr>
        <w:pStyle w:val="Heading2"/>
        <w:spacing w:after="120" w:before="240" w:line="312"/>
      </w:pPr>
      <w:bookmarkStart w:id="100006" w:name="_Toc100006"/>
      <w:r>
        <w:rPr>
          <w:rFonts w:ascii="Times New Roman" w:eastAsia="SimHei"/>
          <w:b/>
          <w:bCs/>
          <w:color w:val="162235"/>
          <w:sz w:val="28"/>
          <w:szCs w:val="28"/>
        </w:rPr>
        <w:t xml:space="preserve">4.1 The 60 misses decompose into 41 avoidable and 19 structural</w:t>
      </w:r>
      <w:bookmarkEnd w:id="100006"/>
    </w:p>
    <w:p>
      <w:pPr>
        <w:spacing w:after="120" w:line="312"/>
        <w:jc w:val="both"/>
      </w:pPr>
      <w:r>
        <w:rPr>
          <w:rFonts w:ascii="Times New Roman"/>
          <w:color w:val="000000"/>
          <w:sz w:val="24"/>
          <w:szCs w:val="24"/>
        </w:rPr>
        <w:t xml:space="preserve">Every miss is classified by whether locking [1, 2, 5, 10] would have covered the actual. A number-actual miss is by construction a round in which at least one bonus occupied a Top-4 slot, because four slots and four number outcomes mean an all-number lock always covers any number. This yields 41 avoidable misses. The remaining 19 misses are bonus actuals the engine did not cover; the fixed reference misses all 19 as well, so they are structural to the 4-of-8 problem and only avoidable by buying bonus slots. Three of the 19 occurred with zero bonus slots locked (rounds 107, 129 and 134), meaning the engine chose all four numbers and still missed; nothing about those rounds is correctable by slot policy.</w:t>
      </w:r>
    </w:p>
    <w:p>
      <w:pPr>
        <w:keepNext/>
        <w:spacing w:after="80" w:before="160" w:line="312"/>
        <w:jc w:val="left"/>
      </w:pPr>
      <w:r>
        <w:rPr>
          <w:rFonts w:ascii="Times New Roman"/>
          <w:b/>
          <w:bCs/>
          <w:color w:val="505A66"/>
          <w:sz w:val="21"/>
          <w:szCs w:val="21"/>
        </w:rPr>
        <w:t xml:space="preserve">Table 3: Miss decomposition and per-number exclusion accounting</w:t>
      </w:r>
    </w:p>
    <w:tbl>
      <w:tblPr>
        <w:tblW w:type="pct" w:w="100%"/>
        <w:tblBorders>
          <w:top w:val="single" w:color="1B6B7A" w:sz="4"/>
          <w:left w:val="none"/>
          <w:bottom w:val="single" w:color="1B6B7A" w:sz="4"/>
          <w:right w:val="none"/>
          <w:insideH w:val="single" w:color="C8DDE2" w:sz="1"/>
          <w:insideV w:val="none"/>
        </w:tblBorders>
      </w:tblPr>
      <w:tblGrid>
        <w:gridCol w:w="100"/>
        <w:gridCol w:w="100"/>
        <w:gridCol w:w="100"/>
        <w:gridCol w:w="100"/>
        <w:gridCol w:w="100"/>
      </w:tblGrid>
      <w:tr>
        <w:trPr>
          <w:cantSplit/>
          <w:tblHeader/>
        </w:trPr>
        <w:tc>
          <w:tcPr>
            <w:tcW w:type="pct" w:w="26%"/>
            <w:shd w:fill="1B6B7A" w:val="clear"/>
            <w:tcMar>
              <w:top w:type="dxa" w:w="60"/>
              <w:left w:type="dxa" w:w="120"/>
              <w:bottom w:type="dxa" w:w="60"/>
              <w:right w:type="dxa" w:w="120"/>
            </w:tcMar>
          </w:tcPr>
          <w:p>
            <w:pPr>
              <w:spacing w:line="276"/>
              <w:jc w:val="left"/>
            </w:pPr>
            <w:r>
              <w:rPr>
                <w:rFonts w:ascii="Times New Roman"/>
                <w:b/>
                <w:bCs/>
                <w:color w:val="FFFFFF"/>
                <w:sz w:val="20"/>
                <w:szCs w:val="20"/>
              </w:rPr>
              <w:t xml:space="preserve">Excluded-when-actual</w:t>
            </w:r>
          </w:p>
        </w:tc>
        <w:tc>
          <w:tcPr>
            <w:tcW w:type="pct" w:w="10%"/>
            <w:shd w:fill="1B6B7A" w:val="clear"/>
            <w:tcMar>
              <w:top w:type="dxa" w:w="60"/>
              <w:left w:type="dxa" w:w="120"/>
              <w:bottom w:type="dxa" w:w="60"/>
              <w:right w:type="dxa" w:w="120"/>
            </w:tcMar>
          </w:tcPr>
          <w:p>
            <w:pPr>
              <w:spacing w:line="276"/>
              <w:jc w:val="left"/>
            </w:pPr>
            <w:r>
              <w:rPr>
                <w:rFonts w:ascii="Times New Roman"/>
                <w:b/>
                <w:bCs/>
                <w:color w:val="FFFFFF"/>
                <w:sz w:val="20"/>
                <w:szCs w:val="20"/>
              </w:rPr>
              <w:t xml:space="preserve">Count</w:t>
            </w:r>
          </w:p>
        </w:tc>
        <w:tc>
          <w:tcPr>
            <w:tcW w:type="pct" w:w="16%"/>
            <w:shd w:fill="1B6B7A" w:val="clear"/>
            <w:tcMar>
              <w:top w:type="dxa" w:w="60"/>
              <w:left w:type="dxa" w:w="120"/>
              <w:bottom w:type="dxa" w:w="60"/>
              <w:right w:type="dxa" w:w="120"/>
            </w:tcMar>
          </w:tcPr>
          <w:p>
            <w:pPr>
              <w:spacing w:line="276"/>
              <w:jc w:val="left"/>
            </w:pPr>
            <w:r>
              <w:rPr>
                <w:rFonts w:ascii="Times New Roman"/>
                <w:b/>
                <w:bCs/>
                <w:color w:val="FFFFFF"/>
                <w:sz w:val="20"/>
                <w:szCs w:val="20"/>
              </w:rPr>
              <w:t xml:space="preserve">Share of misses</w:t>
            </w:r>
          </w:p>
        </w:tc>
        <w:tc>
          <w:tcPr>
            <w:tcW w:type="pct" w:w="30%"/>
            <w:shd w:fill="1B6B7A" w:val="clear"/>
            <w:tcMar>
              <w:top w:type="dxa" w:w="60"/>
              <w:left w:type="dxa" w:w="120"/>
              <w:bottom w:type="dxa" w:w="60"/>
              <w:right w:type="dxa" w:w="120"/>
            </w:tcMar>
          </w:tcPr>
          <w:p>
            <w:pPr>
              <w:spacing w:line="276"/>
              <w:jc w:val="left"/>
            </w:pPr>
            <w:r>
              <w:rPr>
                <w:rFonts w:ascii="Times New Roman"/>
                <w:b/>
                <w:bCs/>
                <w:color w:val="FFFFFF"/>
                <w:sz w:val="20"/>
                <w:szCs w:val="20"/>
              </w:rPr>
              <w:t xml:space="preserve">Times excluded at all</w:t>
            </w:r>
          </w:p>
        </w:tc>
        <w:tc>
          <w:tcPr>
            <w:tcW w:type="pct" w:w="18%"/>
            <w:shd w:fill="1B6B7A" w:val="clear"/>
            <w:tcMar>
              <w:top w:type="dxa" w:w="60"/>
              <w:left w:type="dxa" w:w="120"/>
              <w:bottom w:type="dxa" w:w="60"/>
              <w:right w:type="dxa" w:w="120"/>
            </w:tcMar>
          </w:tcPr>
          <w:p>
            <w:pPr>
              <w:spacing w:line="276"/>
              <w:jc w:val="left"/>
            </w:pPr>
            <w:r>
              <w:rPr>
                <w:rFonts w:ascii="Times New Roman"/>
                <w:b/>
                <w:bCs/>
                <w:color w:val="FFFFFF"/>
                <w:sz w:val="20"/>
                <w:szCs w:val="20"/>
              </w:rPr>
              <w:t xml:space="preserve">Miss rate when excluded</w:t>
            </w:r>
          </w:p>
        </w:tc>
      </w:tr>
      <w:tr>
        <w:trPr>
          <w:cantSplit/>
        </w:trPr>
        <w:tc>
          <w:tcPr>
            <w:tcW w:type="pct" w:w="26%"/>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'1' excluded</w:t>
            </w:r>
          </w:p>
        </w:tc>
        <w:tc>
          <w:tcPr>
            <w:tcW w:type="pct" w:w="10%"/>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12</w:t>
            </w:r>
          </w:p>
        </w:tc>
        <w:tc>
          <w:tcPr>
            <w:tcW w:type="pct" w:w="16%"/>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20.0%</w:t>
            </w:r>
          </w:p>
        </w:tc>
        <w:tc>
          <w:tcPr>
            <w:tcW w:type="pct" w:w="30%"/>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20 of 178 rounds</w:t>
            </w:r>
          </w:p>
        </w:tc>
        <w:tc>
          <w:tcPr>
            <w:tcW w:type="pct" w:w="18%"/>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60.0%</w:t>
            </w:r>
          </w:p>
        </w:tc>
      </w:tr>
      <w:tr>
        <w:trPr>
          <w:cantSplit/>
        </w:trPr>
        <w:tc>
          <w:tcPr>
            <w:tcW w:type="pct" w:w="26%"/>
            <w:shd w:fill="EDF3F5" w:val="clear"/>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'2' excluded</w:t>
            </w:r>
          </w:p>
        </w:tc>
        <w:tc>
          <w:tcPr>
            <w:tcW w:type="pct" w:w="10%"/>
            <w:shd w:fill="EDF3F5" w:val="clear"/>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13</w:t>
            </w:r>
          </w:p>
        </w:tc>
        <w:tc>
          <w:tcPr>
            <w:tcW w:type="pct" w:w="16%"/>
            <w:shd w:fill="EDF3F5" w:val="clear"/>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21.7%</w:t>
            </w:r>
          </w:p>
        </w:tc>
        <w:tc>
          <w:tcPr>
            <w:tcW w:type="pct" w:w="30%"/>
            <w:shd w:fill="EDF3F5" w:val="clear"/>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47 of 178 rounds</w:t>
            </w:r>
          </w:p>
        </w:tc>
        <w:tc>
          <w:tcPr>
            <w:tcW w:type="pct" w:w="18%"/>
            <w:shd w:fill="EDF3F5" w:val="clear"/>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27.7%</w:t>
            </w:r>
          </w:p>
        </w:tc>
      </w:tr>
      <w:tr>
        <w:trPr>
          <w:cantSplit/>
        </w:trPr>
        <w:tc>
          <w:tcPr>
            <w:tcW w:type="pct" w:w="26%"/>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'5' excluded</w:t>
            </w:r>
          </w:p>
        </w:tc>
        <w:tc>
          <w:tcPr>
            <w:tcW w:type="pct" w:w="10%"/>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8</w:t>
            </w:r>
          </w:p>
        </w:tc>
        <w:tc>
          <w:tcPr>
            <w:tcW w:type="pct" w:w="16%"/>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13.3%</w:t>
            </w:r>
          </w:p>
        </w:tc>
        <w:tc>
          <w:tcPr>
            <w:tcW w:type="pct" w:w="30%"/>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81 of 178 rounds</w:t>
            </w:r>
          </w:p>
        </w:tc>
        <w:tc>
          <w:tcPr>
            <w:tcW w:type="pct" w:w="18%"/>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9.9%</w:t>
            </w:r>
          </w:p>
        </w:tc>
      </w:tr>
      <w:tr>
        <w:trPr>
          <w:cantSplit/>
        </w:trPr>
        <w:tc>
          <w:tcPr>
            <w:tcW w:type="pct" w:w="26%"/>
            <w:shd w:fill="EDF3F5" w:val="clear"/>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'10' excluded</w:t>
            </w:r>
          </w:p>
        </w:tc>
        <w:tc>
          <w:tcPr>
            <w:tcW w:type="pct" w:w="10%"/>
            <w:shd w:fill="EDF3F5" w:val="clear"/>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8</w:t>
            </w:r>
          </w:p>
        </w:tc>
        <w:tc>
          <w:tcPr>
            <w:tcW w:type="pct" w:w="16%"/>
            <w:shd w:fill="EDF3F5" w:val="clear"/>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13.3%</w:t>
            </w:r>
          </w:p>
        </w:tc>
        <w:tc>
          <w:tcPr>
            <w:tcW w:type="pct" w:w="30%"/>
            <w:shd w:fill="EDF3F5" w:val="clear"/>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105 of 178 rounds</w:t>
            </w:r>
          </w:p>
        </w:tc>
        <w:tc>
          <w:tcPr>
            <w:tcW w:type="pct" w:w="18%"/>
            <w:shd w:fill="EDF3F5" w:val="clear"/>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7.6%</w:t>
            </w:r>
          </w:p>
        </w:tc>
      </w:tr>
      <w:tr>
        <w:trPr>
          <w:cantSplit/>
        </w:trPr>
        <w:tc>
          <w:tcPr>
            <w:tcW w:type="pct" w:w="26%"/>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Bonus actual not covered</w:t>
            </w:r>
          </w:p>
        </w:tc>
        <w:tc>
          <w:tcPr>
            <w:tcW w:type="pct" w:w="10%"/>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19</w:t>
            </w:r>
          </w:p>
        </w:tc>
        <w:tc>
          <w:tcPr>
            <w:tcW w:type="pct" w:w="16%"/>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31.7%</w:t>
            </w:r>
          </w:p>
        </w:tc>
        <w:tc>
          <w:tcPr>
            <w:tcW w:type="pct" w:w="30%"/>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n/a (25 bonus actuals, 6 covered)</w:t>
            </w:r>
          </w:p>
        </w:tc>
        <w:tc>
          <w:tcPr>
            <w:tcW w:type="pct" w:w="18%"/>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76.0%</w:t>
            </w:r>
          </w:p>
        </w:tc>
      </w:tr>
      <w:tr>
        <w:trPr>
          <w:cantSplit/>
        </w:trPr>
        <w:tc>
          <w:tcPr>
            <w:tcW w:type="pct" w:w="26%"/>
            <w:shd w:fill="EDF3F5" w:val="clear"/>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Total</w:t>
            </w:r>
          </w:p>
        </w:tc>
        <w:tc>
          <w:tcPr>
            <w:tcW w:type="pct" w:w="10%"/>
            <w:shd w:fill="EDF3F5" w:val="clear"/>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60</w:t>
            </w:r>
          </w:p>
        </w:tc>
        <w:tc>
          <w:tcPr>
            <w:tcW w:type="pct" w:w="16%"/>
            <w:shd w:fill="EDF3F5" w:val="clear"/>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100%</w:t>
            </w:r>
          </w:p>
        </w:tc>
        <w:tc>
          <w:tcPr>
            <w:tcW w:type="pct" w:w="30%"/>
            <w:shd w:fill="EDF3F5" w:val="clear"/>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w:t>
            </w:r>
          </w:p>
        </w:tc>
        <w:tc>
          <w:tcPr>
            <w:tcW w:type="pct" w:w="18%"/>
            <w:shd w:fill="EDF3F5" w:val="clear"/>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w:t>
            </w:r>
          </w:p>
        </w:tc>
      </w:tr>
    </w:tbl>
    <w:p>
      <w:pPr>
        <w:spacing w:after="120" w:line="312"/>
        <w:jc w:val="both"/>
      </w:pPr>
      <w:r>
        <w:rPr>
          <w:rFonts w:ascii="Times New Roman"/>
          <w:color w:val="000000"/>
          <w:sz w:val="24"/>
          <w:szCs w:val="24"/>
        </w:rPr>
        <w:t xml:space="preserve">The '1' row deserves emphasis because it quantifies a self-inflicted wound: whenever the engine dropped the highest-prior outcome, six times out of ten that exclusion itself became the miss. Excluding '2' converted 28 percent of its exclusions into misses. The persistence penalty (Section 5.3) and the recency overwrites are the two mechanisms that pushed high-prior numbers out of the lock.</w:t>
      </w:r>
    </w:p>
    <w:p>
      <w:pPr>
        <w:pStyle w:val="Heading2"/>
        <w:spacing w:after="120" w:before="240" w:line="312"/>
      </w:pPr>
      <w:bookmarkStart w:id="100007" w:name="_Toc100007"/>
      <w:r>
        <w:rPr>
          <w:rFonts w:ascii="Times New Roman" w:eastAsia="SimHei"/>
          <w:b/>
          <w:bCs/>
          <w:color w:val="162235"/>
          <w:sz w:val="28"/>
          <w:szCs w:val="28"/>
        </w:rPr>
        <w:t xml:space="preserve">4.2 Bonus slot economics</w:t>
      </w:r>
      <w:bookmarkEnd w:id="100007"/>
    </w:p>
    <w:p>
      <w:pPr>
        <w:spacing w:after="120" w:line="312"/>
        <w:jc w:val="both"/>
      </w:pPr>
      <w:r>
        <w:rPr>
          <w:rFonts w:ascii="Times New Roman"/>
          <w:color w:val="000000"/>
          <w:sz w:val="24"/>
          <w:szCs w:val="24"/>
        </w:rPr>
        <w:t xml:space="preserve">Across the era the engine distributed 712 Top-4 slots. Numbers received 459 and delivered 112 covered actuals; bonuses received 253 and delivered 6. Slot efficiency falls monotonically from 39.2 percent for '1' down to 0.0 percent for CRAZY TIME, which was included in 59 rounds (17.9 times its 1.85 percent prior) and never once was the actual. Only 20 of 178 rounds were locked with an all-number set, and 87 rounds carried two or more bonus slots, including 8 rounds with three.</w:t>
      </w:r>
    </w:p>
    <w:p>
      <w:pPr>
        <w:keepNext/>
        <w:spacing w:after="80" w:before="160" w:line="312"/>
        <w:jc w:val="left"/>
      </w:pPr>
      <w:r>
        <w:rPr>
          <w:rFonts w:ascii="Times New Roman"/>
          <w:b/>
          <w:bCs/>
          <w:color w:val="505A66"/>
          <w:sz w:val="21"/>
          <w:szCs w:val="21"/>
        </w:rPr>
        <w:t xml:space="preserve">Table 4: Slot-efficiency league table (stored locked sets, n = 178)</w:t>
      </w:r>
    </w:p>
    <w:tbl>
      <w:tblPr>
        <w:tblW w:type="pct" w:w="100%"/>
        <w:tblBorders>
          <w:top w:val="single" w:color="1B6B7A" w:sz="4"/>
          <w:left w:val="none"/>
          <w:bottom w:val="single" w:color="1B6B7A" w:sz="4"/>
          <w:right w:val="none"/>
          <w:insideH w:val="single" w:color="C8DDE2" w:sz="1"/>
          <w:insideV w:val="none"/>
        </w:tblBorders>
      </w:tblPr>
      <w:tblGrid>
        <w:gridCol w:w="100"/>
        <w:gridCol w:w="100"/>
        <w:gridCol w:w="100"/>
        <w:gridCol w:w="100"/>
        <w:gridCol w:w="100"/>
        <w:gridCol w:w="100"/>
        <w:gridCol w:w="100"/>
      </w:tblGrid>
      <w:tr>
        <w:trPr>
          <w:cantSplit/>
          <w:tblHeader/>
        </w:trPr>
        <w:tc>
          <w:tcPr>
            <w:tcW w:type="pct" w:w="16%"/>
            <w:shd w:fill="1B6B7A" w:val="clear"/>
            <w:tcMar>
              <w:top w:type="dxa" w:w="60"/>
              <w:left w:type="dxa" w:w="120"/>
              <w:bottom w:type="dxa" w:w="60"/>
              <w:right w:type="dxa" w:w="120"/>
            </w:tcMar>
          </w:tcPr>
          <w:p>
            <w:pPr>
              <w:spacing w:line="276"/>
              <w:jc w:val="left"/>
            </w:pPr>
            <w:r>
              <w:rPr>
                <w:rFonts w:ascii="Times New Roman"/>
                <w:b/>
                <w:bCs/>
                <w:color w:val="FFFFFF"/>
                <w:sz w:val="20"/>
                <w:szCs w:val="20"/>
              </w:rPr>
              <w:t xml:space="preserve">Outcome</w:t>
            </w:r>
          </w:p>
        </w:tc>
        <w:tc>
          <w:tcPr>
            <w:tcW w:type="pct" w:w="10%"/>
            <w:shd w:fill="1B6B7A" w:val="clear"/>
            <w:tcMar>
              <w:top w:type="dxa" w:w="60"/>
              <w:left w:type="dxa" w:w="120"/>
              <w:bottom w:type="dxa" w:w="60"/>
              <w:right w:type="dxa" w:w="120"/>
            </w:tcMar>
          </w:tcPr>
          <w:p>
            <w:pPr>
              <w:spacing w:line="276"/>
              <w:jc w:val="left"/>
            </w:pPr>
            <w:r>
              <w:rPr>
                <w:rFonts w:ascii="Times New Roman"/>
                <w:b/>
                <w:bCs/>
                <w:color w:val="FFFFFF"/>
                <w:sz w:val="20"/>
                <w:szCs w:val="20"/>
              </w:rPr>
              <w:t xml:space="preserve">Prior</w:t>
            </w:r>
          </w:p>
        </w:tc>
        <w:tc>
          <w:tcPr>
            <w:tcW w:type="pct" w:w="10%"/>
            <w:shd w:fill="1B6B7A" w:val="clear"/>
            <w:tcMar>
              <w:top w:type="dxa" w:w="60"/>
              <w:left w:type="dxa" w:w="120"/>
              <w:bottom w:type="dxa" w:w="60"/>
              <w:right w:type="dxa" w:w="120"/>
            </w:tcMar>
          </w:tcPr>
          <w:p>
            <w:pPr>
              <w:spacing w:line="276"/>
              <w:jc w:val="left"/>
            </w:pPr>
            <w:r>
              <w:rPr>
                <w:rFonts w:ascii="Times New Roman"/>
                <w:b/>
                <w:bCs/>
                <w:color w:val="FFFFFF"/>
                <w:sz w:val="20"/>
                <w:szCs w:val="20"/>
              </w:rPr>
              <w:t xml:space="preserve">Slots</w:t>
            </w:r>
          </w:p>
        </w:tc>
        <w:tc>
          <w:tcPr>
            <w:tcW w:type="pct" w:w="13%"/>
            <w:shd w:fill="1B6B7A" w:val="clear"/>
            <w:tcMar>
              <w:top w:type="dxa" w:w="60"/>
              <w:left w:type="dxa" w:w="120"/>
              <w:bottom w:type="dxa" w:w="60"/>
              <w:right w:type="dxa" w:w="120"/>
            </w:tcMar>
          </w:tcPr>
          <w:p>
            <w:pPr>
              <w:spacing w:line="276"/>
              <w:jc w:val="left"/>
            </w:pPr>
            <w:r>
              <w:rPr>
                <w:rFonts w:ascii="Times New Roman"/>
                <w:b/>
                <w:bCs/>
                <w:color w:val="FFFFFF"/>
                <w:sz w:val="20"/>
                <w:szCs w:val="20"/>
              </w:rPr>
              <w:t xml:space="preserve">Slot share</w:t>
            </w:r>
          </w:p>
        </w:tc>
        <w:tc>
          <w:tcPr>
            <w:tcW w:type="pct" w:w="17%"/>
            <w:shd w:fill="1B6B7A" w:val="clear"/>
            <w:tcMar>
              <w:top w:type="dxa" w:w="60"/>
              <w:left w:type="dxa" w:w="120"/>
              <w:bottom w:type="dxa" w:w="60"/>
              <w:right w:type="dxa" w:w="120"/>
            </w:tcMar>
          </w:tcPr>
          <w:p>
            <w:pPr>
              <w:spacing w:line="276"/>
              <w:jc w:val="left"/>
            </w:pPr>
            <w:r>
              <w:rPr>
                <w:rFonts w:ascii="Times New Roman"/>
                <w:b/>
                <w:bCs/>
                <w:color w:val="FFFFFF"/>
                <w:sz w:val="20"/>
                <w:szCs w:val="20"/>
              </w:rPr>
              <w:t xml:space="preserve">Over-inclusion</w:t>
            </w:r>
          </w:p>
        </w:tc>
        <w:tc>
          <w:tcPr>
            <w:tcW w:type="pct" w:w="10%"/>
            <w:shd w:fill="1B6B7A" w:val="clear"/>
            <w:tcMar>
              <w:top w:type="dxa" w:w="60"/>
              <w:left w:type="dxa" w:w="120"/>
              <w:bottom w:type="dxa" w:w="60"/>
              <w:right w:type="dxa" w:w="120"/>
            </w:tcMar>
          </w:tcPr>
          <w:p>
            <w:pPr>
              <w:spacing w:line="276"/>
              <w:jc w:val="left"/>
            </w:pPr>
            <w:r>
              <w:rPr>
                <w:rFonts w:ascii="Times New Roman"/>
                <w:b/>
                <w:bCs/>
                <w:color w:val="FFFFFF"/>
                <w:sz w:val="20"/>
                <w:szCs w:val="20"/>
              </w:rPr>
              <w:t xml:space="preserve">Hits</w:t>
            </w:r>
          </w:p>
        </w:tc>
        <w:tc>
          <w:tcPr>
            <w:tcW w:type="pct" w:w="24%"/>
            <w:shd w:fill="1B6B7A" w:val="clear"/>
            <w:tcMar>
              <w:top w:type="dxa" w:w="60"/>
              <w:left w:type="dxa" w:w="120"/>
              <w:bottom w:type="dxa" w:w="60"/>
              <w:right w:type="dxa" w:w="120"/>
            </w:tcMar>
          </w:tcPr>
          <w:p>
            <w:pPr>
              <w:spacing w:line="276"/>
              <w:jc w:val="left"/>
            </w:pPr>
            <w:r>
              <w:rPr>
                <w:rFonts w:ascii="Times New Roman"/>
                <w:b/>
                <w:bCs/>
                <w:color w:val="FFFFFF"/>
                <w:sz w:val="20"/>
                <w:szCs w:val="20"/>
              </w:rPr>
              <w:t xml:space="preserve">Slot efficiency</w:t>
            </w:r>
          </w:p>
        </w:tc>
      </w:tr>
      <w:tr>
        <w:trPr>
          <w:cantSplit/>
        </w:trPr>
        <w:tc>
          <w:tcPr>
            <w:tcW w:type="pct" w:w="16%"/>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1</w:t>
            </w:r>
          </w:p>
        </w:tc>
        <w:tc>
          <w:tcPr>
            <w:tcW w:type="pct" w:w="10%"/>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38.89%</w:t>
            </w:r>
          </w:p>
        </w:tc>
        <w:tc>
          <w:tcPr>
            <w:tcW w:type="pct" w:w="10%"/>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158</w:t>
            </w:r>
          </w:p>
        </w:tc>
        <w:tc>
          <w:tcPr>
            <w:tcW w:type="pct" w:w="13%"/>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88.8%</w:t>
            </w:r>
          </w:p>
        </w:tc>
        <w:tc>
          <w:tcPr>
            <w:tcW w:type="pct" w:w="17%"/>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2.3x</w:t>
            </w:r>
          </w:p>
        </w:tc>
        <w:tc>
          <w:tcPr>
            <w:tcW w:type="pct" w:w="10%"/>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62</w:t>
            </w:r>
          </w:p>
        </w:tc>
        <w:tc>
          <w:tcPr>
            <w:tcW w:type="pct" w:w="24%"/>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39.2%</w:t>
            </w:r>
          </w:p>
        </w:tc>
      </w:tr>
      <w:tr>
        <w:trPr>
          <w:cantSplit/>
        </w:trPr>
        <w:tc>
          <w:tcPr>
            <w:tcW w:type="pct" w:w="16%"/>
            <w:shd w:fill="EDF3F5" w:val="clear"/>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2</w:t>
            </w:r>
          </w:p>
        </w:tc>
        <w:tc>
          <w:tcPr>
            <w:tcW w:type="pct" w:w="10%"/>
            <w:shd w:fill="EDF3F5" w:val="clear"/>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24.07%</w:t>
            </w:r>
          </w:p>
        </w:tc>
        <w:tc>
          <w:tcPr>
            <w:tcW w:type="pct" w:w="10%"/>
            <w:shd w:fill="EDF3F5" w:val="clear"/>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131</w:t>
            </w:r>
          </w:p>
        </w:tc>
        <w:tc>
          <w:tcPr>
            <w:tcW w:type="pct" w:w="13%"/>
            <w:shd w:fill="EDF3F5" w:val="clear"/>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73.6%</w:t>
            </w:r>
          </w:p>
        </w:tc>
        <w:tc>
          <w:tcPr>
            <w:tcW w:type="pct" w:w="17%"/>
            <w:shd w:fill="EDF3F5" w:val="clear"/>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3.1x</w:t>
            </w:r>
          </w:p>
        </w:tc>
        <w:tc>
          <w:tcPr>
            <w:tcW w:type="pct" w:w="10%"/>
            <w:shd w:fill="EDF3F5" w:val="clear"/>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28</w:t>
            </w:r>
          </w:p>
        </w:tc>
        <w:tc>
          <w:tcPr>
            <w:tcW w:type="pct" w:w="24%"/>
            <w:shd w:fill="EDF3F5" w:val="clear"/>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21.4%</w:t>
            </w:r>
          </w:p>
        </w:tc>
      </w:tr>
      <w:tr>
        <w:trPr>
          <w:cantSplit/>
        </w:trPr>
        <w:tc>
          <w:tcPr>
            <w:tcW w:type="pct" w:w="16%"/>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5</w:t>
            </w:r>
          </w:p>
        </w:tc>
        <w:tc>
          <w:tcPr>
            <w:tcW w:type="pct" w:w="10%"/>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12.96%</w:t>
            </w:r>
          </w:p>
        </w:tc>
        <w:tc>
          <w:tcPr>
            <w:tcW w:type="pct" w:w="10%"/>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97</w:t>
            </w:r>
          </w:p>
        </w:tc>
        <w:tc>
          <w:tcPr>
            <w:tcW w:type="pct" w:w="13%"/>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54.5%</w:t>
            </w:r>
          </w:p>
        </w:tc>
        <w:tc>
          <w:tcPr>
            <w:tcW w:type="pct" w:w="17%"/>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4.2x</w:t>
            </w:r>
          </w:p>
        </w:tc>
        <w:tc>
          <w:tcPr>
            <w:tcW w:type="pct" w:w="10%"/>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16</w:t>
            </w:r>
          </w:p>
        </w:tc>
        <w:tc>
          <w:tcPr>
            <w:tcW w:type="pct" w:w="24%"/>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16.5%</w:t>
            </w:r>
          </w:p>
        </w:tc>
      </w:tr>
      <w:tr>
        <w:trPr>
          <w:cantSplit/>
        </w:trPr>
        <w:tc>
          <w:tcPr>
            <w:tcW w:type="pct" w:w="16%"/>
            <w:shd w:fill="EDF3F5" w:val="clear"/>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10</w:t>
            </w:r>
          </w:p>
        </w:tc>
        <w:tc>
          <w:tcPr>
            <w:tcW w:type="pct" w:w="10%"/>
            <w:shd w:fill="EDF3F5" w:val="clear"/>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7.41%</w:t>
            </w:r>
          </w:p>
        </w:tc>
        <w:tc>
          <w:tcPr>
            <w:tcW w:type="pct" w:w="10%"/>
            <w:shd w:fill="EDF3F5" w:val="clear"/>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73</w:t>
            </w:r>
          </w:p>
        </w:tc>
        <w:tc>
          <w:tcPr>
            <w:tcW w:type="pct" w:w="13%"/>
            <w:shd w:fill="EDF3F5" w:val="clear"/>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41.0%</w:t>
            </w:r>
          </w:p>
        </w:tc>
        <w:tc>
          <w:tcPr>
            <w:tcW w:type="pct" w:w="17%"/>
            <w:shd w:fill="EDF3F5" w:val="clear"/>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5.5x</w:t>
            </w:r>
          </w:p>
        </w:tc>
        <w:tc>
          <w:tcPr>
            <w:tcW w:type="pct" w:w="10%"/>
            <w:shd w:fill="EDF3F5" w:val="clear"/>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6</w:t>
            </w:r>
          </w:p>
        </w:tc>
        <w:tc>
          <w:tcPr>
            <w:tcW w:type="pct" w:w="24%"/>
            <w:shd w:fill="EDF3F5" w:val="clear"/>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8.2%</w:t>
            </w:r>
          </w:p>
        </w:tc>
      </w:tr>
      <w:tr>
        <w:trPr>
          <w:cantSplit/>
        </w:trPr>
        <w:tc>
          <w:tcPr>
            <w:tcW w:type="pct" w:w="16%"/>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COIN FLIP</w:t>
            </w:r>
          </w:p>
        </w:tc>
        <w:tc>
          <w:tcPr>
            <w:tcW w:type="pct" w:w="10%"/>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7.41%</w:t>
            </w:r>
          </w:p>
        </w:tc>
        <w:tc>
          <w:tcPr>
            <w:tcW w:type="pct" w:w="10%"/>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75</w:t>
            </w:r>
          </w:p>
        </w:tc>
        <w:tc>
          <w:tcPr>
            <w:tcW w:type="pct" w:w="13%"/>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42.1%</w:t>
            </w:r>
          </w:p>
        </w:tc>
        <w:tc>
          <w:tcPr>
            <w:tcW w:type="pct" w:w="17%"/>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5.7x</w:t>
            </w:r>
          </w:p>
        </w:tc>
        <w:tc>
          <w:tcPr>
            <w:tcW w:type="pct" w:w="10%"/>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3</w:t>
            </w:r>
          </w:p>
        </w:tc>
        <w:tc>
          <w:tcPr>
            <w:tcW w:type="pct" w:w="24%"/>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4.0%</w:t>
            </w:r>
          </w:p>
        </w:tc>
      </w:tr>
      <w:tr>
        <w:trPr>
          <w:cantSplit/>
        </w:trPr>
        <w:tc>
          <w:tcPr>
            <w:tcW w:type="pct" w:w="16%"/>
            <w:shd w:fill="EDF3F5" w:val="clear"/>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CASH HUNT</w:t>
            </w:r>
          </w:p>
        </w:tc>
        <w:tc>
          <w:tcPr>
            <w:tcW w:type="pct" w:w="10%"/>
            <w:shd w:fill="EDF3F5" w:val="clear"/>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3.70%</w:t>
            </w:r>
          </w:p>
        </w:tc>
        <w:tc>
          <w:tcPr>
            <w:tcW w:type="pct" w:w="10%"/>
            <w:shd w:fill="EDF3F5" w:val="clear"/>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70</w:t>
            </w:r>
          </w:p>
        </w:tc>
        <w:tc>
          <w:tcPr>
            <w:tcW w:type="pct" w:w="13%"/>
            <w:shd w:fill="EDF3F5" w:val="clear"/>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39.3%</w:t>
            </w:r>
          </w:p>
        </w:tc>
        <w:tc>
          <w:tcPr>
            <w:tcW w:type="pct" w:w="17%"/>
            <w:shd w:fill="EDF3F5" w:val="clear"/>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10.6x</w:t>
            </w:r>
          </w:p>
        </w:tc>
        <w:tc>
          <w:tcPr>
            <w:tcW w:type="pct" w:w="10%"/>
            <w:shd w:fill="EDF3F5" w:val="clear"/>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2</w:t>
            </w:r>
          </w:p>
        </w:tc>
        <w:tc>
          <w:tcPr>
            <w:tcW w:type="pct" w:w="24%"/>
            <w:shd w:fill="EDF3F5" w:val="clear"/>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2.9%</w:t>
            </w:r>
          </w:p>
        </w:tc>
      </w:tr>
      <w:tr>
        <w:trPr>
          <w:cantSplit/>
        </w:trPr>
        <w:tc>
          <w:tcPr>
            <w:tcW w:type="pct" w:w="16%"/>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PACHINKO</w:t>
            </w:r>
          </w:p>
        </w:tc>
        <w:tc>
          <w:tcPr>
            <w:tcW w:type="pct" w:w="10%"/>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3.70%</w:t>
            </w:r>
          </w:p>
        </w:tc>
        <w:tc>
          <w:tcPr>
            <w:tcW w:type="pct" w:w="10%"/>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49</w:t>
            </w:r>
          </w:p>
        </w:tc>
        <w:tc>
          <w:tcPr>
            <w:tcW w:type="pct" w:w="13%"/>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27.5%</w:t>
            </w:r>
          </w:p>
        </w:tc>
        <w:tc>
          <w:tcPr>
            <w:tcW w:type="pct" w:w="17%"/>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7.4x</w:t>
            </w:r>
          </w:p>
        </w:tc>
        <w:tc>
          <w:tcPr>
            <w:tcW w:type="pct" w:w="10%"/>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1</w:t>
            </w:r>
          </w:p>
        </w:tc>
        <w:tc>
          <w:tcPr>
            <w:tcW w:type="pct" w:w="24%"/>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2.0%</w:t>
            </w:r>
          </w:p>
        </w:tc>
      </w:tr>
      <w:tr>
        <w:trPr>
          <w:cantSplit/>
        </w:trPr>
        <w:tc>
          <w:tcPr>
            <w:tcW w:type="pct" w:w="16%"/>
            <w:shd w:fill="EDF3F5" w:val="clear"/>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CRAZY TIME</w:t>
            </w:r>
          </w:p>
        </w:tc>
        <w:tc>
          <w:tcPr>
            <w:tcW w:type="pct" w:w="10%"/>
            <w:shd w:fill="EDF3F5" w:val="clear"/>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1.85%</w:t>
            </w:r>
          </w:p>
        </w:tc>
        <w:tc>
          <w:tcPr>
            <w:tcW w:type="pct" w:w="10%"/>
            <w:shd w:fill="EDF3F5" w:val="clear"/>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59</w:t>
            </w:r>
          </w:p>
        </w:tc>
        <w:tc>
          <w:tcPr>
            <w:tcW w:type="pct" w:w="13%"/>
            <w:shd w:fill="EDF3F5" w:val="clear"/>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33.1%</w:t>
            </w:r>
          </w:p>
        </w:tc>
        <w:tc>
          <w:tcPr>
            <w:tcW w:type="pct" w:w="17%"/>
            <w:shd w:fill="EDF3F5" w:val="clear"/>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17.9x</w:t>
            </w:r>
          </w:p>
        </w:tc>
        <w:tc>
          <w:tcPr>
            <w:tcW w:type="pct" w:w="10%"/>
            <w:shd w:fill="EDF3F5" w:val="clear"/>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0</w:t>
            </w:r>
          </w:p>
        </w:tc>
        <w:tc>
          <w:tcPr>
            <w:tcW w:type="pct" w:w="24%"/>
            <w:shd w:fill="EDF3F5" w:val="clear"/>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0.0%</w:t>
            </w:r>
          </w:p>
        </w:tc>
      </w:tr>
    </w:tbl>
    <w:p>
      <w:pPr>
        <w:spacing w:before="120"/>
        <w:jc w:val="center"/>
      </w:pPr>
      <w:r>
        <w:drawing>
          <wp:inline distT="0" distB="0" distL="0" distR="0">
            <wp:extent cx="49530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590800"/>
                    </a:xfrm>
                    <a:prstGeom prst="rect">
                      <a:avLst/>
                    </a:prstGeom>
                  </pic:spPr>
                </pic:pic>
              </a:graphicData>
            </a:graphic>
          </wp:inline>
        </w:drawing>
      </w:r>
    </w:p>
    <w:p>
      <w:pPr>
        <w:spacing w:after="160" w:before="60" w:line="312"/>
        <w:jc w:val="center"/>
      </w:pPr>
      <w:r>
        <w:rPr>
          <w:rFonts w:ascii="Times New Roman"/>
          <w:color w:val="505A66"/>
          <w:sz w:val="21"/>
          <w:szCs w:val="21"/>
        </w:rPr>
        <w:t xml:space="preserve">Figure 2: Top-4 inclusion rate versus actual occurrence and theoretical prior, per outcome.</w:t>
      </w:r>
    </w:p>
    <w:p>
      <w:pPr>
        <w:spacing w:after="120" w:line="312"/>
        <w:jc w:val="both"/>
      </w:pPr>
      <w:r>
        <w:rPr>
          <w:rFonts w:ascii="Times New Roman"/>
          <w:color w:val="000000"/>
          <w:sz w:val="24"/>
          <w:szCs w:val="24"/>
        </w:rPr>
        <w:t xml:space="preserve">The requested displacement quantifications are as follows. Counting bonus-presence inside the 41 avoidable-miss rounds, the incident totals are: CASH HUNT present in 29, COIN FLIP in 23, CRAZY TIME in 16 and PACHINKO in 15 (a round can contain more than one bonus). Attributing each avoidable miss to the single lowest-prior member of the locked set, the displacer of record is CRAZY TIME 21 times, PACHINKO 18, CASH HUNT 13 and COIN FLIP once. Unnecessary bonus inclusions, meaning rounds where a bonus held a slot while a number actual went uncovered, total 41 rounds and 247 wasted bonus slots. The exchange rate is stark: 41 number misses bought 6 bonus hits, roughly 6.8 to 1, whereas breakeven for the least harmful swap (COIN FLIP replacing '10') is about 1 to 1 and for the most harmful (CRAZY TIME replacing '10') about 4 to 1 against the engine.</w:t>
      </w:r>
    </w:p>
    <w:p>
      <w:pPr>
        <w:pStyle w:val="Heading1"/>
        <w:spacing w:after="160" w:before="360" w:line="312"/>
      </w:pPr>
      <w:bookmarkStart w:id="100008" w:name="_Toc100008"/>
      <w:r>
        <w:rPr>
          <w:rFonts w:ascii="Times New Roman" w:eastAsia="SimHei"/>
          <w:b/>
          <w:bCs/>
          <w:color w:val="162235"/>
          <w:sz w:val="32"/>
          <w:szCs w:val="32"/>
        </w:rPr>
        <w:t xml:space="preserve">5. Mechanism Audit: Why the Engine Does This</w:t>
      </w:r>
      <w:bookmarkEnd w:id="100008"/>
    </w:p>
    <w:p>
      <w:pPr>
        <w:pStyle w:val="Heading2"/>
        <w:spacing w:after="120" w:before="240" w:line="312"/>
      </w:pPr>
      <w:bookmarkStart w:id="100009" w:name="_Toc100009"/>
      <w:r>
        <w:rPr>
          <w:rFonts w:ascii="Times New Roman" w:eastAsia="SimHei"/>
          <w:b/>
          <w:bCs/>
          <w:color w:val="162235"/>
          <w:sz w:val="28"/>
          <w:szCs w:val="28"/>
        </w:rPr>
        <w:t xml:space="preserve">5.1 The evidence score is heteroscedastic by construction</w:t>
      </w:r>
      <w:bookmarkEnd w:id="100009"/>
    </w:p>
    <w:p>
      <w:pPr>
        <w:spacing w:after="120" w:line="312"/>
        <w:jc w:val="both"/>
      </w:pPr>
      <w:r>
        <w:rPr>
          <w:rFonts w:ascii="Times New Roman"/>
          <w:color w:val="000000"/>
          <w:sz w:val="24"/>
          <w:szCs w:val="24"/>
        </w:rPr>
        <w:t xml:space="preserve">The core score is computed as score = 0.5 x (1 + deviation) + 0.5 x prior, where deviation is the relative departure of a Laplace-smoothed frequency (k = 30) from the theoretical prior, capped to the interval [-0.6, +2.0]. Because the deviation is relative, its sampling variance scales inversely with the prior: two extra appearances of a 1.85 percent outcome in a 30-round window produce roughly a +200 percent deviation that saturates the cap, while the same absolute event moves a 38.89 percent outcome by a few percent at most. In other words, the bonus score is mostly noise with a large amplitude, and the number score is mostly signal with a small amplitude. The engine's own documentation example shows CRAZY TIME reaching a score of 1.614 against 0.702 for '1' after three appearances in thirty rounds; that is the displacement mechanism in one line, and the cap at +200 percent guarantees it recurs whenever any bonus enjoys a short lucky window.</w:t>
      </w:r>
    </w:p>
    <w:p>
      <w:pPr>
        <w:pStyle w:val="Heading2"/>
        <w:spacing w:after="120" w:before="240" w:line="312"/>
      </w:pPr>
      <w:bookmarkStart w:id="100010" w:name="_Toc100010"/>
      <w:r>
        <w:rPr>
          <w:rFonts w:ascii="Times New Roman" w:eastAsia="SimHei"/>
          <w:b/>
          <w:bCs/>
          <w:color w:val="162235"/>
          <w:sz w:val="28"/>
          <w:szCs w:val="28"/>
        </w:rPr>
        <w:t xml:space="preserve">5.2 Recency multipliers and the pattern-shift overwrite</w:t>
      </w:r>
      <w:bookmarkEnd w:id="100010"/>
    </w:p>
    <w:p>
      <w:pPr>
        <w:spacing w:after="120" w:line="312"/>
        <w:jc w:val="both"/>
      </w:pPr>
      <w:r>
        <w:rPr>
          <w:rFonts w:ascii="Times New Roman"/>
          <w:color w:val="000000"/>
          <w:sz w:val="24"/>
          <w:szCs w:val="24"/>
        </w:rPr>
        <w:t xml:space="preserve">On top of the base score, up to seven multiplicative signals can stack: recent-active up to +10 percent, trend alignment up to +12 percent, pattern stability +6 percent, a Wilson-lower-bound verification boost up to +25 percent, per-bonus cluster boosts of +8 and +5 percent, number-side bonus-phase damping of -3 percent, and the persistence penalty of -3 to -15 percent. Individually mild, their product can exceed a factor of 1.8. The decisive damage, however, comes from two overwrite paths: when the rolling chi-squared anomaly test fires, or when the total-variation pattern-shift test fires (last-10 distribution more than 0.6 away from the long-run), the accumulated score is discarded entirely and replaced by 0.5 x (1 + 1.5 or 1.3 times the last-10 recency deviation) + 0.5 x prior. Reconstructed deterministically from the stored history, the pattern-shift overwrite was active in 93 of 178 rounds (52.2 percent) and the anomaly overwrite in 3 more. For over half the era, the engine's ranking was effectively a last-10 frequency chase with the theoretical prior as a partial anchor, which is exactly the regime in which bonus epochs (PACHINKO rank-1, CRAZY TIME rank-1, CASH HUNT rank-1) appeared in the monitoring record.</w:t>
      </w:r>
    </w:p>
    <w:p>
      <w:pPr>
        <w:pStyle w:val="Heading2"/>
        <w:spacing w:after="120" w:before="240" w:line="312"/>
      </w:pPr>
      <w:bookmarkStart w:id="100011" w:name="_Toc100011"/>
      <w:r>
        <w:rPr>
          <w:rFonts w:ascii="Times New Roman" w:eastAsia="SimHei"/>
          <w:b/>
          <w:bCs/>
          <w:color w:val="162235"/>
          <w:sz w:val="28"/>
          <w:szCs w:val="28"/>
        </w:rPr>
        <w:t xml:space="preserve">5.3 Persistence penalty misfire on high-prior outcomes</w:t>
      </w:r>
      <w:bookmarkEnd w:id="100011"/>
    </w:p>
    <w:p>
      <w:pPr>
        <w:spacing w:after="120" w:line="312"/>
        <w:jc w:val="both"/>
      </w:pPr>
      <w:r>
        <w:rPr>
          <w:rFonts w:ascii="Times New Roman"/>
          <w:color w:val="000000"/>
          <w:sz w:val="24"/>
          <w:szCs w:val="24"/>
        </w:rPr>
        <w:t xml:space="preserve">The persistence penalty reduces the score of any outcome that sat in the previous prediction during a running miss streak of two or more, by 3 percent per consecutive miss up to 15 percent. Because '1' was inside the previous prediction in nearly every round, the penalty functionally taxes the highest-prior outcome precisely when the model is in trouble. Reconstruction shows the penalty was active in 23 of 178 scoring states and landed on '1' 14 times. The 12 rounds where '1' was the excluded actual are the direct cost; during the era's record 9-miss streak the penalty was simultaneously maximal, which weakened the set's anchor exactly when stability mattered most.</w:t>
      </w:r>
    </w:p>
    <w:p>
      <w:pPr>
        <w:pStyle w:val="Heading2"/>
        <w:spacing w:after="120" w:before="240" w:line="312"/>
      </w:pPr>
      <w:bookmarkStart w:id="100012" w:name="_Toc100012"/>
      <w:r>
        <w:rPr>
          <w:rFonts w:ascii="Times New Roman" w:eastAsia="SimHei"/>
          <w:b/>
          <w:bCs/>
          <w:color w:val="162235"/>
          <w:sz w:val="28"/>
          <w:szCs w:val="28"/>
        </w:rPr>
        <w:t xml:space="preserve">5.4 Optimizer verdict: consistent but vacuous</w:t>
      </w:r>
      <w:bookmarkEnd w:id="100012"/>
    </w:p>
    <w:p>
      <w:pPr>
        <w:spacing w:after="120" w:line="312"/>
        <w:jc w:val="both"/>
      </w:pPr>
      <w:r>
        <w:rPr>
          <w:rFonts w:ascii="Times New Roman"/>
          <w:color w:val="000000"/>
          <w:sz w:val="24"/>
          <w:szCs w:val="24"/>
        </w:rPr>
        <w:t xml:space="preserve">The 70-combination optimizer evaluates every C(8,4) subset and maximizes the sum of member probabilities, which is the correct objective for mutually exclusive outcomes. But because the calibrated probability is just the raw score normalized to sum to one, the combination that maximizes the summed share is always the four largest raw scores; the engine's own debug log records that the optimizer's answer matches the top-4-by-score in every evaluation. The optimizer is therefore mathematically consistent with its inputs yet adds zero selection correction: no uncertainty penalty, no combination-level calibration, no counterfactual guard. It is not the cause of the losses, but it is also not a safeguard; all failure is upstream in the probability estimates it inherits.</w:t>
      </w:r>
    </w:p>
    <w:p>
      <w:pPr>
        <w:pStyle w:val="Heading2"/>
        <w:spacing w:after="120" w:before="240" w:line="312"/>
      </w:pPr>
      <w:bookmarkStart w:id="100013" w:name="_Toc100013"/>
      <w:r>
        <w:rPr>
          <w:rFonts w:ascii="Times New Roman" w:eastAsia="SimHei"/>
          <w:b/>
          <w:bCs/>
          <w:color w:val="162235"/>
          <w:sz w:val="28"/>
          <w:szCs w:val="28"/>
        </w:rPr>
        <w:t xml:space="preserve">5.5 Calibration verdict: pseudo-probabilities and a pessimistic confidence display</w:t>
      </w:r>
      <w:bookmarkEnd w:id="100013"/>
    </w:p>
    <w:p>
      <w:pPr>
        <w:spacing w:after="120" w:line="312"/>
        <w:jc w:val="both"/>
      </w:pPr>
      <w:r>
        <w:rPr>
          <w:rFonts w:ascii="Times New Roman"/>
          <w:color w:val="000000"/>
          <w:sz w:val="24"/>
          <w:szCs w:val="24"/>
        </w:rPr>
        <w:t xml:space="preserve">Two different numbers are called confidence in the system, and both need clarification. The per-round displayed value is an honest coverage estimate: a Wilson lower bound of the historical Top-4 hit rate, blended with the recent-5 rate under sample-size tier caps. Against its intended meaning, it performs reasonably and is systematically conservative: overall mean 57.5 displayed versus 66.29 percent realized, with the top bucket (65 to 76) nearly exact at 69.0 displayed versus 69.5 realized. The deeper problem is the per-outcome layer: the normalized raw scores that feed the optimizer are not probabilities in any operational sense, since a bonus with a saturated evidence score can be assigned a normalized share several times its true occurrence rate. Reliability by bucket, per outcome, cannot be computed retroactively because per-round all-8 scores were not persisted; a per-round probability dump is part of the proposed validation record (Section 9) and will make calibration directly auditable going forward.</w:t>
      </w:r>
    </w:p>
    <w:p>
      <w:pPr>
        <w:keepNext/>
        <w:spacing w:after="80" w:before="160" w:line="312"/>
        <w:jc w:val="left"/>
      </w:pPr>
      <w:r>
        <w:rPr>
          <w:rFonts w:ascii="Times New Roman"/>
          <w:b/>
          <w:bCs/>
          <w:color w:val="505A66"/>
          <w:sz w:val="21"/>
          <w:szCs w:val="21"/>
        </w:rPr>
        <w:t xml:space="preserve">Table 5: Displayed confidence versus realized Top-4 coverage</w:t>
      </w:r>
    </w:p>
    <w:tbl>
      <w:tblPr>
        <w:tblW w:type="pct" w:w="100%"/>
        <w:tblBorders>
          <w:top w:val="single" w:color="1B6B7A" w:sz="4"/>
          <w:left w:val="none"/>
          <w:bottom w:val="single" w:color="1B6B7A" w:sz="4"/>
          <w:right w:val="none"/>
          <w:insideH w:val="single" w:color="C8DDE2" w:sz="1"/>
          <w:insideV w:val="none"/>
        </w:tblBorders>
      </w:tblPr>
      <w:tblGrid>
        <w:gridCol w:w="100"/>
        <w:gridCol w:w="100"/>
        <w:gridCol w:w="100"/>
        <w:gridCol w:w="100"/>
        <w:gridCol w:w="100"/>
      </w:tblGrid>
      <w:tr>
        <w:trPr>
          <w:cantSplit/>
          <w:tblHeader/>
        </w:trPr>
        <w:tc>
          <w:tcPr>
            <w:tcW w:type="pct" w:w="30%"/>
            <w:shd w:fill="1B6B7A" w:val="clear"/>
            <w:tcMar>
              <w:top w:type="dxa" w:w="60"/>
              <w:left w:type="dxa" w:w="120"/>
              <w:bottom w:type="dxa" w:w="60"/>
              <w:right w:type="dxa" w:w="120"/>
            </w:tcMar>
          </w:tcPr>
          <w:p>
            <w:pPr>
              <w:spacing w:line="276"/>
              <w:jc w:val="left"/>
            </w:pPr>
            <w:r>
              <w:rPr>
                <w:rFonts w:ascii="Times New Roman"/>
                <w:b/>
                <w:bCs/>
                <w:color w:val="FFFFFF"/>
                <w:sz w:val="20"/>
                <w:szCs w:val="20"/>
              </w:rPr>
              <w:t xml:space="preserve">Displayed confidence bucket</w:t>
            </w:r>
          </w:p>
        </w:tc>
        <w:tc>
          <w:tcPr>
            <w:tcW w:type="pct" w:w="12%"/>
            <w:shd w:fill="1B6B7A" w:val="clear"/>
            <w:tcMar>
              <w:top w:type="dxa" w:w="60"/>
              <w:left w:type="dxa" w:w="120"/>
              <w:bottom w:type="dxa" w:w="60"/>
              <w:right w:type="dxa" w:w="120"/>
            </w:tcMar>
          </w:tcPr>
          <w:p>
            <w:pPr>
              <w:spacing w:line="276"/>
              <w:jc w:val="left"/>
            </w:pPr>
            <w:r>
              <w:rPr>
                <w:rFonts w:ascii="Times New Roman"/>
                <w:b/>
                <w:bCs/>
                <w:color w:val="FFFFFF"/>
                <w:sz w:val="20"/>
                <w:szCs w:val="20"/>
              </w:rPr>
              <w:t xml:space="preserve">Rounds</w:t>
            </w:r>
          </w:p>
        </w:tc>
        <w:tc>
          <w:tcPr>
            <w:tcW w:type="pct" w:w="18%"/>
            <w:shd w:fill="1B6B7A" w:val="clear"/>
            <w:tcMar>
              <w:top w:type="dxa" w:w="60"/>
              <w:left w:type="dxa" w:w="120"/>
              <w:bottom w:type="dxa" w:w="60"/>
              <w:right w:type="dxa" w:w="120"/>
            </w:tcMar>
          </w:tcPr>
          <w:p>
            <w:pPr>
              <w:spacing w:line="276"/>
              <w:jc w:val="left"/>
            </w:pPr>
            <w:r>
              <w:rPr>
                <w:rFonts w:ascii="Times New Roman"/>
                <w:b/>
                <w:bCs/>
                <w:color w:val="FFFFFF"/>
                <w:sz w:val="20"/>
                <w:szCs w:val="20"/>
              </w:rPr>
              <w:t xml:space="preserve">Mean displayed</w:t>
            </w:r>
          </w:p>
        </w:tc>
        <w:tc>
          <w:tcPr>
            <w:tcW w:type="pct" w:w="20%"/>
            <w:shd w:fill="1B6B7A" w:val="clear"/>
            <w:tcMar>
              <w:top w:type="dxa" w:w="60"/>
              <w:left w:type="dxa" w:w="120"/>
              <w:bottom w:type="dxa" w:w="60"/>
              <w:right w:type="dxa" w:w="120"/>
            </w:tcMar>
          </w:tcPr>
          <w:p>
            <w:pPr>
              <w:spacing w:line="276"/>
              <w:jc w:val="left"/>
            </w:pPr>
            <w:r>
              <w:rPr>
                <w:rFonts w:ascii="Times New Roman"/>
                <w:b/>
                <w:bCs/>
                <w:color w:val="FFFFFF"/>
                <w:sz w:val="20"/>
                <w:szCs w:val="20"/>
              </w:rPr>
              <w:t xml:space="preserve">Realized coverage</w:t>
            </w:r>
          </w:p>
        </w:tc>
        <w:tc>
          <w:tcPr>
            <w:tcW w:type="pct" w:w="20%"/>
            <w:shd w:fill="1B6B7A" w:val="clear"/>
            <w:tcMar>
              <w:top w:type="dxa" w:w="60"/>
              <w:left w:type="dxa" w:w="120"/>
              <w:bottom w:type="dxa" w:w="60"/>
              <w:right w:type="dxa" w:w="120"/>
            </w:tcMar>
          </w:tcPr>
          <w:p>
            <w:pPr>
              <w:spacing w:line="276"/>
              <w:jc w:val="left"/>
            </w:pPr>
            <w:r>
              <w:rPr>
                <w:rFonts w:ascii="Times New Roman"/>
                <w:b/>
                <w:bCs/>
                <w:color w:val="FFFFFF"/>
                <w:sz w:val="20"/>
                <w:szCs w:val="20"/>
              </w:rPr>
              <w:t xml:space="preserve">Gap</w:t>
            </w:r>
          </w:p>
        </w:tc>
      </w:tr>
      <w:tr>
        <w:trPr>
          <w:cantSplit/>
        </w:trPr>
        <w:tc>
          <w:tcPr>
            <w:tcW w:type="pct" w:w="30%"/>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30 - 44</w:t>
            </w:r>
          </w:p>
        </w:tc>
        <w:tc>
          <w:tcPr>
            <w:tcW w:type="pct" w:w="12%"/>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23</w:t>
            </w:r>
          </w:p>
        </w:tc>
        <w:tc>
          <w:tcPr>
            <w:tcW w:type="pct" w:w="18%"/>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38.5</w:t>
            </w:r>
          </w:p>
        </w:tc>
        <w:tc>
          <w:tcPr>
            <w:tcW w:type="pct" w:w="20%"/>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52.2%</w:t>
            </w:r>
          </w:p>
        </w:tc>
        <w:tc>
          <w:tcPr>
            <w:tcW w:type="pct" w:w="20%"/>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+13.7 pp</w:t>
            </w:r>
          </w:p>
        </w:tc>
      </w:tr>
      <w:tr>
        <w:trPr>
          <w:cantSplit/>
        </w:trPr>
        <w:tc>
          <w:tcPr>
            <w:tcW w:type="pct" w:w="30%"/>
            <w:shd w:fill="EDF3F5" w:val="clear"/>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45 - 54</w:t>
            </w:r>
          </w:p>
        </w:tc>
        <w:tc>
          <w:tcPr>
            <w:tcW w:type="pct" w:w="12%"/>
            <w:shd w:fill="EDF3F5" w:val="clear"/>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26</w:t>
            </w:r>
          </w:p>
        </w:tc>
        <w:tc>
          <w:tcPr>
            <w:tcW w:type="pct" w:w="18%"/>
            <w:shd w:fill="EDF3F5" w:val="clear"/>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50.9</w:t>
            </w:r>
          </w:p>
        </w:tc>
        <w:tc>
          <w:tcPr>
            <w:tcW w:type="pct" w:w="20%"/>
            <w:shd w:fill="EDF3F5" w:val="clear"/>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53.8%</w:t>
            </w:r>
          </w:p>
        </w:tc>
        <w:tc>
          <w:tcPr>
            <w:tcW w:type="pct" w:w="20%"/>
            <w:shd w:fill="EDF3F5" w:val="clear"/>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+3.0 pp</w:t>
            </w:r>
          </w:p>
        </w:tc>
      </w:tr>
      <w:tr>
        <w:trPr>
          <w:cantSplit/>
        </w:trPr>
        <w:tc>
          <w:tcPr>
            <w:tcW w:type="pct" w:w="30%"/>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55 - 64</w:t>
            </w:r>
          </w:p>
        </w:tc>
        <w:tc>
          <w:tcPr>
            <w:tcW w:type="pct" w:w="12%"/>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65</w:t>
            </w:r>
          </w:p>
        </w:tc>
        <w:tc>
          <w:tcPr>
            <w:tcW w:type="pct" w:w="18%"/>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58.9</w:t>
            </w:r>
          </w:p>
        </w:tc>
        <w:tc>
          <w:tcPr>
            <w:tcW w:type="pct" w:w="20%"/>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70.8%</w:t>
            </w:r>
          </w:p>
        </w:tc>
        <w:tc>
          <w:tcPr>
            <w:tcW w:type="pct" w:w="20%"/>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+11.9 pp</w:t>
            </w:r>
          </w:p>
        </w:tc>
      </w:tr>
      <w:tr>
        <w:trPr>
          <w:cantSplit/>
        </w:trPr>
        <w:tc>
          <w:tcPr>
            <w:tcW w:type="pct" w:w="30%"/>
            <w:shd w:fill="EDF3F5" w:val="clear"/>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65 - 75</w:t>
            </w:r>
          </w:p>
        </w:tc>
        <w:tc>
          <w:tcPr>
            <w:tcW w:type="pct" w:w="12%"/>
            <w:shd w:fill="EDF3F5" w:val="clear"/>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59</w:t>
            </w:r>
          </w:p>
        </w:tc>
        <w:tc>
          <w:tcPr>
            <w:tcW w:type="pct" w:w="18%"/>
            <w:shd w:fill="EDF3F5" w:val="clear"/>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69.0</w:t>
            </w:r>
          </w:p>
        </w:tc>
        <w:tc>
          <w:tcPr>
            <w:tcW w:type="pct" w:w="20%"/>
            <w:shd w:fill="EDF3F5" w:val="clear"/>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69.5%</w:t>
            </w:r>
          </w:p>
        </w:tc>
        <w:tc>
          <w:tcPr>
            <w:tcW w:type="pct" w:w="20%"/>
            <w:shd w:fill="EDF3F5" w:val="clear"/>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+0.5 pp</w:t>
            </w:r>
          </w:p>
        </w:tc>
      </w:tr>
      <w:tr>
        <w:trPr>
          <w:cantSplit/>
        </w:trPr>
        <w:tc>
          <w:tcPr>
            <w:tcW w:type="pct" w:w="30%"/>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Overall</w:t>
            </w:r>
          </w:p>
        </w:tc>
        <w:tc>
          <w:tcPr>
            <w:tcW w:type="pct" w:w="12%"/>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178</w:t>
            </w:r>
          </w:p>
        </w:tc>
        <w:tc>
          <w:tcPr>
            <w:tcW w:type="pct" w:w="18%"/>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57.5</w:t>
            </w:r>
          </w:p>
        </w:tc>
        <w:tc>
          <w:tcPr>
            <w:tcW w:type="pct" w:w="20%"/>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66.29%</w:t>
            </w:r>
          </w:p>
        </w:tc>
        <w:tc>
          <w:tcPr>
            <w:tcW w:type="pct" w:w="20%"/>
            <w:tcMar>
              <w:top w:type="dxa" w:w="60"/>
              <w:left w:type="dxa" w:w="120"/>
              <w:bottom w:type="dxa" w:w="60"/>
              <w:right w:type="dxa" w:w="120"/>
            </w:tcMar>
          </w:tcPr>
          <w:p>
            <w:pPr>
              <w:spacing w:line="276"/>
              <w:jc w:val="left"/>
            </w:pPr>
            <w:r>
              <w:rPr>
                <w:rFonts w:ascii="Times New Roman"/>
                <w:b w:val="false"/>
                <w:bCs w:val="false"/>
                <w:color w:val="000000"/>
                <w:sz w:val="20"/>
                <w:szCs w:val="20"/>
              </w:rPr>
              <w:t xml:space="preserve">+8.8 pp</w:t>
            </w:r>
          </w:p>
        </w:tc>
      </w:tr>
    </w:tbl>
    <w:p>
      <w:pPr>
        <w:pStyle w:val="Heading2"/>
        <w:spacing w:after="120" w:before="240" w:line="312"/>
      </w:pPr>
      <w:bookmarkStart w:id="100014" w:name="_Toc100014"/>
      <w:r>
        <w:rPr>
          <w:rFonts w:ascii="Times New Roman" w:eastAsia="SimHei"/>
          <w:b/>
          <w:bCs/>
          <w:color w:val="162235"/>
          <w:sz w:val="28"/>
          <w:szCs w:val="28"/>
        </w:rPr>
        <w:t xml:space="preserve">5.6 Rare-outcome reliability layer: designed correctly, never tested live</w:t>
      </w:r>
      <w:bookmarkEnd w:id="100014"/>
    </w:p>
    <w:p>
      <w:pPr>
        <w:spacing w:after="120" w:line="312"/>
        <w:jc w:val="both"/>
      </w:pPr>
      <w:r>
        <w:rPr>
          <w:rFonts w:ascii="Times New Roman"/>
          <w:color w:val="000000"/>
          <w:sz w:val="24"/>
          <w:szCs w:val="24"/>
        </w:rPr>
        <w:t xml:space="preserve">The experimental layer is a continuous, generic sample-size factor, reliability = n / (n + 10), applied only to the positive deviation of any outcome, with negative deviations passing through unchanged. The design satisfies the stated principles: it is continuous, outcome-agnostic, monotonic in evidence, and it never inflates an absent rare outcome. However, it has accumulated zero live evidence because the Shadow A/B flag has remained OFF for 282 consecutive monitoring checks. The retrospective replay shows it would have recovered only 4 of the 35 deficit rounds (flipping 4 misses to hits and none in reverse), because it moderates CASH HUNT and CRAZY TIME inclusions but leaves PACHINKO inclusion unchanged at 31 with zero covered actuals. The mechanism is worth keeping, but it is a damping term on a miscalibrated score, not a fix for the score itself, and it remains unvalidated until the shadow protocol of Section 9 runs.</w:t>
      </w:r>
    </w:p>
    <w:p>
      <w:pPr>
        <w:pStyle w:val="Heading1"/>
        <w:spacing w:after="160" w:before="360" w:line="312"/>
      </w:pPr>
      <w:bookmarkStart w:id="100015" w:name="_Toc100015"/>
      <w:r>
        <w:rPr>
          <w:rFonts w:ascii="Times New Roman" w:eastAsia="SimHei"/>
          <w:b/>
          <w:bCs/>
          <w:color w:val="162235"/>
          <w:sz w:val="32"/>
          <w:szCs w:val="32"/>
        </w:rPr>
        <w:t xml:space="preserve">6. Root-Cause Classification</w:t>
      </w:r>
      <w:bookmarkEnd w:id="100015"/>
    </w:p>
    <w:p>
      <w:pPr>
        <w:spacing w:after="120" w:line="312"/>
        <w:jc w:val="both"/>
      </w:pPr>
      <w:r>
        <w:rPr>
          <w:rFonts w:ascii="Times New Roman"/>
          <w:color w:val="000000"/>
          <w:sz w:val="24"/>
          <w:szCs w:val="24"/>
        </w:rPr>
        <w:t xml:space="preserve">The mandated three-way separation of model failure, unavoidable randomness and data or pipeline failure comes out decisively lopsided. Model failure accounts for the entire 35-round deficit: 41 avoidable number-exclusion misses, partially offset by 6 bonus wins that a prior-dominant policy would not have bought. Unavoidable randomness accounts for the 19 structural bonus misses, which the fixed reference also misses; these are the cost of the 4-of-8 format itself, not of the model, and they set the realistic ceiling near 83 percent expected coverage under the i.i.d. null. Data or pipeline failure accounts for zero detected rounds in era-3: settlement uniqueness, settlement consistency and lifecycle ordering all verify cleanly, and the replay-versus-stored discrepancy of three rounds is attributable to the replay's absent external spin feed rather than to leakage or double settlement.</w:t>
      </w:r>
    </w:p>
    <w:p>
      <w:pPr>
        <w:keepNext/>
        <w:spacing w:after="80" w:before="160" w:line="312"/>
        <w:jc w:val="left"/>
      </w:pPr>
      <w:r>
        <w:rPr>
          <w:rFonts w:ascii="Times New Roman"/>
          <w:b/>
          <w:bCs/>
          <w:color w:val="505A66"/>
          <w:sz w:val="21"/>
          <w:szCs w:val="21"/>
        </w:rPr>
        <w:t xml:space="preserve">Table 6: Three-way root-cause classification with quantification</w:t>
      </w:r>
    </w:p>
    <w:tbl>
      <w:tblPr>
        <w:tblW w:type="pct" w:w="100%"/>
        <w:tblBorders>
          <w:top w:val="single" w:color="1B6B7A" w:sz="4"/>
          <w:left w:val="none"/>
          <w:bottom w:val="single" w:color="1B6B7A" w:sz="4"/>
          <w:right w:val="none"/>
          <w:insideH w:val="single" w:color="C8DDE2" w:sz="1"/>
          <w:insideV w:val="none"/>
        </w:tblBorders>
      </w:tblPr>
      <w:tblGrid>
        <w:gridCol w:w="100"/>
        <w:gridCol w:w="100"/>
        <w:gridCol w:w="100"/>
        <w:gridCol w:w="100"/>
        <w:gridCol w:w="100"/>
      </w:tblGrid>
      <w:tr>
        <w:trPr>
          <w:cantSplit/>
          <w:tblHeader/>
        </w:trPr>
        <w:tc>
          <w:tcPr>
            <w:tcW w:type="pct" w:w="22%"/>
            <w:shd w:fill="1B6B7A" w:val="clear"/>
            <w:tcMar>
              <w:top w:type="dxa" w:w="60"/>
              <w:left w:type="dxa" w:w="120"/>
              <w:bottom w:type="dxa" w:w="60"/>
              <w:right w:type="dxa" w:w="120"/>
            </w:tcMar>
          </w:tcPr>
          <w:p>
            <w:pPr>
              <w:spacing w:line="276"/>
              <w:jc w:val="left"/>
            </w:pPr>
            <w:r>
              <w:rPr>
                <w:rFonts w:ascii="Times New Roman"/>
                <w:b/>
                <w:bCs/>
                <w:color w:val="FFFFFF"/>
                <w:sz w:val="18"/>
                <w:szCs w:val="18"/>
              </w:rPr>
              <w:t xml:space="preserve">Class</w:t>
            </w:r>
          </w:p>
        </w:tc>
        <w:tc>
          <w:tcPr>
            <w:tcW w:type="pct" w:w="40%"/>
            <w:shd w:fill="1B6B7A" w:val="clear"/>
            <w:tcMar>
              <w:top w:type="dxa" w:w="60"/>
              <w:left w:type="dxa" w:w="120"/>
              <w:bottom w:type="dxa" w:w="60"/>
              <w:right w:type="dxa" w:w="120"/>
            </w:tcMar>
          </w:tcPr>
          <w:p>
            <w:pPr>
              <w:spacing w:line="276"/>
              <w:jc w:val="left"/>
            </w:pPr>
            <w:r>
              <w:rPr>
                <w:rFonts w:ascii="Times New Roman"/>
                <w:b/>
                <w:bCs/>
                <w:color w:val="FFFFFF"/>
                <w:sz w:val="18"/>
                <w:szCs w:val="18"/>
              </w:rPr>
              <w:t xml:space="preserve">Quantification</w:t>
            </w:r>
          </w:p>
        </w:tc>
        <w:tc>
          <w:tcPr>
            <w:tcW w:type="pct" w:w="13%"/>
            <w:shd w:fill="1B6B7A" w:val="clear"/>
            <w:tcMar>
              <w:top w:type="dxa" w:w="60"/>
              <w:left w:type="dxa" w:w="120"/>
              <w:bottom w:type="dxa" w:w="60"/>
              <w:right w:type="dxa" w:w="120"/>
            </w:tcMar>
          </w:tcPr>
          <w:p>
            <w:pPr>
              <w:spacing w:line="276"/>
              <w:jc w:val="left"/>
            </w:pPr>
            <w:r>
              <w:rPr>
                <w:rFonts w:ascii="Times New Roman"/>
                <w:b/>
                <w:bCs/>
                <w:color w:val="FFFFFF"/>
                <w:sz w:val="18"/>
                <w:szCs w:val="18"/>
              </w:rPr>
              <w:t xml:space="preserve">Rounds</w:t>
            </w:r>
          </w:p>
        </w:tc>
        <w:tc>
          <w:tcPr>
            <w:tcW w:type="pct" w:w="13%"/>
            <w:shd w:fill="1B6B7A" w:val="clear"/>
            <w:tcMar>
              <w:top w:type="dxa" w:w="60"/>
              <w:left w:type="dxa" w:w="120"/>
              <w:bottom w:type="dxa" w:w="60"/>
              <w:right w:type="dxa" w:w="120"/>
            </w:tcMar>
          </w:tcPr>
          <w:p>
            <w:pPr>
              <w:spacing w:line="276"/>
              <w:jc w:val="left"/>
            </w:pPr>
            <w:r>
              <w:rPr>
                <w:rFonts w:ascii="Times New Roman"/>
                <w:b/>
                <w:bCs/>
                <w:color w:val="FFFFFF"/>
                <w:sz w:val="18"/>
                <w:szCs w:val="18"/>
              </w:rPr>
              <w:t xml:space="preserve">Share of deficit</w:t>
            </w:r>
          </w:p>
        </w:tc>
        <w:tc>
          <w:tcPr>
            <w:tcW w:type="pct" w:w="12%"/>
            <w:shd w:fill="1B6B7A" w:val="clear"/>
            <w:tcMar>
              <w:top w:type="dxa" w:w="60"/>
              <w:left w:type="dxa" w:w="120"/>
              <w:bottom w:type="dxa" w:w="60"/>
              <w:right w:type="dxa" w:w="120"/>
            </w:tcMar>
          </w:tcPr>
          <w:p>
            <w:pPr>
              <w:spacing w:line="276"/>
              <w:jc w:val="left"/>
            </w:pPr>
            <w:r>
              <w:rPr>
                <w:rFonts w:ascii="Times New Roman"/>
                <w:b/>
                <w:bCs/>
                <w:color w:val="FFFFFF"/>
                <w:sz w:val="18"/>
                <w:szCs w:val="18"/>
              </w:rPr>
              <w:t xml:space="preserve">Correctable?</w:t>
            </w:r>
          </w:p>
        </w:tc>
      </w:tr>
      <w:tr>
        <w:trPr>
          <w:cantSplit/>
        </w:trPr>
        <w:tc>
          <w:tcPr>
            <w:tcW w:type="pct" w:w="22%"/>
            <w:tcMar>
              <w:top w:type="dxa" w:w="60"/>
              <w:left w:type="dxa" w:w="120"/>
              <w:bottom w:type="dxa" w:w="60"/>
              <w:right w:type="dxa" w:w="120"/>
            </w:tcMar>
          </w:tcPr>
          <w:p>
            <w:pPr>
              <w:spacing w:line="276"/>
              <w:jc w:val="left"/>
            </w:pPr>
            <w:r>
              <w:rPr>
                <w:rFonts w:ascii="Times New Roman"/>
                <w:b w:val="false"/>
                <w:bCs w:val="false"/>
                <w:color w:val="000000"/>
                <w:sz w:val="18"/>
                <w:szCs w:val="18"/>
              </w:rPr>
              <w:t xml:space="preserve">MODEL FAILURE</w:t>
            </w:r>
          </w:p>
        </w:tc>
        <w:tc>
          <w:tcPr>
            <w:tcW w:type="pct" w:w="40%"/>
            <w:tcMar>
              <w:top w:type="dxa" w:w="60"/>
              <w:left w:type="dxa" w:w="120"/>
              <w:bottom w:type="dxa" w:w="60"/>
              <w:right w:type="dxa" w:w="120"/>
            </w:tcMar>
          </w:tcPr>
          <w:p>
            <w:pPr>
              <w:spacing w:line="276"/>
              <w:jc w:val="left"/>
            </w:pPr>
            <w:r>
              <w:rPr>
                <w:rFonts w:ascii="Times New Roman"/>
                <w:b w:val="false"/>
                <w:bCs w:val="false"/>
                <w:color w:val="000000"/>
                <w:sz w:val="18"/>
                <w:szCs w:val="18"/>
              </w:rPr>
              <w:t xml:space="preserve">Number actuals excluded while bonus slots occupied; recency overwrites 93/178; persistence penalty 23 states (14 on '1'); pseudo-probabilities</w:t>
            </w:r>
          </w:p>
        </w:tc>
        <w:tc>
          <w:tcPr>
            <w:tcW w:type="pct" w:w="13%"/>
            <w:tcMar>
              <w:top w:type="dxa" w:w="60"/>
              <w:left w:type="dxa" w:w="120"/>
              <w:bottom w:type="dxa" w:w="60"/>
              <w:right w:type="dxa" w:w="120"/>
            </w:tcMar>
          </w:tcPr>
          <w:p>
            <w:pPr>
              <w:spacing w:line="276"/>
              <w:jc w:val="left"/>
            </w:pPr>
            <w:r>
              <w:rPr>
                <w:rFonts w:ascii="Times New Roman"/>
                <w:b w:val="false"/>
                <w:bCs w:val="false"/>
                <w:color w:val="000000"/>
                <w:sz w:val="18"/>
                <w:szCs w:val="18"/>
              </w:rPr>
              <w:t xml:space="preserve">41 avoidable misses vs 6 bonus buys (net -35)</w:t>
            </w:r>
          </w:p>
        </w:tc>
        <w:tc>
          <w:tcPr>
            <w:tcW w:type="pct" w:w="13%"/>
            <w:tcMar>
              <w:top w:type="dxa" w:w="60"/>
              <w:left w:type="dxa" w:w="120"/>
              <w:bottom w:type="dxa" w:w="60"/>
              <w:right w:type="dxa" w:w="120"/>
            </w:tcMar>
          </w:tcPr>
          <w:p>
            <w:pPr>
              <w:spacing w:line="276"/>
              <w:jc w:val="left"/>
            </w:pPr>
            <w:r>
              <w:rPr>
                <w:rFonts w:ascii="Times New Roman"/>
                <w:b w:val="false"/>
                <w:bCs w:val="false"/>
                <w:color w:val="000000"/>
                <w:sz w:val="18"/>
                <w:szCs w:val="18"/>
              </w:rPr>
              <w:t xml:space="preserve">100% of the -19.66 pp gap</w:t>
            </w:r>
          </w:p>
        </w:tc>
        <w:tc>
          <w:tcPr>
            <w:tcW w:type="pct" w:w="12%"/>
            <w:tcMar>
              <w:top w:type="dxa" w:w="60"/>
              <w:left w:type="dxa" w:w="120"/>
              <w:bottom w:type="dxa" w:w="60"/>
              <w:right w:type="dxa" w:w="120"/>
            </w:tcMar>
          </w:tcPr>
          <w:p>
            <w:pPr>
              <w:spacing w:line="276"/>
              <w:jc w:val="left"/>
            </w:pPr>
            <w:r>
              <w:rPr>
                <w:rFonts w:ascii="Times New Roman"/>
                <w:b w:val="false"/>
                <w:bCs w:val="false"/>
                <w:color w:val="000000"/>
                <w:sz w:val="18"/>
                <w:szCs w:val="18"/>
              </w:rPr>
              <w:t xml:space="preserve">Yes, by recalibrated probability channel (Sec. 7)</w:t>
            </w:r>
          </w:p>
        </w:tc>
      </w:tr>
      <w:tr>
        <w:trPr>
          <w:cantSplit/>
        </w:trPr>
        <w:tc>
          <w:tcPr>
            <w:tcW w:type="pct" w:w="22%"/>
            <w:shd w:fill="EDF3F5" w:val="clear"/>
            <w:tcMar>
              <w:top w:type="dxa" w:w="60"/>
              <w:left w:type="dxa" w:w="120"/>
              <w:bottom w:type="dxa" w:w="60"/>
              <w:right w:type="dxa" w:w="120"/>
            </w:tcMar>
          </w:tcPr>
          <w:p>
            <w:pPr>
              <w:spacing w:line="276"/>
              <w:jc w:val="left"/>
            </w:pPr>
            <w:r>
              <w:rPr>
                <w:rFonts w:ascii="Times New Roman"/>
                <w:b w:val="false"/>
                <w:bCs w:val="false"/>
                <w:color w:val="000000"/>
                <w:sz w:val="18"/>
                <w:szCs w:val="18"/>
              </w:rPr>
              <w:t xml:space="preserve">UNAVOIDABLE RANDOM OUTCOME</w:t>
            </w:r>
          </w:p>
        </w:tc>
        <w:tc>
          <w:tcPr>
            <w:tcW w:type="pct" w:w="40%"/>
            <w:shd w:fill="EDF3F5" w:val="clear"/>
            <w:tcMar>
              <w:top w:type="dxa" w:w="60"/>
              <w:left w:type="dxa" w:w="120"/>
              <w:bottom w:type="dxa" w:w="60"/>
              <w:right w:type="dxa" w:w="120"/>
            </w:tcMar>
          </w:tcPr>
          <w:p>
            <w:pPr>
              <w:spacing w:line="276"/>
              <w:jc w:val="left"/>
            </w:pPr>
            <w:r>
              <w:rPr>
                <w:rFonts w:ascii="Times New Roman"/>
                <w:b w:val="false"/>
                <w:bCs w:val="false"/>
                <w:color w:val="000000"/>
                <w:sz w:val="18"/>
                <w:szCs w:val="18"/>
              </w:rPr>
              <w:t xml:space="preserve">Bonus actuals not covered; wheel i.i.d.-consistent (GOF p=0.986, runs p=0.351, transition p=0.548, phi=+0.011)</w:t>
            </w:r>
          </w:p>
        </w:tc>
        <w:tc>
          <w:tcPr>
            <w:tcW w:type="pct" w:w="13%"/>
            <w:shd w:fill="EDF3F5" w:val="clear"/>
            <w:tcMar>
              <w:top w:type="dxa" w:w="60"/>
              <w:left w:type="dxa" w:w="120"/>
              <w:bottom w:type="dxa" w:w="60"/>
              <w:right w:type="dxa" w:w="120"/>
            </w:tcMar>
          </w:tcPr>
          <w:p>
            <w:pPr>
              <w:spacing w:line="276"/>
              <w:jc w:val="left"/>
            </w:pPr>
            <w:r>
              <w:rPr>
                <w:rFonts w:ascii="Times New Roman"/>
                <w:b w:val="false"/>
                <w:bCs w:val="false"/>
                <w:color w:val="000000"/>
                <w:sz w:val="18"/>
                <w:szCs w:val="18"/>
              </w:rPr>
              <w:t xml:space="preserve">19 structural misses</w:t>
            </w:r>
          </w:p>
        </w:tc>
        <w:tc>
          <w:tcPr>
            <w:tcW w:type="pct" w:w="13%"/>
            <w:shd w:fill="EDF3F5" w:val="clear"/>
            <w:tcMar>
              <w:top w:type="dxa" w:w="60"/>
              <w:left w:type="dxa" w:w="120"/>
              <w:bottom w:type="dxa" w:w="60"/>
              <w:right w:type="dxa" w:w="120"/>
            </w:tcMar>
          </w:tcPr>
          <w:p>
            <w:pPr>
              <w:spacing w:line="276"/>
              <w:jc w:val="left"/>
            </w:pPr>
            <w:r>
              <w:rPr>
                <w:rFonts w:ascii="Times New Roman"/>
                <w:b w:val="false"/>
                <w:bCs w:val="false"/>
                <w:color w:val="000000"/>
                <w:sz w:val="18"/>
                <w:szCs w:val="18"/>
              </w:rPr>
              <w:t xml:space="preserve">Defines the ~83.3% ceiling, not the gap</w:t>
            </w:r>
          </w:p>
        </w:tc>
        <w:tc>
          <w:tcPr>
            <w:tcW w:type="pct" w:w="12%"/>
            <w:shd w:fill="EDF3F5" w:val="clear"/>
            <w:tcMar>
              <w:top w:type="dxa" w:w="60"/>
              <w:left w:type="dxa" w:w="120"/>
              <w:bottom w:type="dxa" w:w="60"/>
              <w:right w:type="dxa" w:w="120"/>
            </w:tcMar>
          </w:tcPr>
          <w:p>
            <w:pPr>
              <w:spacing w:line="276"/>
              <w:jc w:val="left"/>
            </w:pPr>
            <w:r>
              <w:rPr>
                <w:rFonts w:ascii="Times New Roman"/>
                <w:b w:val="false"/>
                <w:bCs w:val="false"/>
                <w:color w:val="000000"/>
                <w:sz w:val="18"/>
                <w:szCs w:val="18"/>
              </w:rPr>
              <w:t xml:space="preserve">Only by paying bonus slots, which is EV-negative under the null</w:t>
            </w:r>
          </w:p>
        </w:tc>
      </w:tr>
      <w:tr>
        <w:trPr>
          <w:cantSplit/>
        </w:trPr>
        <w:tc>
          <w:tcPr>
            <w:tcW w:type="pct" w:w="22%"/>
            <w:tcMar>
              <w:top w:type="dxa" w:w="60"/>
              <w:left w:type="dxa" w:w="120"/>
              <w:bottom w:type="dxa" w:w="60"/>
              <w:right w:type="dxa" w:w="120"/>
            </w:tcMar>
          </w:tcPr>
          <w:p>
            <w:pPr>
              <w:spacing w:line="276"/>
              <w:jc w:val="left"/>
            </w:pPr>
            <w:r>
              <w:rPr>
                <w:rFonts w:ascii="Times New Roman"/>
                <w:b w:val="false"/>
                <w:bCs w:val="false"/>
                <w:color w:val="000000"/>
                <w:sz w:val="18"/>
                <w:szCs w:val="18"/>
              </w:rPr>
              <w:t xml:space="preserve">DATA / PIPELINE FAILURE</w:t>
            </w:r>
          </w:p>
        </w:tc>
        <w:tc>
          <w:tcPr>
            <w:tcW w:type="pct" w:w="40%"/>
            <w:tcMar>
              <w:top w:type="dxa" w:w="60"/>
              <w:left w:type="dxa" w:w="120"/>
              <w:bottom w:type="dxa" w:w="60"/>
              <w:right w:type="dxa" w:w="120"/>
            </w:tcMar>
          </w:tcPr>
          <w:p>
            <w:pPr>
              <w:spacing w:line="276"/>
              <w:jc w:val="left"/>
            </w:pPr>
            <w:r>
              <w:rPr>
                <w:rFonts w:ascii="Times New Roman"/>
                <w:b w:val="false"/>
                <w:bCs w:val="false"/>
                <w:color w:val="000000"/>
                <w:sz w:val="18"/>
                <w:szCs w:val="18"/>
              </w:rPr>
              <w:t xml:space="preserve">Zero duplicate settlements, zero hit-flag mismatches, lifecycle order proven on-page; 3-round replay delta explained by missing spin feed</w:t>
            </w:r>
          </w:p>
        </w:tc>
        <w:tc>
          <w:tcPr>
            <w:tcW w:type="pct" w:w="13%"/>
            <w:tcMar>
              <w:top w:type="dxa" w:w="60"/>
              <w:left w:type="dxa" w:w="120"/>
              <w:bottom w:type="dxa" w:w="60"/>
              <w:right w:type="dxa" w:w="120"/>
            </w:tcMar>
          </w:tcPr>
          <w:p>
            <w:pPr>
              <w:spacing w:line="276"/>
              <w:jc w:val="left"/>
            </w:pPr>
            <w:r>
              <w:rPr>
                <w:rFonts w:ascii="Times New Roman"/>
                <w:b w:val="false"/>
                <w:bCs w:val="false"/>
                <w:color w:val="000000"/>
                <w:sz w:val="18"/>
                <w:szCs w:val="18"/>
              </w:rPr>
              <w:t xml:space="preserve">0 detected in era-3</w:t>
            </w:r>
          </w:p>
        </w:tc>
        <w:tc>
          <w:tcPr>
            <w:tcW w:type="pct" w:w="13%"/>
            <w:tcMar>
              <w:top w:type="dxa" w:w="60"/>
              <w:left w:type="dxa" w:w="120"/>
              <w:bottom w:type="dxa" w:w="60"/>
              <w:right w:type="dxa" w:w="120"/>
            </w:tcMar>
          </w:tcPr>
          <w:p>
            <w:pPr>
              <w:spacing w:line="276"/>
              <w:jc w:val="left"/>
            </w:pPr>
            <w:r>
              <w:rPr>
                <w:rFonts w:ascii="Times New Roman"/>
                <w:b w:val="false"/>
                <w:bCs w:val="false"/>
                <w:color w:val="000000"/>
                <w:sz w:val="18"/>
                <w:szCs w:val="18"/>
              </w:rPr>
              <w:t xml:space="preserve">0%</w:t>
            </w:r>
          </w:p>
        </w:tc>
        <w:tc>
          <w:tcPr>
            <w:tcW w:type="pct" w:w="12%"/>
            <w:tcMar>
              <w:top w:type="dxa" w:w="60"/>
              <w:left w:type="dxa" w:w="120"/>
              <w:bottom w:type="dxa" w:w="60"/>
              <w:right w:type="dxa" w:w="120"/>
            </w:tcMar>
          </w:tcPr>
          <w:p>
            <w:pPr>
              <w:spacing w:line="276"/>
              <w:jc w:val="left"/>
            </w:pPr>
            <w:r>
              <w:rPr>
                <w:rFonts w:ascii="Times New Roman"/>
                <w:b w:val="false"/>
                <w:bCs w:val="false"/>
                <w:color w:val="000000"/>
                <w:sz w:val="18"/>
                <w:szCs w:val="18"/>
              </w:rPr>
              <w:t xml:space="preserve">n/a; keep integrity checks as permanent gates</w:t>
            </w:r>
          </w:p>
        </w:tc>
      </w:tr>
    </w:tbl>
    <w:p>
      <w:pPr>
        <w:spacing w:after="120" w:line="312"/>
        <w:jc w:val="both"/>
      </w:pPr>
      <w:r>
        <w:rPr>
          <w:rFonts w:ascii="Times New Roman"/>
          <w:color w:val="000000"/>
          <w:sz w:val="24"/>
          <w:szCs w:val="24"/>
        </w:rPr>
        <w:t xml:space="preserve">One framing point matters for the program's stated 100 percent target. With eight outcomes, four slots and no exploitable dependence in 178 rounds, no selection policy can promise sustained 100 percent; a perfect per-round oracle would, but no measurable feature set in the current data approaches it. The honest development objective is therefore to stop paying the 41-round structural tax and converge to the 83 to 86 percent band, and then to keep an auditable gate through which any future evidence of genuine dependence could justify bonus slots. Any claim of a sustained 100 percent run should be treated as a leakage signal to investigate, not an achievement, exactly as the program's own guardrails anticipate.</w:t>
      </w:r>
    </w:p>
    <w:p>
      <w:pPr>
        <w:pStyle w:val="Heading1"/>
        <w:spacing w:after="160" w:before="360" w:line="312"/>
      </w:pPr>
      <w:bookmarkStart w:id="100016" w:name="_Toc100016"/>
      <w:r>
        <w:rPr>
          <w:rFonts w:ascii="Times New Roman" w:eastAsia="SimHei"/>
          <w:b/>
          <w:bCs/>
          <w:color w:val="162235"/>
          <w:sz w:val="32"/>
          <w:szCs w:val="32"/>
        </w:rPr>
        <w:t xml:space="preserve">7. Exact Proposed Changes</w:t>
      </w:r>
      <w:bookmarkEnd w:id="100016"/>
    </w:p>
    <w:p>
      <w:pPr>
        <w:spacing w:after="120" w:line="312"/>
        <w:jc w:val="both"/>
      </w:pPr>
      <w:r>
        <w:rPr>
          <w:rFonts w:ascii="Times New Roman"/>
          <w:color w:val="000000"/>
          <w:sz w:val="24"/>
          <w:szCs w:val="24"/>
        </w:rPr>
        <w:t xml:space="preserve">Seven changes are proposed, each mapped to the corresponding section of the optimization specification. Nothing below has been implemented; the list is the contract for the next phase, and every item is designed to land behind a feature flag so the frozen baseline remains bit-for-bit reproducible until the validation protocol of Section 9 closes.</w:t>
      </w:r>
    </w:p>
    <w:p>
      <w:pPr>
        <w:keepNext/>
        <w:spacing w:after="80" w:before="160" w:line="312"/>
        <w:jc w:val="left"/>
      </w:pPr>
      <w:r>
        <w:rPr>
          <w:rFonts w:ascii="Times New Roman"/>
          <w:b/>
          <w:bCs/>
          <w:color w:val="505A66"/>
          <w:sz w:val="21"/>
          <w:szCs w:val="21"/>
        </w:rPr>
        <w:t xml:space="preserve">Table 7: Proposed changes, mechanisms and expected effects</w:t>
      </w:r>
    </w:p>
    <w:tbl>
      <w:tblPr>
        <w:tblW w:type="pct" w:w="100%"/>
        <w:tblBorders>
          <w:top w:val="single" w:color="1B6B7A" w:sz="4"/>
          <w:left w:val="none"/>
          <w:bottom w:val="single" w:color="1B6B7A" w:sz="4"/>
          <w:right w:val="none"/>
          <w:insideH w:val="single" w:color="C8DDE2" w:sz="1"/>
          <w:insideV w:val="none"/>
        </w:tblBorders>
      </w:tblPr>
      <w:tblGrid>
        <w:gridCol w:w="100"/>
        <w:gridCol w:w="100"/>
        <w:gridCol w:w="100"/>
        <w:gridCol w:w="100"/>
        <w:gridCol w:w="100"/>
      </w:tblGrid>
      <w:tr>
        <w:trPr>
          <w:cantSplit/>
          <w:tblHeader/>
        </w:trPr>
        <w:tc>
          <w:tcPr>
            <w:tcW w:type="pct" w:w="5%"/>
            <w:shd w:fill="1B6B7A" w:val="clear"/>
            <w:tcMar>
              <w:top w:type="dxa" w:w="60"/>
              <w:left w:type="dxa" w:w="120"/>
              <w:bottom w:type="dxa" w:w="60"/>
              <w:right w:type="dxa" w:w="120"/>
            </w:tcMar>
          </w:tcPr>
          <w:p>
            <w:pPr>
              <w:spacing w:line="276"/>
              <w:jc w:val="left"/>
            </w:pPr>
            <w:r>
              <w:rPr>
                <w:rFonts w:ascii="Times New Roman"/>
                <w:b/>
                <w:bCs/>
                <w:color w:val="FFFFFF"/>
                <w:sz w:val="18"/>
                <w:szCs w:val="18"/>
              </w:rPr>
              <w:t xml:space="preserve">#</w:t>
            </w:r>
          </w:p>
        </w:tc>
        <w:tc>
          <w:tcPr>
            <w:tcW w:type="pct" w:w="17%"/>
            <w:shd w:fill="1B6B7A" w:val="clear"/>
            <w:tcMar>
              <w:top w:type="dxa" w:w="60"/>
              <w:left w:type="dxa" w:w="120"/>
              <w:bottom w:type="dxa" w:w="60"/>
              <w:right w:type="dxa" w:w="120"/>
            </w:tcMar>
          </w:tcPr>
          <w:p>
            <w:pPr>
              <w:spacing w:line="276"/>
              <w:jc w:val="left"/>
            </w:pPr>
            <w:r>
              <w:rPr>
                <w:rFonts w:ascii="Times New Roman"/>
                <w:b/>
                <w:bCs/>
                <w:color w:val="FFFFFF"/>
                <w:sz w:val="18"/>
                <w:szCs w:val="18"/>
              </w:rPr>
              <w:t xml:space="preserve">Change</w:t>
            </w:r>
          </w:p>
        </w:tc>
        <w:tc>
          <w:tcPr>
            <w:tcW w:type="pct" w:w="40%"/>
            <w:shd w:fill="1B6B7A" w:val="clear"/>
            <w:tcMar>
              <w:top w:type="dxa" w:w="60"/>
              <w:left w:type="dxa" w:w="120"/>
              <w:bottom w:type="dxa" w:w="60"/>
              <w:right w:type="dxa" w:w="120"/>
            </w:tcMar>
          </w:tcPr>
          <w:p>
            <w:pPr>
              <w:spacing w:line="276"/>
              <w:jc w:val="left"/>
            </w:pPr>
            <w:r>
              <w:rPr>
                <w:rFonts w:ascii="Times New Roman"/>
                <w:b/>
                <w:bCs/>
                <w:color w:val="FFFFFF"/>
                <w:sz w:val="18"/>
                <w:szCs w:val="18"/>
              </w:rPr>
              <w:t xml:space="preserve">Mechanism</w:t>
            </w:r>
          </w:p>
        </w:tc>
        <w:tc>
          <w:tcPr>
            <w:tcW w:type="pct" w:w="8%"/>
            <w:shd w:fill="1B6B7A" w:val="clear"/>
            <w:tcMar>
              <w:top w:type="dxa" w:w="60"/>
              <w:left w:type="dxa" w:w="120"/>
              <w:bottom w:type="dxa" w:w="60"/>
              <w:right w:type="dxa" w:w="120"/>
            </w:tcMar>
          </w:tcPr>
          <w:p>
            <w:pPr>
              <w:spacing w:line="276"/>
              <w:jc w:val="left"/>
            </w:pPr>
            <w:r>
              <w:rPr>
                <w:rFonts w:ascii="Times New Roman"/>
                <w:b/>
                <w:bCs/>
                <w:color w:val="FFFFFF"/>
                <w:sz w:val="18"/>
                <w:szCs w:val="18"/>
              </w:rPr>
              <w:t xml:space="preserve">Spec ref</w:t>
            </w:r>
          </w:p>
        </w:tc>
        <w:tc>
          <w:tcPr>
            <w:tcW w:type="pct" w:w="30%"/>
            <w:shd w:fill="1B6B7A" w:val="clear"/>
            <w:tcMar>
              <w:top w:type="dxa" w:w="60"/>
              <w:left w:type="dxa" w:w="120"/>
              <w:bottom w:type="dxa" w:w="60"/>
              <w:right w:type="dxa" w:w="120"/>
            </w:tcMar>
          </w:tcPr>
          <w:p>
            <w:pPr>
              <w:spacing w:line="276"/>
              <w:jc w:val="left"/>
            </w:pPr>
            <w:r>
              <w:rPr>
                <w:rFonts w:ascii="Times New Roman"/>
                <w:b/>
                <w:bCs/>
                <w:color w:val="FFFFFF"/>
                <w:sz w:val="18"/>
                <w:szCs w:val="18"/>
              </w:rPr>
              <w:t xml:space="preserve">Expected effect</w:t>
            </w:r>
          </w:p>
        </w:tc>
      </w:tr>
      <w:tr>
        <w:trPr>
          <w:cantSplit/>
        </w:trPr>
        <w:tc>
          <w:tcPr>
            <w:tcW w:type="pct" w:w="5%"/>
            <w:tcMar>
              <w:top w:type="dxa" w:w="60"/>
              <w:left w:type="dxa" w:w="120"/>
              <w:bottom w:type="dxa" w:w="60"/>
              <w:right w:type="dxa" w:w="120"/>
            </w:tcMar>
          </w:tcPr>
          <w:p>
            <w:pPr>
              <w:spacing w:line="276"/>
              <w:jc w:val="left"/>
            </w:pPr>
            <w:r>
              <w:rPr>
                <w:rFonts w:ascii="Times New Roman"/>
                <w:b w:val="false"/>
                <w:bCs w:val="false"/>
                <w:color w:val="000000"/>
                <w:sz w:val="18"/>
                <w:szCs w:val="18"/>
              </w:rPr>
              <w:t xml:space="preserve">C1</w:t>
            </w:r>
          </w:p>
        </w:tc>
        <w:tc>
          <w:tcPr>
            <w:tcW w:type="pct" w:w="17%"/>
            <w:tcMar>
              <w:top w:type="dxa" w:w="60"/>
              <w:left w:type="dxa" w:w="120"/>
              <w:bottom w:type="dxa" w:w="60"/>
              <w:right w:type="dxa" w:w="120"/>
            </w:tcMar>
          </w:tcPr>
          <w:p>
            <w:pPr>
              <w:spacing w:line="276"/>
              <w:jc w:val="left"/>
            </w:pPr>
            <w:r>
              <w:rPr>
                <w:rFonts w:ascii="Times New Roman"/>
                <w:b w:val="false"/>
                <w:bCs w:val="false"/>
                <w:color w:val="000000"/>
                <w:sz w:val="18"/>
                <w:szCs w:val="18"/>
              </w:rPr>
              <w:t xml:space="preserve">Calibrated probability channel</w:t>
            </w:r>
          </w:p>
        </w:tc>
        <w:tc>
          <w:tcPr>
            <w:tcW w:type="pct" w:w="40%"/>
            <w:tcMar>
              <w:top w:type="dxa" w:w="60"/>
              <w:left w:type="dxa" w:w="120"/>
              <w:bottom w:type="dxa" w:w="60"/>
              <w:right w:type="dxa" w:w="120"/>
            </w:tcMar>
          </w:tcPr>
          <w:p>
            <w:pPr>
              <w:spacing w:line="276"/>
              <w:jc w:val="left"/>
            </w:pPr>
            <w:r>
              <w:rPr>
                <w:rFonts w:ascii="Times New Roman"/>
                <w:b w:val="false"/>
                <w:bCs w:val="false"/>
                <w:color w:val="000000"/>
                <w:sz w:val="18"/>
                <w:szCs w:val="18"/>
              </w:rPr>
              <w:t xml:space="preserve">Replace the evidence-deviation score with a Dirichlet-multinomial posterior per outcome: theoretical 54-segment prior as conjugate center, one recency kernel with a single fixed half-life, fixed precision weights; no overlapping frequency features</w:t>
            </w:r>
          </w:p>
        </w:tc>
        <w:tc>
          <w:tcPr>
            <w:tcW w:type="pct" w:w="8%"/>
            <w:tcMar>
              <w:top w:type="dxa" w:w="60"/>
              <w:left w:type="dxa" w:w="120"/>
              <w:bottom w:type="dxa" w:w="60"/>
              <w:right w:type="dxa" w:w="120"/>
            </w:tcMar>
          </w:tcPr>
          <w:p>
            <w:pPr>
              <w:spacing w:line="276"/>
              <w:jc w:val="left"/>
            </w:pPr>
            <w:r>
              <w:rPr>
                <w:rFonts w:ascii="Times New Roman"/>
                <w:b w:val="false"/>
                <w:bCs w:val="false"/>
                <w:color w:val="000000"/>
                <w:sz w:val="18"/>
                <w:szCs w:val="18"/>
              </w:rPr>
              <w:t xml:space="preserve">Sec. 3</w:t>
            </w:r>
          </w:p>
        </w:tc>
        <w:tc>
          <w:tcPr>
            <w:tcW w:type="pct" w:w="30%"/>
            <w:tcMar>
              <w:top w:type="dxa" w:w="60"/>
              <w:left w:type="dxa" w:w="120"/>
              <w:bottom w:type="dxa" w:w="60"/>
              <w:right w:type="dxa" w:w="120"/>
            </w:tcMar>
          </w:tcPr>
          <w:p>
            <w:pPr>
              <w:spacing w:line="276"/>
              <w:jc w:val="left"/>
            </w:pPr>
            <w:r>
              <w:rPr>
                <w:rFonts w:ascii="Times New Roman"/>
                <w:b w:val="false"/>
                <w:bCs w:val="false"/>
                <w:color w:val="000000"/>
                <w:sz w:val="18"/>
                <w:szCs w:val="18"/>
              </w:rPr>
              <w:t xml:space="preserve">Removes the heteroscedastic-deviation displacement engine and all double counting; per-outcome numbers behave as probabilities</w:t>
            </w:r>
          </w:p>
        </w:tc>
      </w:tr>
      <w:tr>
        <w:trPr>
          <w:cantSplit/>
        </w:trPr>
        <w:tc>
          <w:tcPr>
            <w:tcW w:type="pct" w:w="5%"/>
            <w:shd w:fill="EDF3F5" w:val="clear"/>
            <w:tcMar>
              <w:top w:type="dxa" w:w="60"/>
              <w:left w:type="dxa" w:w="120"/>
              <w:bottom w:type="dxa" w:w="60"/>
              <w:right w:type="dxa" w:w="120"/>
            </w:tcMar>
          </w:tcPr>
          <w:p>
            <w:pPr>
              <w:spacing w:line="276"/>
              <w:jc w:val="left"/>
            </w:pPr>
            <w:r>
              <w:rPr>
                <w:rFonts w:ascii="Times New Roman"/>
                <w:b w:val="false"/>
                <w:bCs w:val="false"/>
                <w:color w:val="000000"/>
                <w:sz w:val="18"/>
                <w:szCs w:val="18"/>
              </w:rPr>
              <w:t xml:space="preserve">C2</w:t>
            </w:r>
          </w:p>
        </w:tc>
        <w:tc>
          <w:tcPr>
            <w:tcW w:type="pct" w:w="17%"/>
            <w:shd w:fill="EDF3F5" w:val="clear"/>
            <w:tcMar>
              <w:top w:type="dxa" w:w="60"/>
              <w:left w:type="dxa" w:w="120"/>
              <w:bottom w:type="dxa" w:w="60"/>
              <w:right w:type="dxa" w:w="120"/>
            </w:tcMar>
          </w:tcPr>
          <w:p>
            <w:pPr>
              <w:spacing w:line="276"/>
              <w:jc w:val="left"/>
            </w:pPr>
            <w:r>
              <w:rPr>
                <w:rFonts w:ascii="Times New Roman"/>
                <w:b w:val="false"/>
                <w:bCs w:val="false"/>
                <w:color w:val="000000"/>
                <w:sz w:val="18"/>
                <w:szCs w:val="18"/>
              </w:rPr>
              <w:t xml:space="preserve">Continuous generic reliability</w:t>
            </w:r>
          </w:p>
        </w:tc>
        <w:tc>
          <w:tcPr>
            <w:tcW w:type="pct" w:w="40%"/>
            <w:shd w:fill="EDF3F5" w:val="clear"/>
            <w:tcMar>
              <w:top w:type="dxa" w:w="60"/>
              <w:left w:type="dxa" w:w="120"/>
              <w:bottom w:type="dxa" w:w="60"/>
              <w:right w:type="dxa" w:w="120"/>
            </w:tcMar>
          </w:tcPr>
          <w:p>
            <w:pPr>
              <w:spacing w:line="276"/>
              <w:jc w:val="left"/>
            </w:pPr>
            <w:r>
              <w:rPr>
                <w:rFonts w:ascii="Times New Roman"/>
                <w:b w:val="false"/>
                <w:bCs w:val="false"/>
                <w:color w:val="000000"/>
                <w:sz w:val="18"/>
                <w:szCs w:val="18"/>
              </w:rPr>
              <w:t xml:space="preserve">Keep reliability = n/(n+K) as a Beta-binomial posterior shrinkage on each outcome's departure from prior, applied to both directions, same constant for all 8 outcomes, no hard cutoff</w:t>
            </w:r>
          </w:p>
        </w:tc>
        <w:tc>
          <w:tcPr>
            <w:tcW w:type="pct" w:w="8%"/>
            <w:shd w:fill="EDF3F5" w:val="clear"/>
            <w:tcMar>
              <w:top w:type="dxa" w:w="60"/>
              <w:left w:type="dxa" w:w="120"/>
              <w:bottom w:type="dxa" w:w="60"/>
              <w:right w:type="dxa" w:w="120"/>
            </w:tcMar>
          </w:tcPr>
          <w:p>
            <w:pPr>
              <w:spacing w:line="276"/>
              <w:jc w:val="left"/>
            </w:pPr>
            <w:r>
              <w:rPr>
                <w:rFonts w:ascii="Times New Roman"/>
                <w:b w:val="false"/>
                <w:bCs w:val="false"/>
                <w:color w:val="000000"/>
                <w:sz w:val="18"/>
                <w:szCs w:val="18"/>
              </w:rPr>
              <w:t xml:space="preserve">Sec. 4, 6</w:t>
            </w:r>
          </w:p>
        </w:tc>
        <w:tc>
          <w:tcPr>
            <w:tcW w:type="pct" w:w="30%"/>
            <w:shd w:fill="EDF3F5" w:val="clear"/>
            <w:tcMar>
              <w:top w:type="dxa" w:w="60"/>
              <w:left w:type="dxa" w:w="120"/>
              <w:bottom w:type="dxa" w:w="60"/>
              <w:right w:type="dxa" w:w="120"/>
            </w:tcMar>
          </w:tcPr>
          <w:p>
            <w:pPr>
              <w:spacing w:line="276"/>
              <w:jc w:val="left"/>
            </w:pPr>
            <w:r>
              <w:rPr>
                <w:rFonts w:ascii="Times New Roman"/>
                <w:b w:val="false"/>
                <w:bCs w:val="false"/>
                <w:color w:val="000000"/>
                <w:sz w:val="18"/>
                <w:szCs w:val="18"/>
              </w:rPr>
              <w:t xml:space="preserve">Rare outcomes need repeated evidence to enter; absent rare outcomes are never inflated</w:t>
            </w:r>
          </w:p>
        </w:tc>
      </w:tr>
      <w:tr>
        <w:trPr>
          <w:cantSplit/>
        </w:trPr>
        <w:tc>
          <w:tcPr>
            <w:tcW w:type="pct" w:w="5%"/>
            <w:tcMar>
              <w:top w:type="dxa" w:w="60"/>
              <w:left w:type="dxa" w:w="120"/>
              <w:bottom w:type="dxa" w:w="60"/>
              <w:right w:type="dxa" w:w="120"/>
            </w:tcMar>
          </w:tcPr>
          <w:p>
            <w:pPr>
              <w:spacing w:line="276"/>
              <w:jc w:val="left"/>
            </w:pPr>
            <w:r>
              <w:rPr>
                <w:rFonts w:ascii="Times New Roman"/>
                <w:b w:val="false"/>
                <w:bCs w:val="false"/>
                <w:color w:val="000000"/>
                <w:sz w:val="18"/>
                <w:szCs w:val="18"/>
              </w:rPr>
              <w:t xml:space="preserve">C3</w:t>
            </w:r>
          </w:p>
        </w:tc>
        <w:tc>
          <w:tcPr>
            <w:tcW w:type="pct" w:w="17%"/>
            <w:tcMar>
              <w:top w:type="dxa" w:w="60"/>
              <w:left w:type="dxa" w:w="120"/>
              <w:bottom w:type="dxa" w:w="60"/>
              <w:right w:type="dxa" w:w="120"/>
            </w:tcMar>
          </w:tcPr>
          <w:p>
            <w:pPr>
              <w:spacing w:line="276"/>
              <w:jc w:val="left"/>
            </w:pPr>
            <w:r>
              <w:rPr>
                <w:rFonts w:ascii="Times New Roman"/>
                <w:b w:val="false"/>
                <w:bCs w:val="false"/>
                <w:color w:val="000000"/>
                <w:sz w:val="18"/>
                <w:szCs w:val="18"/>
              </w:rPr>
              <w:t xml:space="preserve">Uncertainty-aware shrinkage</w:t>
            </w:r>
          </w:p>
        </w:tc>
        <w:tc>
          <w:tcPr>
            <w:tcW w:type="pct" w:w="40%"/>
            <w:tcMar>
              <w:top w:type="dxa" w:w="60"/>
              <w:left w:type="dxa" w:w="120"/>
              <w:bottom w:type="dxa" w:w="60"/>
              <w:right w:type="dxa" w:w="120"/>
            </w:tcMar>
          </w:tcPr>
          <w:p>
            <w:pPr>
              <w:spacing w:line="276"/>
              <w:jc w:val="left"/>
            </w:pPr>
            <w:r>
              <w:rPr>
                <w:rFonts w:ascii="Times New Roman"/>
                <w:b w:val="false"/>
                <w:bCs w:val="false"/>
                <w:color w:val="000000"/>
                <w:sz w:val="18"/>
                <w:szCs w:val="18"/>
              </w:rPr>
              <w:t xml:space="preserve">Effective sample size drives automatic shrinkage toward the theoretical prior; weak evidence cannot produce strong scores; confidence derived from the posterior, not blended streaks</w:t>
            </w:r>
          </w:p>
        </w:tc>
        <w:tc>
          <w:tcPr>
            <w:tcW w:type="pct" w:w="8%"/>
            <w:tcMar>
              <w:top w:type="dxa" w:w="60"/>
              <w:left w:type="dxa" w:w="120"/>
              <w:bottom w:type="dxa" w:w="60"/>
              <w:right w:type="dxa" w:w="120"/>
            </w:tcMar>
          </w:tcPr>
          <w:p>
            <w:pPr>
              <w:spacing w:line="276"/>
              <w:jc w:val="left"/>
            </w:pPr>
            <w:r>
              <w:rPr>
                <w:rFonts w:ascii="Times New Roman"/>
                <w:b w:val="false"/>
                <w:bCs w:val="false"/>
                <w:color w:val="000000"/>
                <w:sz w:val="18"/>
                <w:szCs w:val="18"/>
              </w:rPr>
              <w:t xml:space="preserve">Sec. 6</w:t>
            </w:r>
          </w:p>
        </w:tc>
        <w:tc>
          <w:tcPr>
            <w:tcW w:type="pct" w:w="30%"/>
            <w:tcMar>
              <w:top w:type="dxa" w:w="60"/>
              <w:left w:type="dxa" w:w="120"/>
              <w:bottom w:type="dxa" w:w="60"/>
              <w:right w:type="dxa" w:w="120"/>
            </w:tcMar>
          </w:tcPr>
          <w:p>
            <w:pPr>
              <w:spacing w:line="276"/>
              <w:jc w:val="left"/>
            </w:pPr>
            <w:r>
              <w:rPr>
                <w:rFonts w:ascii="Times New Roman"/>
                <w:b w:val="false"/>
                <w:bCs w:val="false"/>
                <w:color w:val="000000"/>
                <w:sz w:val="18"/>
                <w:szCs w:val="18"/>
              </w:rPr>
              <w:t xml:space="preserve">Low-n rounds behave like the prior-dominant policy; no fake confidence</w:t>
            </w:r>
          </w:p>
        </w:tc>
      </w:tr>
      <w:tr>
        <w:trPr>
          <w:cantSplit/>
        </w:trPr>
        <w:tc>
          <w:tcPr>
            <w:tcW w:type="pct" w:w="5%"/>
            <w:shd w:fill="EDF3F5" w:val="clear"/>
            <w:tcMar>
              <w:top w:type="dxa" w:w="60"/>
              <w:left w:type="dxa" w:w="120"/>
              <w:bottom w:type="dxa" w:w="60"/>
              <w:right w:type="dxa" w:w="120"/>
            </w:tcMar>
          </w:tcPr>
          <w:p>
            <w:pPr>
              <w:spacing w:line="276"/>
              <w:jc w:val="left"/>
            </w:pPr>
            <w:r>
              <w:rPr>
                <w:rFonts w:ascii="Times New Roman"/>
                <w:b w:val="false"/>
                <w:bCs w:val="false"/>
                <w:color w:val="000000"/>
                <w:sz w:val="18"/>
                <w:szCs w:val="18"/>
              </w:rPr>
              <w:t xml:space="preserve">C4</w:t>
            </w:r>
          </w:p>
        </w:tc>
        <w:tc>
          <w:tcPr>
            <w:tcW w:type="pct" w:w="17%"/>
            <w:shd w:fill="EDF3F5" w:val="clear"/>
            <w:tcMar>
              <w:top w:type="dxa" w:w="60"/>
              <w:left w:type="dxa" w:w="120"/>
              <w:bottom w:type="dxa" w:w="60"/>
              <w:right w:type="dxa" w:w="120"/>
            </w:tcMar>
          </w:tcPr>
          <w:p>
            <w:pPr>
              <w:spacing w:line="276"/>
              <w:jc w:val="left"/>
            </w:pPr>
            <w:r>
              <w:rPr>
                <w:rFonts w:ascii="Times New Roman"/>
                <w:b w:val="false"/>
                <w:bCs w:val="false"/>
                <w:color w:val="000000"/>
                <w:sz w:val="18"/>
                <w:szCs w:val="18"/>
              </w:rPr>
              <w:t xml:space="preserve">True 70-combination optimizer with uncertainty penalty</w:t>
            </w:r>
          </w:p>
        </w:tc>
        <w:tc>
          <w:tcPr>
            <w:tcW w:type="pct" w:w="40%"/>
            <w:shd w:fill="EDF3F5" w:val="clear"/>
            <w:tcMar>
              <w:top w:type="dxa" w:w="60"/>
              <w:left w:type="dxa" w:w="120"/>
              <w:bottom w:type="dxa" w:w="60"/>
              <w:right w:type="dxa" w:w="120"/>
            </w:tcMar>
          </w:tcPr>
          <w:p>
            <w:pPr>
              <w:spacing w:line="276"/>
              <w:jc w:val="left"/>
            </w:pPr>
            <w:r>
              <w:rPr>
                <w:rFonts w:ascii="Times New Roman"/>
                <w:b w:val="false"/>
                <w:bCs w:val="false"/>
                <w:color w:val="000000"/>
                <w:sz w:val="18"/>
                <w:szCs w:val="18"/>
              </w:rPr>
              <w:t xml:space="preserve">Utility U(C) = sum of posterior means minus lambda times summed posterior standard deviations (small fixed lambda); log all 70 utilities and the [1,2,5,10] counterfactual delta each round</w:t>
            </w:r>
          </w:p>
        </w:tc>
        <w:tc>
          <w:tcPr>
            <w:tcW w:type="pct" w:w="8%"/>
            <w:shd w:fill="EDF3F5" w:val="clear"/>
            <w:tcMar>
              <w:top w:type="dxa" w:w="60"/>
              <w:left w:type="dxa" w:w="120"/>
              <w:bottom w:type="dxa" w:w="60"/>
              <w:right w:type="dxa" w:w="120"/>
            </w:tcMar>
          </w:tcPr>
          <w:p>
            <w:pPr>
              <w:spacing w:line="276"/>
              <w:jc w:val="left"/>
            </w:pPr>
            <w:r>
              <w:rPr>
                <w:rFonts w:ascii="Times New Roman"/>
                <w:b w:val="false"/>
                <w:bCs w:val="false"/>
                <w:color w:val="000000"/>
                <w:sz w:val="18"/>
                <w:szCs w:val="18"/>
              </w:rPr>
              <w:t xml:space="preserve">Sec. 5</w:t>
            </w:r>
          </w:p>
        </w:tc>
        <w:tc>
          <w:tcPr>
            <w:tcW w:type="pct" w:w="30%"/>
            <w:shd w:fill="EDF3F5" w:val="clear"/>
            <w:tcMar>
              <w:top w:type="dxa" w:w="60"/>
              <w:left w:type="dxa" w:w="120"/>
              <w:bottom w:type="dxa" w:w="60"/>
              <w:right w:type="dxa" w:w="120"/>
            </w:tcMar>
          </w:tcPr>
          <w:p>
            <w:pPr>
              <w:spacing w:line="276"/>
              <w:jc w:val="left"/>
            </w:pPr>
            <w:r>
              <w:rPr>
                <w:rFonts w:ascii="Times New Roman"/>
                <w:b w:val="false"/>
                <w:bCs w:val="false"/>
                <w:color w:val="000000"/>
                <w:sz w:val="18"/>
                <w:szCs w:val="18"/>
              </w:rPr>
              <w:t xml:space="preserve">Gives the optimizer real work: penalizes unstable sets, leaves a full audit trail of every selection decision</w:t>
            </w:r>
          </w:p>
        </w:tc>
      </w:tr>
      <w:tr>
        <w:trPr>
          <w:cantSplit/>
        </w:trPr>
        <w:tc>
          <w:tcPr>
            <w:tcW w:type="pct" w:w="5%"/>
            <w:tcMar>
              <w:top w:type="dxa" w:w="60"/>
              <w:left w:type="dxa" w:w="120"/>
              <w:bottom w:type="dxa" w:w="60"/>
              <w:right w:type="dxa" w:w="120"/>
            </w:tcMar>
          </w:tcPr>
          <w:p>
            <w:pPr>
              <w:spacing w:line="276"/>
              <w:jc w:val="left"/>
            </w:pPr>
            <w:r>
              <w:rPr>
                <w:rFonts w:ascii="Times New Roman"/>
                <w:b w:val="false"/>
                <w:bCs w:val="false"/>
                <w:color w:val="000000"/>
                <w:sz w:val="18"/>
                <w:szCs w:val="18"/>
              </w:rPr>
              <w:t xml:space="preserve">C5</w:t>
            </w:r>
          </w:p>
        </w:tc>
        <w:tc>
          <w:tcPr>
            <w:tcW w:type="pct" w:w="17%"/>
            <w:tcMar>
              <w:top w:type="dxa" w:w="60"/>
              <w:left w:type="dxa" w:w="120"/>
              <w:bottom w:type="dxa" w:w="60"/>
              <w:right w:type="dxa" w:w="120"/>
            </w:tcMar>
          </w:tcPr>
          <w:p>
            <w:pPr>
              <w:spacing w:line="276"/>
              <w:jc w:val="left"/>
            </w:pPr>
            <w:r>
              <w:rPr>
                <w:rFonts w:ascii="Times New Roman"/>
                <w:b w:val="false"/>
                <w:bCs w:val="false"/>
                <w:color w:val="000000"/>
                <w:sz w:val="18"/>
                <w:szCs w:val="18"/>
              </w:rPr>
              <w:t xml:space="preserve">Feature de-scoping</w:t>
            </w:r>
          </w:p>
        </w:tc>
        <w:tc>
          <w:tcPr>
            <w:tcW w:type="pct" w:w="40%"/>
            <w:tcMar>
              <w:top w:type="dxa" w:w="60"/>
              <w:left w:type="dxa" w:w="120"/>
              <w:bottom w:type="dxa" w:w="60"/>
              <w:right w:type="dxa" w:w="120"/>
            </w:tcMar>
          </w:tcPr>
          <w:p>
            <w:pPr>
              <w:spacing w:line="276"/>
              <w:jc w:val="left"/>
            </w:pPr>
            <w:r>
              <w:rPr>
                <w:rFonts w:ascii="Times New Roman"/>
                <w:b w:val="false"/>
                <w:bCs w:val="false"/>
                <w:color w:val="000000"/>
                <w:sz w:val="18"/>
                <w:szCs w:val="18"/>
              </w:rPr>
              <w:t xml:space="preserve">Disable the pattern-shift and anomaly score overwrites (demote to dashboard diagnostics); cap stacked multipliers; remove the persistence penalty from high-prior numbers pending walk-forward proof; keep overdue/gap as display-only</w:t>
            </w:r>
          </w:p>
        </w:tc>
        <w:tc>
          <w:tcPr>
            <w:tcW w:type="pct" w:w="8%"/>
            <w:tcMar>
              <w:top w:type="dxa" w:w="60"/>
              <w:left w:type="dxa" w:w="120"/>
              <w:bottom w:type="dxa" w:w="60"/>
              <w:right w:type="dxa" w:w="120"/>
            </w:tcMar>
          </w:tcPr>
          <w:p>
            <w:pPr>
              <w:spacing w:line="276"/>
              <w:jc w:val="left"/>
            </w:pPr>
            <w:r>
              <w:rPr>
                <w:rFonts w:ascii="Times New Roman"/>
                <w:b w:val="false"/>
                <w:bCs w:val="false"/>
                <w:color w:val="000000"/>
                <w:sz w:val="18"/>
                <w:szCs w:val="18"/>
              </w:rPr>
              <w:t xml:space="preserve">Sec. 13</w:t>
            </w:r>
          </w:p>
        </w:tc>
        <w:tc>
          <w:tcPr>
            <w:tcW w:type="pct" w:w="30%"/>
            <w:tcMar>
              <w:top w:type="dxa" w:w="60"/>
              <w:left w:type="dxa" w:w="120"/>
              <w:bottom w:type="dxa" w:w="60"/>
              <w:right w:type="dxa" w:w="120"/>
            </w:tcMar>
          </w:tcPr>
          <w:p>
            <w:pPr>
              <w:spacing w:line="276"/>
              <w:jc w:val="left"/>
            </w:pPr>
            <w:r>
              <w:rPr>
                <w:rFonts w:ascii="Times New Roman"/>
                <w:b w:val="false"/>
                <w:bCs w:val="false"/>
                <w:color w:val="000000"/>
                <w:sz w:val="18"/>
                <w:szCs w:val="18"/>
              </w:rPr>
              <w:t xml:space="preserve">Eliminates the two most harmful displacement paths measured in Sec. 5</w:t>
            </w:r>
          </w:p>
        </w:tc>
      </w:tr>
      <w:tr>
        <w:trPr>
          <w:cantSplit/>
        </w:trPr>
        <w:tc>
          <w:tcPr>
            <w:tcW w:type="pct" w:w="5%"/>
            <w:shd w:fill="EDF3F5" w:val="clear"/>
            <w:tcMar>
              <w:top w:type="dxa" w:w="60"/>
              <w:left w:type="dxa" w:w="120"/>
              <w:bottom w:type="dxa" w:w="60"/>
              <w:right w:type="dxa" w:w="120"/>
            </w:tcMar>
          </w:tcPr>
          <w:p>
            <w:pPr>
              <w:spacing w:line="276"/>
              <w:jc w:val="left"/>
            </w:pPr>
            <w:r>
              <w:rPr>
                <w:rFonts w:ascii="Times New Roman"/>
                <w:b w:val="false"/>
                <w:bCs w:val="false"/>
                <w:color w:val="000000"/>
                <w:sz w:val="18"/>
                <w:szCs w:val="18"/>
              </w:rPr>
              <w:t xml:space="preserve">C6</w:t>
            </w:r>
          </w:p>
        </w:tc>
        <w:tc>
          <w:tcPr>
            <w:tcW w:type="pct" w:w="17%"/>
            <w:shd w:fill="EDF3F5" w:val="clear"/>
            <w:tcMar>
              <w:top w:type="dxa" w:w="60"/>
              <w:left w:type="dxa" w:w="120"/>
              <w:bottom w:type="dxa" w:w="60"/>
              <w:right w:type="dxa" w:w="120"/>
            </w:tcMar>
          </w:tcPr>
          <w:p>
            <w:pPr>
              <w:spacing w:line="276"/>
              <w:jc w:val="left"/>
            </w:pPr>
            <w:r>
              <w:rPr>
                <w:rFonts w:ascii="Times New Roman"/>
                <w:b w:val="false"/>
                <w:bCs w:val="false"/>
                <w:color w:val="000000"/>
                <w:sz w:val="18"/>
                <w:szCs w:val="18"/>
              </w:rPr>
              <w:t xml:space="preserve">RCA extension</w:t>
            </w:r>
          </w:p>
        </w:tc>
        <w:tc>
          <w:tcPr>
            <w:tcW w:type="pct" w:w="40%"/>
            <w:shd w:fill="EDF3F5" w:val="clear"/>
            <w:tcMar>
              <w:top w:type="dxa" w:w="60"/>
              <w:left w:type="dxa" w:w="120"/>
              <w:bottom w:type="dxa" w:w="60"/>
              <w:right w:type="dxa" w:w="120"/>
            </w:tcMar>
          </w:tcPr>
          <w:p>
            <w:pPr>
              <w:spacing w:line="276"/>
              <w:jc w:val="left"/>
            </w:pPr>
            <w:r>
              <w:rPr>
                <w:rFonts w:ascii="Times New Roman"/>
                <w:b w:val="false"/>
                <w:bCs w:val="false"/>
                <w:color w:val="000000"/>
                <w:sz w:val="18"/>
                <w:szCs w:val="18"/>
              </w:rPr>
              <w:t xml:space="preserve">Per miss, persist all 8 probabilities, optimizer utilities, displacer identity, avoidable flag (exists a combo containing the actual with utility within epsilon), and a displacement signature; alert only at 5+ repeats of one signature</w:t>
            </w:r>
          </w:p>
        </w:tc>
        <w:tc>
          <w:tcPr>
            <w:tcW w:type="pct" w:w="8%"/>
            <w:shd w:fill="EDF3F5" w:val="clear"/>
            <w:tcMar>
              <w:top w:type="dxa" w:w="60"/>
              <w:left w:type="dxa" w:w="120"/>
              <w:bottom w:type="dxa" w:w="60"/>
              <w:right w:type="dxa" w:w="120"/>
            </w:tcMar>
          </w:tcPr>
          <w:p>
            <w:pPr>
              <w:spacing w:line="276"/>
              <w:jc w:val="left"/>
            </w:pPr>
            <w:r>
              <w:rPr>
                <w:rFonts w:ascii="Times New Roman"/>
                <w:b w:val="false"/>
                <w:bCs w:val="false"/>
                <w:color w:val="000000"/>
                <w:sz w:val="18"/>
                <w:szCs w:val="18"/>
              </w:rPr>
              <w:t xml:space="preserve">Sec. 8</w:t>
            </w:r>
          </w:p>
        </w:tc>
        <w:tc>
          <w:tcPr>
            <w:tcW w:type="pct" w:w="30%"/>
            <w:shd w:fill="EDF3F5" w:val="clear"/>
            <w:tcMar>
              <w:top w:type="dxa" w:w="60"/>
              <w:left w:type="dxa" w:w="120"/>
              <w:bottom w:type="dxa" w:w="60"/>
              <w:right w:type="dxa" w:w="120"/>
            </w:tcMar>
          </w:tcPr>
          <w:p>
            <w:pPr>
              <w:spacing w:line="276"/>
              <w:jc w:val="left"/>
            </w:pPr>
            <w:r>
              <w:rPr>
                <w:rFonts w:ascii="Times New Roman"/>
                <w:b w:val="false"/>
                <w:bCs w:val="false"/>
                <w:color w:val="000000"/>
                <w:sz w:val="18"/>
                <w:szCs w:val="18"/>
              </w:rPr>
              <w:t xml:space="preserve">Makes every future miss attributable without one-miss overreactions</w:t>
            </w:r>
          </w:p>
        </w:tc>
      </w:tr>
      <w:tr>
        <w:trPr>
          <w:cantSplit/>
        </w:trPr>
        <w:tc>
          <w:tcPr>
            <w:tcW w:type="pct" w:w="5%"/>
            <w:tcMar>
              <w:top w:type="dxa" w:w="60"/>
              <w:left w:type="dxa" w:w="120"/>
              <w:bottom w:type="dxa" w:w="60"/>
              <w:right w:type="dxa" w:w="120"/>
            </w:tcMar>
          </w:tcPr>
          <w:p>
            <w:pPr>
              <w:spacing w:line="276"/>
              <w:jc w:val="left"/>
            </w:pPr>
            <w:r>
              <w:rPr>
                <w:rFonts w:ascii="Times New Roman"/>
                <w:b w:val="false"/>
                <w:bCs w:val="false"/>
                <w:color w:val="000000"/>
                <w:sz w:val="18"/>
                <w:szCs w:val="18"/>
              </w:rPr>
              <w:t xml:space="preserve">C7</w:t>
            </w:r>
          </w:p>
        </w:tc>
        <w:tc>
          <w:tcPr>
            <w:tcW w:type="pct" w:w="17%"/>
            <w:tcMar>
              <w:top w:type="dxa" w:w="60"/>
              <w:left w:type="dxa" w:w="120"/>
              <w:bottom w:type="dxa" w:w="60"/>
              <w:right w:type="dxa" w:w="120"/>
            </w:tcMar>
          </w:tcPr>
          <w:p>
            <w:pPr>
              <w:spacing w:line="276"/>
              <w:jc w:val="left"/>
            </w:pPr>
            <w:r>
              <w:rPr>
                <w:rFonts w:ascii="Times New Roman"/>
                <w:b w:val="false"/>
                <w:bCs w:val="false"/>
                <w:color w:val="000000"/>
                <w:sz w:val="18"/>
                <w:szCs w:val="18"/>
              </w:rPr>
              <w:t xml:space="preserve">Frozen walk-forward validation harness</w:t>
            </w:r>
          </w:p>
        </w:tc>
        <w:tc>
          <w:tcPr>
            <w:tcW w:type="pct" w:w="40%"/>
            <w:tcMar>
              <w:top w:type="dxa" w:w="60"/>
              <w:left w:type="dxa" w:w="120"/>
              <w:bottom w:type="dxa" w:w="60"/>
              <w:right w:type="dxa" w:w="120"/>
            </w:tcMar>
          </w:tcPr>
          <w:p>
            <w:pPr>
              <w:spacing w:line="276"/>
              <w:jc w:val="left"/>
            </w:pPr>
            <w:r>
              <w:rPr>
                <w:rFonts w:ascii="Times New Roman"/>
                <w:b w:val="false"/>
                <w:bCs w:val="false"/>
                <w:color w:val="000000"/>
                <w:sz w:val="18"/>
                <w:szCs w:val="18"/>
              </w:rPr>
              <w:t xml:space="preserve">Freeze all of the above; run the live Shadow A/B flag for 100 to 200 genuinely new rounds; report benchmarks A/B/C/D per round with the validation record fields specified by the program</w:t>
            </w:r>
          </w:p>
        </w:tc>
        <w:tc>
          <w:tcPr>
            <w:tcW w:type="pct" w:w="8%"/>
            <w:tcMar>
              <w:top w:type="dxa" w:w="60"/>
              <w:left w:type="dxa" w:w="120"/>
              <w:bottom w:type="dxa" w:w="60"/>
              <w:right w:type="dxa" w:w="120"/>
            </w:tcMar>
          </w:tcPr>
          <w:p>
            <w:pPr>
              <w:spacing w:line="276"/>
              <w:jc w:val="left"/>
            </w:pPr>
            <w:r>
              <w:rPr>
                <w:rFonts w:ascii="Times New Roman"/>
                <w:b w:val="false"/>
                <w:bCs w:val="false"/>
                <w:color w:val="000000"/>
                <w:sz w:val="18"/>
                <w:szCs w:val="18"/>
              </w:rPr>
              <w:t xml:space="preserve">Sec. 9, 10, 11</w:t>
            </w:r>
          </w:p>
        </w:tc>
        <w:tc>
          <w:tcPr>
            <w:tcW w:type="pct" w:w="30%"/>
            <w:tcMar>
              <w:top w:type="dxa" w:w="60"/>
              <w:left w:type="dxa" w:w="120"/>
              <w:bottom w:type="dxa" w:w="60"/>
              <w:right w:type="dxa" w:w="120"/>
            </w:tcMar>
          </w:tcPr>
          <w:p>
            <w:pPr>
              <w:spacing w:line="276"/>
              <w:jc w:val="left"/>
            </w:pPr>
            <w:r>
              <w:rPr>
                <w:rFonts w:ascii="Times New Roman"/>
                <w:b w:val="false"/>
                <w:bCs w:val="false"/>
                <w:color w:val="000000"/>
                <w:sz w:val="18"/>
                <w:szCs w:val="18"/>
              </w:rPr>
              <w:t xml:space="preserve">Produces admissible evidence; nothing promotes without it</w:t>
            </w:r>
          </w:p>
        </w:tc>
      </w:tr>
    </w:tbl>
    <w:p>
      <w:pPr>
        <w:pStyle w:val="Heading1"/>
        <w:spacing w:after="160" w:before="360" w:line="312"/>
      </w:pPr>
      <w:bookmarkStart w:id="100017" w:name="_Toc100017"/>
      <w:r>
        <w:rPr>
          <w:rFonts w:ascii="Times New Roman" w:eastAsia="SimHei"/>
          <w:b/>
          <w:bCs/>
          <w:color w:val="162235"/>
          <w:sz w:val="32"/>
          <w:szCs w:val="32"/>
        </w:rPr>
        <w:t xml:space="preserve">8. Risk Register</w:t>
      </w:r>
      <w:bookmarkEnd w:id="100017"/>
    </w:p>
    <w:p>
      <w:pPr>
        <w:spacing w:after="120" w:line="312"/>
        <w:jc w:val="both"/>
      </w:pPr>
      <w:r>
        <w:rPr>
          <w:rFonts w:ascii="Times New Roman"/>
          <w:color w:val="000000"/>
          <w:sz w:val="24"/>
          <w:szCs w:val="24"/>
        </w:rPr>
        <w:t xml:space="preserve">Each change carries identifiable risk; the register below states likelihood, impact and mitigation, with rollback always available through the feature flag. The dominant systemic risk is over-shrinkage: a heavily shrunk channel converges toward prior-dominant behavior and will rarely capture bonus rounds, capping upside near the theoretical band. That outcome is acceptable and explicitly preferred to the current 19.66-point deficit, and it is not a fixed composition in the prohibited sense because the policy still deviates whenever calibrated evidence genuinely supports it.</w:t>
      </w:r>
    </w:p>
    <w:p>
      <w:pPr>
        <w:keepNext/>
        <w:spacing w:after="80" w:before="160" w:line="312"/>
        <w:jc w:val="left"/>
      </w:pPr>
      <w:r>
        <w:rPr>
          <w:rFonts w:ascii="Times New Roman"/>
          <w:b/>
          <w:bCs/>
          <w:color w:val="505A66"/>
          <w:sz w:val="21"/>
          <w:szCs w:val="21"/>
        </w:rPr>
        <w:t xml:space="preserve">Table 8: Per-change risk assessment</w:t>
      </w:r>
    </w:p>
    <w:tbl>
      <w:tblPr>
        <w:tblW w:type="pct" w:w="100%"/>
        <w:tblBorders>
          <w:top w:val="single" w:color="1B6B7A" w:sz="4"/>
          <w:left w:val="none"/>
          <w:bottom w:val="single" w:color="1B6B7A" w:sz="4"/>
          <w:right w:val="none"/>
          <w:insideH w:val="single" w:color="C8DDE2" w:sz="1"/>
          <w:insideV w:val="none"/>
        </w:tblBorders>
      </w:tblPr>
      <w:tblGrid>
        <w:gridCol w:w="100"/>
        <w:gridCol w:w="100"/>
        <w:gridCol w:w="100"/>
        <w:gridCol w:w="100"/>
        <w:gridCol w:w="100"/>
      </w:tblGrid>
      <w:tr>
        <w:trPr>
          <w:cantSplit/>
          <w:tblHeader/>
        </w:trPr>
        <w:tc>
          <w:tcPr>
            <w:tcW w:type="pct" w:w="16%"/>
            <w:shd w:fill="1B6B7A" w:val="clear"/>
            <w:tcMar>
              <w:top w:type="dxa" w:w="60"/>
              <w:left w:type="dxa" w:w="120"/>
              <w:bottom w:type="dxa" w:w="60"/>
              <w:right w:type="dxa" w:w="120"/>
            </w:tcMar>
          </w:tcPr>
          <w:p>
            <w:pPr>
              <w:spacing w:line="276"/>
              <w:jc w:val="left"/>
            </w:pPr>
            <w:r>
              <w:rPr>
                <w:rFonts w:ascii="Times New Roman"/>
                <w:b/>
                <w:bCs/>
                <w:color w:val="FFFFFF"/>
                <w:sz w:val="18"/>
                <w:szCs w:val="18"/>
              </w:rPr>
              <w:t xml:space="preserve">Change</w:t>
            </w:r>
          </w:p>
        </w:tc>
        <w:tc>
          <w:tcPr>
            <w:tcW w:type="pct" w:w="30%"/>
            <w:shd w:fill="1B6B7A" w:val="clear"/>
            <w:tcMar>
              <w:top w:type="dxa" w:w="60"/>
              <w:left w:type="dxa" w:w="120"/>
              <w:bottom w:type="dxa" w:w="60"/>
              <w:right w:type="dxa" w:w="120"/>
            </w:tcMar>
          </w:tcPr>
          <w:p>
            <w:pPr>
              <w:spacing w:line="276"/>
              <w:jc w:val="left"/>
            </w:pPr>
            <w:r>
              <w:rPr>
                <w:rFonts w:ascii="Times New Roman"/>
                <w:b/>
                <w:bCs/>
                <w:color w:val="FFFFFF"/>
                <w:sz w:val="18"/>
                <w:szCs w:val="18"/>
              </w:rPr>
              <w:t xml:space="preserve">Risk</w:t>
            </w:r>
          </w:p>
        </w:tc>
        <w:tc>
          <w:tcPr>
            <w:tcW w:type="pct" w:w="12%"/>
            <w:shd w:fill="1B6B7A" w:val="clear"/>
            <w:tcMar>
              <w:top w:type="dxa" w:w="60"/>
              <w:left w:type="dxa" w:w="120"/>
              <w:bottom w:type="dxa" w:w="60"/>
              <w:right w:type="dxa" w:w="120"/>
            </w:tcMar>
          </w:tcPr>
          <w:p>
            <w:pPr>
              <w:spacing w:line="276"/>
              <w:jc w:val="left"/>
            </w:pPr>
            <w:r>
              <w:rPr>
                <w:rFonts w:ascii="Times New Roman"/>
                <w:b/>
                <w:bCs/>
                <w:color w:val="FFFFFF"/>
                <w:sz w:val="18"/>
                <w:szCs w:val="18"/>
              </w:rPr>
              <w:t xml:space="preserve">Likelihood</w:t>
            </w:r>
          </w:p>
        </w:tc>
        <w:tc>
          <w:tcPr>
            <w:tcW w:type="pct" w:w="10%"/>
            <w:shd w:fill="1B6B7A" w:val="clear"/>
            <w:tcMar>
              <w:top w:type="dxa" w:w="60"/>
              <w:left w:type="dxa" w:w="120"/>
              <w:bottom w:type="dxa" w:w="60"/>
              <w:right w:type="dxa" w:w="120"/>
            </w:tcMar>
          </w:tcPr>
          <w:p>
            <w:pPr>
              <w:spacing w:line="276"/>
              <w:jc w:val="left"/>
            </w:pPr>
            <w:r>
              <w:rPr>
                <w:rFonts w:ascii="Times New Roman"/>
                <w:b/>
                <w:bCs/>
                <w:color w:val="FFFFFF"/>
                <w:sz w:val="18"/>
                <w:szCs w:val="18"/>
              </w:rPr>
              <w:t xml:space="preserve">Impact</w:t>
            </w:r>
          </w:p>
        </w:tc>
        <w:tc>
          <w:tcPr>
            <w:tcW w:type="pct" w:w="32%"/>
            <w:shd w:fill="1B6B7A" w:val="clear"/>
            <w:tcMar>
              <w:top w:type="dxa" w:w="60"/>
              <w:left w:type="dxa" w:w="120"/>
              <w:bottom w:type="dxa" w:w="60"/>
              <w:right w:type="dxa" w:w="120"/>
            </w:tcMar>
          </w:tcPr>
          <w:p>
            <w:pPr>
              <w:spacing w:line="276"/>
              <w:jc w:val="left"/>
            </w:pPr>
            <w:r>
              <w:rPr>
                <w:rFonts w:ascii="Times New Roman"/>
                <w:b/>
                <w:bCs/>
                <w:color w:val="FFFFFF"/>
                <w:sz w:val="18"/>
                <w:szCs w:val="18"/>
              </w:rPr>
              <w:t xml:space="preserve">Mitigation and rollback</w:t>
            </w:r>
          </w:p>
        </w:tc>
      </w:tr>
      <w:tr>
        <w:trPr>
          <w:cantSplit/>
        </w:trPr>
        <w:tc>
          <w:tcPr>
            <w:tcW w:type="pct" w:w="16%"/>
            <w:tcMar>
              <w:top w:type="dxa" w:w="60"/>
              <w:left w:type="dxa" w:w="120"/>
              <w:bottom w:type="dxa" w:w="60"/>
              <w:right w:type="dxa" w:w="120"/>
            </w:tcMar>
          </w:tcPr>
          <w:p>
            <w:pPr>
              <w:spacing w:line="276"/>
              <w:jc w:val="left"/>
            </w:pPr>
            <w:r>
              <w:rPr>
                <w:rFonts w:ascii="Times New Roman"/>
                <w:b w:val="false"/>
                <w:bCs w:val="false"/>
                <w:color w:val="000000"/>
                <w:sz w:val="18"/>
                <w:szCs w:val="18"/>
              </w:rPr>
              <w:t xml:space="preserve">C1 probability channel</w:t>
            </w:r>
          </w:p>
        </w:tc>
        <w:tc>
          <w:tcPr>
            <w:tcW w:type="pct" w:w="30%"/>
            <w:tcMar>
              <w:top w:type="dxa" w:w="60"/>
              <w:left w:type="dxa" w:w="120"/>
              <w:bottom w:type="dxa" w:w="60"/>
              <w:right w:type="dxa" w:w="120"/>
            </w:tcMar>
          </w:tcPr>
          <w:p>
            <w:pPr>
              <w:spacing w:line="276"/>
              <w:jc w:val="left"/>
            </w:pPr>
            <w:r>
              <w:rPr>
                <w:rFonts w:ascii="Times New Roman"/>
                <w:b w:val="false"/>
                <w:bCs w:val="false"/>
                <w:color w:val="000000"/>
                <w:sz w:val="18"/>
                <w:szCs w:val="18"/>
              </w:rPr>
              <w:t xml:space="preserve">Subtle coding divergence from intended posterior; window choices still arbitrary</w:t>
            </w:r>
          </w:p>
        </w:tc>
        <w:tc>
          <w:tcPr>
            <w:tcW w:type="pct" w:w="12%"/>
            <w:tcMar>
              <w:top w:type="dxa" w:w="60"/>
              <w:left w:type="dxa" w:w="120"/>
              <w:bottom w:type="dxa" w:w="60"/>
              <w:right w:type="dxa" w:w="120"/>
            </w:tcMar>
          </w:tcPr>
          <w:p>
            <w:pPr>
              <w:spacing w:line="276"/>
              <w:jc w:val="left"/>
            </w:pPr>
            <w:r>
              <w:rPr>
                <w:rFonts w:ascii="Times New Roman"/>
                <w:b w:val="false"/>
                <w:bCs w:val="false"/>
                <w:color w:val="000000"/>
                <w:sz w:val="18"/>
                <w:szCs w:val="18"/>
              </w:rPr>
              <w:t xml:space="preserve">Medium</w:t>
            </w:r>
          </w:p>
        </w:tc>
        <w:tc>
          <w:tcPr>
            <w:tcW w:type="pct" w:w="10%"/>
            <w:tcMar>
              <w:top w:type="dxa" w:w="60"/>
              <w:left w:type="dxa" w:w="120"/>
              <w:bottom w:type="dxa" w:w="60"/>
              <w:right w:type="dxa" w:w="120"/>
            </w:tcMar>
          </w:tcPr>
          <w:p>
            <w:pPr>
              <w:spacing w:line="276"/>
              <w:jc w:val="left"/>
            </w:pPr>
            <w:r>
              <w:rPr>
                <w:rFonts w:ascii="Times New Roman"/>
                <w:b w:val="false"/>
                <w:bCs w:val="false"/>
                <w:color w:val="000000"/>
                <w:sz w:val="18"/>
                <w:szCs w:val="18"/>
              </w:rPr>
              <w:t xml:space="preserve">High</w:t>
            </w:r>
          </w:p>
        </w:tc>
        <w:tc>
          <w:tcPr>
            <w:tcW w:type="pct" w:w="32%"/>
            <w:tcMar>
              <w:top w:type="dxa" w:w="60"/>
              <w:left w:type="dxa" w:w="120"/>
              <w:bottom w:type="dxa" w:w="60"/>
              <w:right w:type="dxa" w:w="120"/>
            </w:tcMar>
          </w:tcPr>
          <w:p>
            <w:pPr>
              <w:spacing w:line="276"/>
              <w:jc w:val="left"/>
            </w:pPr>
            <w:r>
              <w:rPr>
                <w:rFonts w:ascii="Times New Roman"/>
                <w:b w:val="false"/>
                <w:bCs w:val="false"/>
                <w:color w:val="000000"/>
                <w:sz w:val="18"/>
                <w:szCs w:val="18"/>
              </w:rPr>
              <w:t xml:space="preserve">Unit tests against closed-form Dirichlet updates; freeze constants in config; shadow A/B against frozen baseline before promotion</w:t>
            </w:r>
          </w:p>
        </w:tc>
      </w:tr>
      <w:tr>
        <w:trPr>
          <w:cantSplit/>
        </w:trPr>
        <w:tc>
          <w:tcPr>
            <w:tcW w:type="pct" w:w="16%"/>
            <w:shd w:fill="EDF3F5" w:val="clear"/>
            <w:tcMar>
              <w:top w:type="dxa" w:w="60"/>
              <w:left w:type="dxa" w:w="120"/>
              <w:bottom w:type="dxa" w:w="60"/>
              <w:right w:type="dxa" w:w="120"/>
            </w:tcMar>
          </w:tcPr>
          <w:p>
            <w:pPr>
              <w:spacing w:line="276"/>
              <w:jc w:val="left"/>
            </w:pPr>
            <w:r>
              <w:rPr>
                <w:rFonts w:ascii="Times New Roman"/>
                <w:b w:val="false"/>
                <w:bCs w:val="false"/>
                <w:color w:val="000000"/>
                <w:sz w:val="18"/>
                <w:szCs w:val="18"/>
              </w:rPr>
              <w:t xml:space="preserve">C2 reliability layer</w:t>
            </w:r>
          </w:p>
        </w:tc>
        <w:tc>
          <w:tcPr>
            <w:tcW w:type="pct" w:w="30%"/>
            <w:shd w:fill="EDF3F5" w:val="clear"/>
            <w:tcMar>
              <w:top w:type="dxa" w:w="60"/>
              <w:left w:type="dxa" w:w="120"/>
              <w:bottom w:type="dxa" w:w="60"/>
              <w:right w:type="dxa" w:w="120"/>
            </w:tcMar>
          </w:tcPr>
          <w:p>
            <w:pPr>
              <w:spacing w:line="276"/>
              <w:jc w:val="left"/>
            </w:pPr>
            <w:r>
              <w:rPr>
                <w:rFonts w:ascii="Times New Roman"/>
                <w:b w:val="false"/>
                <w:bCs w:val="false"/>
                <w:color w:val="000000"/>
                <w:sz w:val="18"/>
                <w:szCs w:val="18"/>
              </w:rPr>
              <w:t xml:space="preserve">Damping too strong, rare outcomes never enter even with real evidence</w:t>
            </w:r>
          </w:p>
        </w:tc>
        <w:tc>
          <w:tcPr>
            <w:tcW w:type="pct" w:w="12%"/>
            <w:shd w:fill="EDF3F5" w:val="clear"/>
            <w:tcMar>
              <w:top w:type="dxa" w:w="60"/>
              <w:left w:type="dxa" w:w="120"/>
              <w:bottom w:type="dxa" w:w="60"/>
              <w:right w:type="dxa" w:w="120"/>
            </w:tcMar>
          </w:tcPr>
          <w:p>
            <w:pPr>
              <w:spacing w:line="276"/>
              <w:jc w:val="left"/>
            </w:pPr>
            <w:r>
              <w:rPr>
                <w:rFonts w:ascii="Times New Roman"/>
                <w:b w:val="false"/>
                <w:bCs w:val="false"/>
                <w:color w:val="000000"/>
                <w:sz w:val="18"/>
                <w:szCs w:val="18"/>
              </w:rPr>
              <w:t xml:space="preserve">Medium</w:t>
            </w:r>
          </w:p>
        </w:tc>
        <w:tc>
          <w:tcPr>
            <w:tcW w:type="pct" w:w="10%"/>
            <w:shd w:fill="EDF3F5" w:val="clear"/>
            <w:tcMar>
              <w:top w:type="dxa" w:w="60"/>
              <w:left w:type="dxa" w:w="120"/>
              <w:bottom w:type="dxa" w:w="60"/>
              <w:right w:type="dxa" w:w="120"/>
            </w:tcMar>
          </w:tcPr>
          <w:p>
            <w:pPr>
              <w:spacing w:line="276"/>
              <w:jc w:val="left"/>
            </w:pPr>
            <w:r>
              <w:rPr>
                <w:rFonts w:ascii="Times New Roman"/>
                <w:b w:val="false"/>
                <w:bCs w:val="false"/>
                <w:color w:val="000000"/>
                <w:sz w:val="18"/>
                <w:szCs w:val="18"/>
              </w:rPr>
              <w:t xml:space="preserve">Medium</w:t>
            </w:r>
          </w:p>
        </w:tc>
        <w:tc>
          <w:tcPr>
            <w:tcW w:type="pct" w:w="32%"/>
            <w:shd w:fill="EDF3F5" w:val="clear"/>
            <w:tcMar>
              <w:top w:type="dxa" w:w="60"/>
              <w:left w:type="dxa" w:w="120"/>
              <w:bottom w:type="dxa" w:w="60"/>
              <w:right w:type="dxa" w:w="120"/>
            </w:tcMar>
          </w:tcPr>
          <w:p>
            <w:pPr>
              <w:spacing w:line="276"/>
              <w:jc w:val="left"/>
            </w:pPr>
            <w:r>
              <w:rPr>
                <w:rFonts w:ascii="Times New Roman"/>
                <w:b w:val="false"/>
                <w:bCs w:val="false"/>
                <w:color w:val="000000"/>
                <w:sz w:val="18"/>
                <w:szCs w:val="18"/>
              </w:rPr>
              <w:t xml:space="preserve">Single K for all outcomes; sensitivity sweep during shadow only; continuous form keeps large-evidence entry open</w:t>
            </w:r>
          </w:p>
        </w:tc>
      </w:tr>
      <w:tr>
        <w:trPr>
          <w:cantSplit/>
        </w:trPr>
        <w:tc>
          <w:tcPr>
            <w:tcW w:type="pct" w:w="16%"/>
            <w:tcMar>
              <w:top w:type="dxa" w:w="60"/>
              <w:left w:type="dxa" w:w="120"/>
              <w:bottom w:type="dxa" w:w="60"/>
              <w:right w:type="dxa" w:w="120"/>
            </w:tcMar>
          </w:tcPr>
          <w:p>
            <w:pPr>
              <w:spacing w:line="276"/>
              <w:jc w:val="left"/>
            </w:pPr>
            <w:r>
              <w:rPr>
                <w:rFonts w:ascii="Times New Roman"/>
                <w:b w:val="false"/>
                <w:bCs w:val="false"/>
                <w:color w:val="000000"/>
                <w:sz w:val="18"/>
                <w:szCs w:val="18"/>
              </w:rPr>
              <w:t xml:space="preserve">C3 shrinkage</w:t>
            </w:r>
          </w:p>
        </w:tc>
        <w:tc>
          <w:tcPr>
            <w:tcW w:type="pct" w:w="30%"/>
            <w:tcMar>
              <w:top w:type="dxa" w:w="60"/>
              <w:left w:type="dxa" w:w="120"/>
              <w:bottom w:type="dxa" w:w="60"/>
              <w:right w:type="dxa" w:w="120"/>
            </w:tcMar>
          </w:tcPr>
          <w:p>
            <w:pPr>
              <w:spacing w:line="276"/>
              <w:jc w:val="left"/>
            </w:pPr>
            <w:r>
              <w:rPr>
                <w:rFonts w:ascii="Times New Roman"/>
                <w:b w:val="false"/>
                <w:bCs w:val="false"/>
                <w:color w:val="000000"/>
                <w:sz w:val="18"/>
                <w:szCs w:val="18"/>
              </w:rPr>
              <w:t xml:space="preserve">Confidence now posterior-based, displayed numbers shift and look worse short-term</w:t>
            </w:r>
          </w:p>
        </w:tc>
        <w:tc>
          <w:tcPr>
            <w:tcW w:type="pct" w:w="12%"/>
            <w:tcMar>
              <w:top w:type="dxa" w:w="60"/>
              <w:left w:type="dxa" w:w="120"/>
              <w:bottom w:type="dxa" w:w="60"/>
              <w:right w:type="dxa" w:w="120"/>
            </w:tcMar>
          </w:tcPr>
          <w:p>
            <w:pPr>
              <w:spacing w:line="276"/>
              <w:jc w:val="left"/>
            </w:pPr>
            <w:r>
              <w:rPr>
                <w:rFonts w:ascii="Times New Roman"/>
                <w:b w:val="false"/>
                <w:bCs w:val="false"/>
                <w:color w:val="000000"/>
                <w:sz w:val="18"/>
                <w:szCs w:val="18"/>
              </w:rPr>
              <w:t xml:space="preserve">High</w:t>
            </w:r>
          </w:p>
        </w:tc>
        <w:tc>
          <w:tcPr>
            <w:tcW w:type="pct" w:w="10%"/>
            <w:tcMar>
              <w:top w:type="dxa" w:w="60"/>
              <w:left w:type="dxa" w:w="120"/>
              <w:bottom w:type="dxa" w:w="60"/>
              <w:right w:type="dxa" w:w="120"/>
            </w:tcMar>
          </w:tcPr>
          <w:p>
            <w:pPr>
              <w:spacing w:line="276"/>
              <w:jc w:val="left"/>
            </w:pPr>
            <w:r>
              <w:rPr>
                <w:rFonts w:ascii="Times New Roman"/>
                <w:b w:val="false"/>
                <w:bCs w:val="false"/>
                <w:color w:val="000000"/>
                <w:sz w:val="18"/>
                <w:szCs w:val="18"/>
              </w:rPr>
              <w:t xml:space="preserve">Low</w:t>
            </w:r>
          </w:p>
        </w:tc>
        <w:tc>
          <w:tcPr>
            <w:tcW w:type="pct" w:w="32%"/>
            <w:tcMar>
              <w:top w:type="dxa" w:w="60"/>
              <w:left w:type="dxa" w:w="120"/>
              <w:bottom w:type="dxa" w:w="60"/>
              <w:right w:type="dxa" w:w="120"/>
            </w:tcMar>
          </w:tcPr>
          <w:p>
            <w:pPr>
              <w:spacing w:line="276"/>
              <w:jc w:val="left"/>
            </w:pPr>
            <w:r>
              <w:rPr>
                <w:rFonts w:ascii="Times New Roman"/>
                <w:b w:val="false"/>
                <w:bCs w:val="false"/>
                <w:color w:val="000000"/>
                <w:sz w:val="18"/>
                <w:szCs w:val="18"/>
              </w:rPr>
              <w:t xml:space="preserve">Document semantics change; calibration table (Sec. 5.5 style) published each validation batch</w:t>
            </w:r>
          </w:p>
        </w:tc>
      </w:tr>
      <w:tr>
        <w:trPr>
          <w:cantSplit/>
        </w:trPr>
        <w:tc>
          <w:tcPr>
            <w:tcW w:type="pct" w:w="16%"/>
            <w:shd w:fill="EDF3F5" w:val="clear"/>
            <w:tcMar>
              <w:top w:type="dxa" w:w="60"/>
              <w:left w:type="dxa" w:w="120"/>
              <w:bottom w:type="dxa" w:w="60"/>
              <w:right w:type="dxa" w:w="120"/>
            </w:tcMar>
          </w:tcPr>
          <w:p>
            <w:pPr>
              <w:spacing w:line="276"/>
              <w:jc w:val="left"/>
            </w:pPr>
            <w:r>
              <w:rPr>
                <w:rFonts w:ascii="Times New Roman"/>
                <w:b w:val="false"/>
                <w:bCs w:val="false"/>
                <w:color w:val="000000"/>
                <w:sz w:val="18"/>
                <w:szCs w:val="18"/>
              </w:rPr>
              <w:t xml:space="preserve">C4 optimizer penalty</w:t>
            </w:r>
          </w:p>
        </w:tc>
        <w:tc>
          <w:tcPr>
            <w:tcW w:type="pct" w:w="30%"/>
            <w:shd w:fill="EDF3F5" w:val="clear"/>
            <w:tcMar>
              <w:top w:type="dxa" w:w="60"/>
              <w:left w:type="dxa" w:w="120"/>
              <w:bottom w:type="dxa" w:w="60"/>
              <w:right w:type="dxa" w:w="120"/>
            </w:tcMar>
          </w:tcPr>
          <w:p>
            <w:pPr>
              <w:spacing w:line="276"/>
              <w:jc w:val="left"/>
            </w:pPr>
            <w:r>
              <w:rPr>
                <w:rFonts w:ascii="Times New Roman"/>
                <w:b w:val="false"/>
                <w:bCs w:val="false"/>
                <w:color w:val="000000"/>
                <w:sz w:val="18"/>
                <w:szCs w:val="18"/>
              </w:rPr>
              <w:t xml:space="preserve">Lambda mis-set distorts selection; 70-combo loop is then no longer equivalent to top-4</w:t>
            </w:r>
          </w:p>
        </w:tc>
        <w:tc>
          <w:tcPr>
            <w:tcW w:type="pct" w:w="12%"/>
            <w:shd w:fill="EDF3F5" w:val="clear"/>
            <w:tcMar>
              <w:top w:type="dxa" w:w="60"/>
              <w:left w:type="dxa" w:w="120"/>
              <w:bottom w:type="dxa" w:w="60"/>
              <w:right w:type="dxa" w:w="120"/>
            </w:tcMar>
          </w:tcPr>
          <w:p>
            <w:pPr>
              <w:spacing w:line="276"/>
              <w:jc w:val="left"/>
            </w:pPr>
            <w:r>
              <w:rPr>
                <w:rFonts w:ascii="Times New Roman"/>
                <w:b w:val="false"/>
                <w:bCs w:val="false"/>
                <w:color w:val="000000"/>
                <w:sz w:val="18"/>
                <w:szCs w:val="18"/>
              </w:rPr>
              <w:t xml:space="preserve">Low</w:t>
            </w:r>
          </w:p>
        </w:tc>
        <w:tc>
          <w:tcPr>
            <w:tcW w:type="pct" w:w="10%"/>
            <w:shd w:fill="EDF3F5" w:val="clear"/>
            <w:tcMar>
              <w:top w:type="dxa" w:w="60"/>
              <w:left w:type="dxa" w:w="120"/>
              <w:bottom w:type="dxa" w:w="60"/>
              <w:right w:type="dxa" w:w="120"/>
            </w:tcMar>
          </w:tcPr>
          <w:p>
            <w:pPr>
              <w:spacing w:line="276"/>
              <w:jc w:val="left"/>
            </w:pPr>
            <w:r>
              <w:rPr>
                <w:rFonts w:ascii="Times New Roman"/>
                <w:b w:val="false"/>
                <w:bCs w:val="false"/>
                <w:color w:val="000000"/>
                <w:sz w:val="18"/>
                <w:szCs w:val="18"/>
              </w:rPr>
              <w:t xml:space="preserve">Medium</w:t>
            </w:r>
          </w:p>
        </w:tc>
        <w:tc>
          <w:tcPr>
            <w:tcW w:type="pct" w:w="32%"/>
            <w:shd w:fill="EDF3F5" w:val="clear"/>
            <w:tcMar>
              <w:top w:type="dxa" w:w="60"/>
              <w:left w:type="dxa" w:w="120"/>
              <w:bottom w:type="dxa" w:w="60"/>
              <w:right w:type="dxa" w:w="120"/>
            </w:tcMar>
          </w:tcPr>
          <w:p>
            <w:pPr>
              <w:spacing w:line="276"/>
              <w:jc w:val="left"/>
            </w:pPr>
            <w:r>
              <w:rPr>
                <w:rFonts w:ascii="Times New Roman"/>
                <w:b w:val="false"/>
                <w:bCs w:val="false"/>
                <w:color w:val="000000"/>
                <w:sz w:val="18"/>
                <w:szCs w:val="18"/>
              </w:rPr>
              <w:t xml:space="preserve">Fix lambda a priori at a small value; log all 70 utilities so any distortion is visible and reversible</w:t>
            </w:r>
          </w:p>
        </w:tc>
      </w:tr>
      <w:tr>
        <w:trPr>
          <w:cantSplit/>
        </w:trPr>
        <w:tc>
          <w:tcPr>
            <w:tcW w:type="pct" w:w="16%"/>
            <w:tcMar>
              <w:top w:type="dxa" w:w="60"/>
              <w:left w:type="dxa" w:w="120"/>
              <w:bottom w:type="dxa" w:w="60"/>
              <w:right w:type="dxa" w:w="120"/>
            </w:tcMar>
          </w:tcPr>
          <w:p>
            <w:pPr>
              <w:spacing w:line="276"/>
              <w:jc w:val="left"/>
            </w:pPr>
            <w:r>
              <w:rPr>
                <w:rFonts w:ascii="Times New Roman"/>
                <w:b w:val="false"/>
                <w:bCs w:val="false"/>
                <w:color w:val="000000"/>
                <w:sz w:val="18"/>
                <w:szCs w:val="18"/>
              </w:rPr>
              <w:t xml:space="preserve">C5 de-scoping</w:t>
            </w:r>
          </w:p>
        </w:tc>
        <w:tc>
          <w:tcPr>
            <w:tcW w:type="pct" w:w="30%"/>
            <w:tcMar>
              <w:top w:type="dxa" w:w="60"/>
              <w:left w:type="dxa" w:w="120"/>
              <w:bottom w:type="dxa" w:w="60"/>
              <w:right w:type="dxa" w:w="120"/>
            </w:tcMar>
          </w:tcPr>
          <w:p>
            <w:pPr>
              <w:spacing w:line="276"/>
              <w:jc w:val="left"/>
            </w:pPr>
            <w:r>
              <w:rPr>
                <w:rFonts w:ascii="Times New Roman"/>
                <w:b w:val="false"/>
                <w:bCs w:val="false"/>
                <w:color w:val="000000"/>
                <w:sz w:val="18"/>
                <w:szCs w:val="18"/>
              </w:rPr>
              <w:t xml:space="preserve">If the wheel feed ever carries real regime structure, overwrite removal forfeits it</w:t>
            </w:r>
          </w:p>
        </w:tc>
        <w:tc>
          <w:tcPr>
            <w:tcW w:type="pct" w:w="12%"/>
            <w:tcMar>
              <w:top w:type="dxa" w:w="60"/>
              <w:left w:type="dxa" w:w="120"/>
              <w:bottom w:type="dxa" w:w="60"/>
              <w:right w:type="dxa" w:w="120"/>
            </w:tcMar>
          </w:tcPr>
          <w:p>
            <w:pPr>
              <w:spacing w:line="276"/>
              <w:jc w:val="left"/>
            </w:pPr>
            <w:r>
              <w:rPr>
                <w:rFonts w:ascii="Times New Roman"/>
                <w:b w:val="false"/>
                <w:bCs w:val="false"/>
                <w:color w:val="000000"/>
                <w:sz w:val="18"/>
                <w:szCs w:val="18"/>
              </w:rPr>
              <w:t xml:space="preserve">Low (structure tests null at n=178)</w:t>
            </w:r>
          </w:p>
        </w:tc>
        <w:tc>
          <w:tcPr>
            <w:tcW w:type="pct" w:w="10%"/>
            <w:tcMar>
              <w:top w:type="dxa" w:w="60"/>
              <w:left w:type="dxa" w:w="120"/>
              <w:bottom w:type="dxa" w:w="60"/>
              <w:right w:type="dxa" w:w="120"/>
            </w:tcMar>
          </w:tcPr>
          <w:p>
            <w:pPr>
              <w:spacing w:line="276"/>
              <w:jc w:val="left"/>
            </w:pPr>
            <w:r>
              <w:rPr>
                <w:rFonts w:ascii="Times New Roman"/>
                <w:b w:val="false"/>
                <w:bCs w:val="false"/>
                <w:color w:val="000000"/>
                <w:sz w:val="18"/>
                <w:szCs w:val="18"/>
              </w:rPr>
              <w:t xml:space="preserve">Medium</w:t>
            </w:r>
          </w:p>
        </w:tc>
        <w:tc>
          <w:tcPr>
            <w:tcW w:type="pct" w:w="32%"/>
            <w:tcMar>
              <w:top w:type="dxa" w:w="60"/>
              <w:left w:type="dxa" w:w="120"/>
              <w:bottom w:type="dxa" w:w="60"/>
              <w:right w:type="dxa" w:w="120"/>
            </w:tcMar>
          </w:tcPr>
          <w:p>
            <w:pPr>
              <w:spacing w:line="276"/>
              <w:jc w:val="left"/>
            </w:pPr>
            <w:r>
              <w:rPr>
                <w:rFonts w:ascii="Times New Roman"/>
                <w:b w:val="false"/>
                <w:bCs w:val="false"/>
                <w:color w:val="000000"/>
                <w:sz w:val="18"/>
                <w:szCs w:val="18"/>
              </w:rPr>
              <w:t xml:space="preserve">Keep pattern-shift as a monitored diagnostic; re-enable as blend weight only with fresh walk-forward proof</w:t>
            </w:r>
          </w:p>
        </w:tc>
      </w:tr>
      <w:tr>
        <w:trPr>
          <w:cantSplit/>
        </w:trPr>
        <w:tc>
          <w:tcPr>
            <w:tcW w:type="pct" w:w="16%"/>
            <w:shd w:fill="EDF3F5" w:val="clear"/>
            <w:tcMar>
              <w:top w:type="dxa" w:w="60"/>
              <w:left w:type="dxa" w:w="120"/>
              <w:bottom w:type="dxa" w:w="60"/>
              <w:right w:type="dxa" w:w="120"/>
            </w:tcMar>
          </w:tcPr>
          <w:p>
            <w:pPr>
              <w:spacing w:line="276"/>
              <w:jc w:val="left"/>
            </w:pPr>
            <w:r>
              <w:rPr>
                <w:rFonts w:ascii="Times New Roman"/>
                <w:b w:val="false"/>
                <w:bCs w:val="false"/>
                <w:color w:val="000000"/>
                <w:sz w:val="18"/>
                <w:szCs w:val="18"/>
              </w:rPr>
              <w:t xml:space="preserve">C6 RCA extension</w:t>
            </w:r>
          </w:p>
        </w:tc>
        <w:tc>
          <w:tcPr>
            <w:tcW w:type="pct" w:w="30%"/>
            <w:shd w:fill="EDF3F5" w:val="clear"/>
            <w:tcMar>
              <w:top w:type="dxa" w:w="60"/>
              <w:left w:type="dxa" w:w="120"/>
              <w:bottom w:type="dxa" w:w="60"/>
              <w:right w:type="dxa" w:w="120"/>
            </w:tcMar>
          </w:tcPr>
          <w:p>
            <w:pPr>
              <w:spacing w:line="276"/>
              <w:jc w:val="left"/>
            </w:pPr>
            <w:r>
              <w:rPr>
                <w:rFonts w:ascii="Times New Roman"/>
                <w:b w:val="false"/>
                <w:bCs w:val="false"/>
                <w:color w:val="000000"/>
                <w:sz w:val="18"/>
                <w:szCs w:val="18"/>
              </w:rPr>
              <w:t xml:space="preserve">Larger per-round records stress the localStorage ring buffer</w:t>
            </w:r>
          </w:p>
        </w:tc>
        <w:tc>
          <w:tcPr>
            <w:tcW w:type="pct" w:w="12%"/>
            <w:shd w:fill="EDF3F5" w:val="clear"/>
            <w:tcMar>
              <w:top w:type="dxa" w:w="60"/>
              <w:left w:type="dxa" w:w="120"/>
              <w:bottom w:type="dxa" w:w="60"/>
              <w:right w:type="dxa" w:w="120"/>
            </w:tcMar>
          </w:tcPr>
          <w:p>
            <w:pPr>
              <w:spacing w:line="276"/>
              <w:jc w:val="left"/>
            </w:pPr>
            <w:r>
              <w:rPr>
                <w:rFonts w:ascii="Times New Roman"/>
                <w:b w:val="false"/>
                <w:bCs w:val="false"/>
                <w:color w:val="000000"/>
                <w:sz w:val="18"/>
                <w:szCs w:val="18"/>
              </w:rPr>
              <w:t xml:space="preserve">Medium</w:t>
            </w:r>
          </w:p>
        </w:tc>
        <w:tc>
          <w:tcPr>
            <w:tcW w:type="pct" w:w="10%"/>
            <w:shd w:fill="EDF3F5" w:val="clear"/>
            <w:tcMar>
              <w:top w:type="dxa" w:w="60"/>
              <w:left w:type="dxa" w:w="120"/>
              <w:bottom w:type="dxa" w:w="60"/>
              <w:right w:type="dxa" w:w="120"/>
            </w:tcMar>
          </w:tcPr>
          <w:p>
            <w:pPr>
              <w:spacing w:line="276"/>
              <w:jc w:val="left"/>
            </w:pPr>
            <w:r>
              <w:rPr>
                <w:rFonts w:ascii="Times New Roman"/>
                <w:b w:val="false"/>
                <w:bCs w:val="false"/>
                <w:color w:val="000000"/>
                <w:sz w:val="18"/>
                <w:szCs w:val="18"/>
              </w:rPr>
              <w:t xml:space="preserve">Medium</w:t>
            </w:r>
          </w:p>
        </w:tc>
        <w:tc>
          <w:tcPr>
            <w:tcW w:type="pct" w:w="32%"/>
            <w:shd w:fill="EDF3F5" w:val="clear"/>
            <w:tcMar>
              <w:top w:type="dxa" w:w="60"/>
              <w:left w:type="dxa" w:w="120"/>
              <w:bottom w:type="dxa" w:w="60"/>
              <w:right w:type="dxa" w:w="120"/>
            </w:tcMar>
          </w:tcPr>
          <w:p>
            <w:pPr>
              <w:spacing w:line="276"/>
              <w:jc w:val="left"/>
            </w:pPr>
            <w:r>
              <w:rPr>
                <w:rFonts w:ascii="Times New Roman"/>
                <w:b w:val="false"/>
                <w:bCs w:val="false"/>
                <w:color w:val="000000"/>
                <w:sz w:val="18"/>
                <w:szCs w:val="18"/>
              </w:rPr>
              <w:t xml:space="preserve">Append-only journal with checksum; cap ring with explicit eviction telemetry (REWIND counter already tracked)</w:t>
            </w:r>
          </w:p>
        </w:tc>
      </w:tr>
      <w:tr>
        <w:trPr>
          <w:cantSplit/>
        </w:trPr>
        <w:tc>
          <w:tcPr>
            <w:tcW w:type="pct" w:w="16%"/>
            <w:tcMar>
              <w:top w:type="dxa" w:w="60"/>
              <w:left w:type="dxa" w:w="120"/>
              <w:bottom w:type="dxa" w:w="60"/>
              <w:right w:type="dxa" w:w="120"/>
            </w:tcMar>
          </w:tcPr>
          <w:p>
            <w:pPr>
              <w:spacing w:line="276"/>
              <w:jc w:val="left"/>
            </w:pPr>
            <w:r>
              <w:rPr>
                <w:rFonts w:ascii="Times New Roman"/>
                <w:b w:val="false"/>
                <w:bCs w:val="false"/>
                <w:color w:val="000000"/>
                <w:sz w:val="18"/>
                <w:szCs w:val="18"/>
              </w:rPr>
              <w:t xml:space="preserve">C7 validation harness</w:t>
            </w:r>
          </w:p>
        </w:tc>
        <w:tc>
          <w:tcPr>
            <w:tcW w:type="pct" w:w="30%"/>
            <w:tcMar>
              <w:top w:type="dxa" w:w="60"/>
              <w:left w:type="dxa" w:w="120"/>
              <w:bottom w:type="dxa" w:w="60"/>
              <w:right w:type="dxa" w:w="120"/>
            </w:tcMar>
          </w:tcPr>
          <w:p>
            <w:pPr>
              <w:spacing w:line="276"/>
              <w:jc w:val="left"/>
            </w:pPr>
            <w:r>
              <w:rPr>
                <w:rFonts w:ascii="Times New Roman"/>
                <w:b w:val="false"/>
                <w:bCs w:val="false"/>
                <w:color w:val="000000"/>
                <w:sz w:val="18"/>
                <w:szCs w:val="18"/>
              </w:rPr>
              <w:t xml:space="preserve">Tuning pressure mid-validation; retrospective sim mistaken for validation</w:t>
            </w:r>
          </w:p>
        </w:tc>
        <w:tc>
          <w:tcPr>
            <w:tcW w:type="pct" w:w="12%"/>
            <w:tcMar>
              <w:top w:type="dxa" w:w="60"/>
              <w:left w:type="dxa" w:w="120"/>
              <w:bottom w:type="dxa" w:w="60"/>
              <w:right w:type="dxa" w:w="120"/>
            </w:tcMar>
          </w:tcPr>
          <w:p>
            <w:pPr>
              <w:spacing w:line="276"/>
              <w:jc w:val="left"/>
            </w:pPr>
            <w:r>
              <w:rPr>
                <w:rFonts w:ascii="Times New Roman"/>
                <w:b w:val="false"/>
                <w:bCs w:val="false"/>
                <w:color w:val="000000"/>
                <w:sz w:val="18"/>
                <w:szCs w:val="18"/>
              </w:rPr>
              <w:t xml:space="preserve">Medium</w:t>
            </w:r>
          </w:p>
        </w:tc>
        <w:tc>
          <w:tcPr>
            <w:tcW w:type="pct" w:w="10%"/>
            <w:tcMar>
              <w:top w:type="dxa" w:w="60"/>
              <w:left w:type="dxa" w:w="120"/>
              <w:bottom w:type="dxa" w:w="60"/>
              <w:right w:type="dxa" w:w="120"/>
            </w:tcMar>
          </w:tcPr>
          <w:p>
            <w:pPr>
              <w:spacing w:line="276"/>
              <w:jc w:val="left"/>
            </w:pPr>
            <w:r>
              <w:rPr>
                <w:rFonts w:ascii="Times New Roman"/>
                <w:b w:val="false"/>
                <w:bCs w:val="false"/>
                <w:color w:val="000000"/>
                <w:sz w:val="18"/>
                <w:szCs w:val="18"/>
              </w:rPr>
              <w:t xml:space="preserve">High</w:t>
            </w:r>
          </w:p>
        </w:tc>
        <w:tc>
          <w:tcPr>
            <w:tcW w:type="pct" w:w="32%"/>
            <w:tcMar>
              <w:top w:type="dxa" w:w="60"/>
              <w:left w:type="dxa" w:w="120"/>
              <w:bottom w:type="dxa" w:w="60"/>
              <w:right w:type="dxa" w:w="120"/>
            </w:tcMar>
          </w:tcPr>
          <w:p>
            <w:pPr>
              <w:spacing w:line="276"/>
              <w:jc w:val="left"/>
            </w:pPr>
            <w:r>
              <w:rPr>
                <w:rFonts w:ascii="Times New Roman"/>
                <w:b w:val="false"/>
                <w:bCs w:val="false"/>
                <w:color w:val="000000"/>
                <w:sz w:val="18"/>
                <w:szCs w:val="18"/>
              </w:rPr>
              <w:t xml:space="preserve">Hard freeze with hash-pinned config; B-labeled simulation excluded from claims; 100-round minimum before any verdict</w:t>
            </w:r>
          </w:p>
        </w:tc>
      </w:tr>
    </w:tbl>
    <w:p>
      <w:pPr>
        <w:pStyle w:val="Heading1"/>
        <w:spacing w:after="160" w:before="360" w:line="312"/>
      </w:pPr>
      <w:bookmarkStart w:id="100018" w:name="_Toc100018"/>
      <w:r>
        <w:rPr>
          <w:rFonts w:ascii="Times New Roman" w:eastAsia="SimHei"/>
          <w:b/>
          <w:bCs/>
          <w:color w:val="162235"/>
          <w:sz w:val="32"/>
          <w:szCs w:val="32"/>
        </w:rPr>
        <w:t xml:space="preserve">9. Validation Plan, Success Criteria and No-Go Compliance</w:t>
      </w:r>
      <w:bookmarkEnd w:id="100018"/>
    </w:p>
    <w:p>
      <w:pPr>
        <w:pStyle w:val="Heading2"/>
        <w:spacing w:after="120" w:before="240" w:line="312"/>
      </w:pPr>
      <w:bookmarkStart w:id="100019" w:name="_Toc100019"/>
      <w:r>
        <w:rPr>
          <w:rFonts w:ascii="Times New Roman" w:eastAsia="SimHei"/>
          <w:b/>
          <w:bCs/>
          <w:color w:val="162235"/>
          <w:sz w:val="28"/>
          <w:szCs w:val="28"/>
        </w:rPr>
        <w:t xml:space="preserve">9.1 Protocol</w:t>
      </w:r>
      <w:bookmarkEnd w:id="100019"/>
    </w:p>
    <w:p>
      <w:pPr>
        <w:spacing w:after="120" w:line="312"/>
        <w:jc w:val="both"/>
      </w:pPr>
      <w:r>
        <w:rPr>
          <w:rFonts w:ascii="Times New Roman"/>
          <w:color w:val="000000"/>
          <w:sz w:val="24"/>
          <w:szCs w:val="24"/>
        </w:rPr>
        <w:t xml:space="preserve">The model that emerges from C1 through C6 is frozen, hash-pinned and untouchable for the duration of validation. The Shadow A/B flag is enabled so that both engines lock predictions at the same moment on the same live history, and at least 100 genuinely new rounds are collected, with 200 preferred. Each round records the round identifier, timestamp, prediction identifier, locked Top-4, actual result, HIT/MISS, all eight probabilities, expected coverage, actual-outcome rank, the winning optimizer combination with its utility, and feature contributions. The four benchmarks (frozen baseline, new model, theoretical reference, random) are reported on the same unseen rounds, and the retrospective simulation is reported only as a direction estimate, never as validation.</w:t>
      </w:r>
    </w:p>
    <w:p>
      <w:pPr>
        <w:pStyle w:val="Heading2"/>
        <w:spacing w:after="120" w:before="240" w:line="312"/>
      </w:pPr>
      <w:bookmarkStart w:id="100020" w:name="_Toc100020"/>
      <w:r>
        <w:rPr>
          <w:rFonts w:ascii="Times New Roman" w:eastAsia="SimHei"/>
          <w:b/>
          <w:bCs/>
          <w:color w:val="162235"/>
          <w:sz w:val="28"/>
          <w:szCs w:val="28"/>
        </w:rPr>
        <w:t xml:space="preserve">9.2 Success criteria and the 100 percent target</w:t>
      </w:r>
      <w:bookmarkEnd w:id="100020"/>
    </w:p>
    <w:p>
      <w:pPr>
        <w:spacing w:after="120" w:line="312"/>
        <w:jc w:val="both"/>
      </w:pPr>
      <w:r>
        <w:rPr>
          <w:rFonts w:ascii="Times New Roman"/>
          <w:color w:val="000000"/>
          <w:sz w:val="24"/>
          <w:szCs w:val="24"/>
        </w:rPr>
        <w:t xml:space="preserve">Primary development target: 100 percent Top-4 HIT with zero MISS. This remains a direction, not a claim: under the i.i.d. null with no exploitable dependence in 178 rounds, sustained 100 percent is not a defensible expectation, and even the observed best window of the theoretical reference is 86 percent. Observed-validation phrasing is mandatory for any result: a completed fresh run of N rounds with N hits and zero misses would be reported exactly as observed validation performance on that window, with no guarantee implied for future random outcomes. Secondary criteria are concrete and ranked: beat the frozen baseline by a statistically meaningful paired margin, reduce number-exclusion misses (41 in the reference window), reduce rare-outcome over-inclusion (253 bonus slots at 2.37 percent efficiency), keep genuine bonus coverage available through evidence rather than slots, bring per-outcome probabilities into bucket-calibration agreement, and hold the pipeline at zero integrity defects. Promotion requires the new model to be at or above the frozen baseline with its lower confidence interval not below the baseline point estimate; the theoretical reference remains the non-hidable yardstick throughout.</w:t>
      </w:r>
    </w:p>
    <w:p>
      <w:pPr>
        <w:pStyle w:val="Heading2"/>
        <w:spacing w:after="120" w:before="240" w:line="312"/>
      </w:pPr>
      <w:bookmarkStart w:id="100021" w:name="_Toc100021"/>
      <w:r>
        <w:rPr>
          <w:rFonts w:ascii="Times New Roman" w:eastAsia="SimHei"/>
          <w:b/>
          <w:bCs/>
          <w:color w:val="162235"/>
          <w:sz w:val="28"/>
          <w:szCs w:val="28"/>
        </w:rPr>
        <w:t xml:space="preserve">9.3 No-go compliance</w:t>
      </w:r>
      <w:bookmarkEnd w:id="100021"/>
    </w:p>
    <w:p>
      <w:pPr>
        <w:keepNext/>
        <w:spacing w:after="80" w:before="160" w:line="312"/>
        <w:jc w:val="left"/>
      </w:pPr>
      <w:r>
        <w:rPr>
          <w:rFonts w:ascii="Times New Roman"/>
          <w:b/>
          <w:bCs/>
          <w:color w:val="505A66"/>
          <w:sz w:val="21"/>
          <w:szCs w:val="21"/>
        </w:rPr>
        <w:t xml:space="preserve">Table 9: The thirteen prohibited designs and how the proposal complies</w:t>
      </w:r>
    </w:p>
    <w:tbl>
      <w:tblPr>
        <w:tblW w:type="pct" w:w="100%"/>
        <w:tblBorders>
          <w:top w:val="single" w:color="1B6B7A" w:sz="4"/>
          <w:left w:val="none"/>
          <w:bottom w:val="single" w:color="1B6B7A" w:sz="4"/>
          <w:right w:val="none"/>
          <w:insideH w:val="single" w:color="C8DDE2" w:sz="1"/>
          <w:insideV w:val="none"/>
        </w:tblBorders>
      </w:tblPr>
      <w:tblGrid>
        <w:gridCol w:w="100"/>
        <w:gridCol w:w="100"/>
      </w:tblGrid>
      <w:tr>
        <w:trPr>
          <w:cantSplit/>
          <w:tblHeader/>
        </w:trPr>
        <w:tc>
          <w:tcPr>
            <w:tcW w:type="pct" w:w="34%"/>
            <w:shd w:fill="1B6B7A" w:val="clear"/>
            <w:tcMar>
              <w:top w:type="dxa" w:w="60"/>
              <w:left w:type="dxa" w:w="120"/>
              <w:bottom w:type="dxa" w:w="60"/>
              <w:right w:type="dxa" w:w="120"/>
            </w:tcMar>
          </w:tcPr>
          <w:p>
            <w:pPr>
              <w:spacing w:line="276"/>
              <w:jc w:val="left"/>
            </w:pPr>
            <w:r>
              <w:rPr>
                <w:rFonts w:ascii="Times New Roman"/>
                <w:b/>
                <w:bCs/>
                <w:color w:val="FFFFFF"/>
                <w:sz w:val="18"/>
                <w:szCs w:val="18"/>
              </w:rPr>
              <w:t xml:space="preserve">Prohibited design</w:t>
            </w:r>
          </w:p>
        </w:tc>
        <w:tc>
          <w:tcPr>
            <w:tcW w:type="pct" w:w="66%"/>
            <w:shd w:fill="1B6B7A" w:val="clear"/>
            <w:tcMar>
              <w:top w:type="dxa" w:w="60"/>
              <w:left w:type="dxa" w:w="120"/>
              <w:bottom w:type="dxa" w:w="60"/>
              <w:right w:type="dxa" w:w="120"/>
            </w:tcMar>
          </w:tcPr>
          <w:p>
            <w:pPr>
              <w:spacing w:line="276"/>
              <w:jc w:val="left"/>
            </w:pPr>
            <w:r>
              <w:rPr>
                <w:rFonts w:ascii="Times New Roman"/>
                <w:b/>
                <w:bCs/>
                <w:color w:val="FFFFFF"/>
                <w:sz w:val="18"/>
                <w:szCs w:val="18"/>
              </w:rPr>
              <w:t xml:space="preserve">Compliance status</w:t>
            </w:r>
          </w:p>
        </w:tc>
      </w:tr>
      <w:tr>
        <w:trPr>
          <w:cantSplit/>
        </w:trPr>
        <w:tc>
          <w:tcPr>
            <w:tcW w:type="pct" w:w="34%"/>
            <w:tcMar>
              <w:top w:type="dxa" w:w="60"/>
              <w:left w:type="dxa" w:w="120"/>
              <w:bottom w:type="dxa" w:w="60"/>
              <w:right w:type="dxa" w:w="120"/>
            </w:tcMar>
          </w:tcPr>
          <w:p>
            <w:pPr>
              <w:spacing w:line="276"/>
              <w:jc w:val="left"/>
            </w:pPr>
            <w:r>
              <w:rPr>
                <w:rFonts w:ascii="Times New Roman"/>
                <w:b w:val="false"/>
                <w:bCs w:val="false"/>
                <w:color w:val="000000"/>
                <w:sz w:val="18"/>
                <w:szCs w:val="18"/>
              </w:rPr>
              <w:t xml:space="preserve">Fixed [1,2,5,10] or fixed [1,2,5,PACHINKO]</w:t>
            </w:r>
          </w:p>
        </w:tc>
        <w:tc>
          <w:tcPr>
            <w:tcW w:type="pct" w:w="66%"/>
            <w:tcMar>
              <w:top w:type="dxa" w:w="60"/>
              <w:left w:type="dxa" w:w="120"/>
              <w:bottom w:type="dxa" w:w="60"/>
              <w:right w:type="dxa" w:w="120"/>
            </w:tcMar>
          </w:tcPr>
          <w:p>
            <w:pPr>
              <w:spacing w:line="276"/>
              <w:jc w:val="left"/>
            </w:pPr>
            <w:r>
              <w:rPr>
                <w:rFonts w:ascii="Times New Roman"/>
                <w:b w:val="false"/>
                <w:bCs w:val="false"/>
                <w:color w:val="000000"/>
                <w:sz w:val="18"/>
                <w:szCs w:val="18"/>
              </w:rPr>
              <w:t xml:space="preserve">Not implemented: prior-dominance emerges from calibration, and any outcome can enter on calibrated evidence; the [1,2,5,10] delta is logged per round as a counterfactual, never enforced</w:t>
            </w:r>
          </w:p>
        </w:tc>
      </w:tr>
      <w:tr>
        <w:trPr>
          <w:cantSplit/>
        </w:trPr>
        <w:tc>
          <w:tcPr>
            <w:tcW w:type="pct" w:w="34%"/>
            <w:shd w:fill="EDF3F5" w:val="clear"/>
            <w:tcMar>
              <w:top w:type="dxa" w:w="60"/>
              <w:left w:type="dxa" w:w="120"/>
              <w:bottom w:type="dxa" w:w="60"/>
              <w:right w:type="dxa" w:w="120"/>
            </w:tcMar>
          </w:tcPr>
          <w:p>
            <w:pPr>
              <w:spacing w:line="276"/>
              <w:jc w:val="left"/>
            </w:pPr>
            <w:r>
              <w:rPr>
                <w:rFonts w:ascii="Times New Roman"/>
                <w:b w:val="false"/>
                <w:bCs w:val="false"/>
                <w:color w:val="000000"/>
                <w:sz w:val="18"/>
                <w:szCs w:val="18"/>
              </w:rPr>
              <w:t xml:space="preserve">Fixed bonus slot / forced 1 / forced 2 / forced 5 / forced 10 / forced PACHINKO / forced CASH HUNT / forced COIN FLIP / forced CRAZY TIME</w:t>
            </w:r>
          </w:p>
        </w:tc>
        <w:tc>
          <w:tcPr>
            <w:tcW w:type="pct" w:w="66%"/>
            <w:shd w:fill="EDF3F5" w:val="clear"/>
            <w:tcMar>
              <w:top w:type="dxa" w:w="60"/>
              <w:left w:type="dxa" w:w="120"/>
              <w:bottom w:type="dxa" w:w="60"/>
              <w:right w:type="dxa" w:w="120"/>
            </w:tcMar>
          </w:tcPr>
          <w:p>
            <w:pPr>
              <w:spacing w:line="276"/>
              <w:jc w:val="left"/>
            </w:pPr>
            <w:r>
              <w:rPr>
                <w:rFonts w:ascii="Times New Roman"/>
                <w:b w:val="false"/>
                <w:bCs w:val="false"/>
                <w:color w:val="000000"/>
                <w:sz w:val="18"/>
                <w:szCs w:val="18"/>
              </w:rPr>
              <w:t xml:space="preserve">No forced or permanent slots anywhere in C1-C7; all eight outcomes are scored every round and only the optimizer decides</w:t>
            </w:r>
          </w:p>
        </w:tc>
      </w:tr>
      <w:tr>
        <w:trPr>
          <w:cantSplit/>
        </w:trPr>
        <w:tc>
          <w:tcPr>
            <w:tcW w:type="pct" w:w="34%"/>
            <w:tcMar>
              <w:top w:type="dxa" w:w="60"/>
              <w:left w:type="dxa" w:w="120"/>
              <w:bottom w:type="dxa" w:w="60"/>
              <w:right w:type="dxa" w:w="120"/>
            </w:tcMar>
          </w:tcPr>
          <w:p>
            <w:pPr>
              <w:spacing w:line="276"/>
              <w:jc w:val="left"/>
            </w:pPr>
            <w:r>
              <w:rPr>
                <w:rFonts w:ascii="Times New Roman"/>
                <w:b w:val="false"/>
                <w:bCs w:val="false"/>
                <w:color w:val="000000"/>
                <w:sz w:val="18"/>
                <w:szCs w:val="18"/>
              </w:rPr>
              <w:t xml:space="preserve">Last-result repetition or opposite</w:t>
            </w:r>
          </w:p>
        </w:tc>
        <w:tc>
          <w:tcPr>
            <w:tcW w:type="pct" w:w="66%"/>
            <w:tcMar>
              <w:top w:type="dxa" w:w="60"/>
              <w:left w:type="dxa" w:w="120"/>
              <w:bottom w:type="dxa" w:w="60"/>
              <w:right w:type="dxa" w:w="120"/>
            </w:tcMar>
          </w:tcPr>
          <w:p>
            <w:pPr>
              <w:spacing w:line="276"/>
              <w:jc w:val="left"/>
            </w:pPr>
            <w:r>
              <w:rPr>
                <w:rFonts w:ascii="Times New Roman"/>
                <w:b w:val="false"/>
                <w:bCs w:val="false"/>
                <w:color w:val="000000"/>
                <w:sz w:val="18"/>
                <w:szCs w:val="18"/>
              </w:rPr>
              <w:t xml:space="preserve">No single-result carryover exists in the current engine and none is proposed; repeat handling remains a statistically estimated, capped effect</w:t>
            </w:r>
          </w:p>
        </w:tc>
      </w:tr>
      <w:tr>
        <w:trPr>
          <w:cantSplit/>
        </w:trPr>
        <w:tc>
          <w:tcPr>
            <w:tcW w:type="pct" w:w="34%"/>
            <w:shd w:fill="EDF3F5" w:val="clear"/>
            <w:tcMar>
              <w:top w:type="dxa" w:w="60"/>
              <w:left w:type="dxa" w:w="120"/>
              <w:bottom w:type="dxa" w:w="60"/>
              <w:right w:type="dxa" w:w="120"/>
            </w:tcMar>
          </w:tcPr>
          <w:p>
            <w:pPr>
              <w:spacing w:line="276"/>
              <w:jc w:val="left"/>
            </w:pPr>
            <w:r>
              <w:rPr>
                <w:rFonts w:ascii="Times New Roman"/>
                <w:b w:val="false"/>
                <w:bCs w:val="false"/>
                <w:color w:val="000000"/>
                <w:sz w:val="18"/>
                <w:szCs w:val="18"/>
              </w:rPr>
              <w:t xml:space="preserve">Hot-number, overdue or gap guarantees</w:t>
            </w:r>
          </w:p>
        </w:tc>
        <w:tc>
          <w:tcPr>
            <w:tcW w:type="pct" w:w="66%"/>
            <w:shd w:fill="EDF3F5" w:val="clear"/>
            <w:tcMar>
              <w:top w:type="dxa" w:w="60"/>
              <w:left w:type="dxa" w:w="120"/>
              <w:bottom w:type="dxa" w:w="60"/>
              <w:right w:type="dxa" w:w="120"/>
            </w:tcMar>
          </w:tcPr>
          <w:p>
            <w:pPr>
              <w:spacing w:line="276"/>
              <w:jc w:val="left"/>
            </w:pPr>
            <w:r>
              <w:rPr>
                <w:rFonts w:ascii="Times New Roman"/>
                <w:b w:val="false"/>
                <w:bCs w:val="false"/>
                <w:color w:val="000000"/>
                <w:sz w:val="18"/>
                <w:szCs w:val="18"/>
              </w:rPr>
              <w:t xml:space="preserve">Overdue and gap remain display-only diagnostics; no boost paths are proposed</w:t>
            </w:r>
          </w:p>
        </w:tc>
      </w:tr>
      <w:tr>
        <w:trPr>
          <w:cantSplit/>
        </w:trPr>
        <w:tc>
          <w:tcPr>
            <w:tcW w:type="pct" w:w="34%"/>
            <w:tcMar>
              <w:top w:type="dxa" w:w="60"/>
              <w:left w:type="dxa" w:w="120"/>
              <w:bottom w:type="dxa" w:w="60"/>
              <w:right w:type="dxa" w:w="120"/>
            </w:tcMar>
          </w:tcPr>
          <w:p>
            <w:pPr>
              <w:spacing w:line="276"/>
              <w:jc w:val="left"/>
            </w:pPr>
            <w:r>
              <w:rPr>
                <w:rFonts w:ascii="Times New Roman"/>
                <w:b w:val="false"/>
                <w:bCs w:val="false"/>
                <w:color w:val="000000"/>
                <w:sz w:val="18"/>
                <w:szCs w:val="18"/>
              </w:rPr>
              <w:t xml:space="preserve">Streak prediction rule</w:t>
            </w:r>
          </w:p>
        </w:tc>
        <w:tc>
          <w:tcPr>
            <w:tcW w:type="pct" w:w="66%"/>
            <w:tcMar>
              <w:top w:type="dxa" w:w="60"/>
              <w:left w:type="dxa" w:w="120"/>
              <w:bottom w:type="dxa" w:w="60"/>
              <w:right w:type="dxa" w:w="120"/>
            </w:tcMar>
          </w:tcPr>
          <w:p>
            <w:pPr>
              <w:spacing w:line="276"/>
              <w:jc w:val="left"/>
            </w:pPr>
            <w:r>
              <w:rPr>
                <w:rFonts w:ascii="Times New Roman"/>
                <w:b w:val="false"/>
                <w:bCs w:val="false"/>
                <w:color w:val="000000"/>
                <w:sz w:val="18"/>
                <w:szCs w:val="18"/>
              </w:rPr>
              <w:t xml:space="preserve">Persistence penalty removed from high-prior numbers; no streak-based selection rule is proposed</w:t>
            </w:r>
          </w:p>
        </w:tc>
      </w:tr>
      <w:tr>
        <w:trPr>
          <w:cantSplit/>
        </w:trPr>
        <w:tc>
          <w:tcPr>
            <w:tcW w:type="pct" w:w="34%"/>
            <w:shd w:fill="EDF3F5" w:val="clear"/>
            <w:tcMar>
              <w:top w:type="dxa" w:w="60"/>
              <w:left w:type="dxa" w:w="120"/>
              <w:bottom w:type="dxa" w:w="60"/>
              <w:right w:type="dxa" w:w="120"/>
            </w:tcMar>
          </w:tcPr>
          <w:p>
            <w:pPr>
              <w:spacing w:line="276"/>
              <w:jc w:val="left"/>
            </w:pPr>
            <w:r>
              <w:rPr>
                <w:rFonts w:ascii="Times New Roman"/>
                <w:b w:val="false"/>
                <w:bCs w:val="false"/>
                <w:color w:val="000000"/>
                <w:sz w:val="18"/>
                <w:szCs w:val="18"/>
              </w:rPr>
              <w:t xml:space="preserve">Random Top-4</w:t>
            </w:r>
          </w:p>
        </w:tc>
        <w:tc>
          <w:tcPr>
            <w:tcW w:type="pct" w:w="66%"/>
            <w:shd w:fill="EDF3F5" w:val="clear"/>
            <w:tcMar>
              <w:top w:type="dxa" w:w="60"/>
              <w:left w:type="dxa" w:w="120"/>
              <w:bottom w:type="dxa" w:w="60"/>
              <w:right w:type="dxa" w:w="120"/>
            </w:tcMar>
          </w:tcPr>
          <w:p>
            <w:pPr>
              <w:spacing w:line="276"/>
              <w:jc w:val="left"/>
            </w:pPr>
            <w:r>
              <w:rPr>
                <w:rFonts w:ascii="Times New Roman"/>
                <w:b w:val="false"/>
                <w:bCs w:val="false"/>
                <w:color w:val="000000"/>
                <w:sz w:val="18"/>
                <w:szCs w:val="18"/>
              </w:rPr>
              <w:t xml:space="preserve">The random benchmark exists only as a reference measurement, never as a policy</w:t>
            </w:r>
          </w:p>
        </w:tc>
      </w:tr>
      <w:tr>
        <w:trPr>
          <w:cantSplit/>
        </w:trPr>
        <w:tc>
          <w:tcPr>
            <w:tcW w:type="pct" w:w="34%"/>
            <w:tcMar>
              <w:top w:type="dxa" w:w="60"/>
              <w:left w:type="dxa" w:w="120"/>
              <w:bottom w:type="dxa" w:w="60"/>
              <w:right w:type="dxa" w:w="120"/>
            </w:tcMar>
          </w:tcPr>
          <w:p>
            <w:pPr>
              <w:spacing w:line="276"/>
              <w:jc w:val="left"/>
            </w:pPr>
            <w:r>
              <w:rPr>
                <w:rFonts w:ascii="Times New Roman"/>
                <w:b w:val="false"/>
                <w:bCs w:val="false"/>
                <w:color w:val="000000"/>
                <w:sz w:val="18"/>
                <w:szCs w:val="18"/>
              </w:rPr>
              <w:t xml:space="preserve">Historical-result leakage</w:t>
            </w:r>
          </w:p>
        </w:tc>
        <w:tc>
          <w:tcPr>
            <w:tcW w:type="pct" w:w="66%"/>
            <w:tcMar>
              <w:top w:type="dxa" w:w="60"/>
              <w:left w:type="dxa" w:w="120"/>
              <w:bottom w:type="dxa" w:w="60"/>
              <w:right w:type="dxa" w:w="120"/>
            </w:tcMar>
          </w:tcPr>
          <w:p>
            <w:pPr>
              <w:spacing w:line="276"/>
              <w:jc w:val="left"/>
            </w:pPr>
            <w:r>
              <w:rPr>
                <w:rFonts w:ascii="Times New Roman"/>
                <w:b w:val="false"/>
                <w:bCs w:val="false"/>
                <w:color w:val="000000"/>
                <w:sz w:val="18"/>
                <w:szCs w:val="18"/>
              </w:rPr>
              <w:t xml:space="preserve">Lifecycle order (settle, append, recalculate, lock) is already enforced and proven on-page; the validation harness asserts prediction timestamps strictly precede result timestamps</w:t>
            </w:r>
          </w:p>
        </w:tc>
      </w:tr>
      <w:tr>
        <w:trPr>
          <w:cantSplit/>
        </w:trPr>
        <w:tc>
          <w:tcPr>
            <w:tcW w:type="pct" w:w="34%"/>
            <w:shd w:fill="EDF3F5" w:val="clear"/>
            <w:tcMar>
              <w:top w:type="dxa" w:w="60"/>
              <w:left w:type="dxa" w:w="120"/>
              <w:bottom w:type="dxa" w:w="60"/>
              <w:right w:type="dxa" w:w="120"/>
            </w:tcMar>
          </w:tcPr>
          <w:p>
            <w:pPr>
              <w:spacing w:line="276"/>
              <w:jc w:val="left"/>
            </w:pPr>
            <w:r>
              <w:rPr>
                <w:rFonts w:ascii="Times New Roman"/>
                <w:b w:val="false"/>
                <w:bCs w:val="false"/>
                <w:color w:val="000000"/>
                <w:sz w:val="18"/>
                <w:szCs w:val="18"/>
              </w:rPr>
              <w:t xml:space="preserve">Manual prediction override</w:t>
            </w:r>
          </w:p>
        </w:tc>
        <w:tc>
          <w:tcPr>
            <w:tcW w:type="pct" w:w="66%"/>
            <w:shd w:fill="EDF3F5" w:val="clear"/>
            <w:tcMar>
              <w:top w:type="dxa" w:w="60"/>
              <w:left w:type="dxa" w:w="120"/>
              <w:bottom w:type="dxa" w:w="60"/>
              <w:right w:type="dxa" w:w="120"/>
            </w:tcMar>
          </w:tcPr>
          <w:p>
            <w:pPr>
              <w:spacing w:line="276"/>
              <w:jc w:val="left"/>
            </w:pPr>
            <w:r>
              <w:rPr>
                <w:rFonts w:ascii="Times New Roman"/>
                <w:b w:val="false"/>
                <w:bCs w:val="false"/>
                <w:color w:val="000000"/>
                <w:sz w:val="18"/>
                <w:szCs w:val="18"/>
              </w:rPr>
              <w:t xml:space="preserve">No override path is proposed; the lock remains the single source of truth</w:t>
            </w:r>
          </w:p>
        </w:tc>
      </w:tr>
    </w:tbl>
    <w:p>
      <w:pPr>
        <w:spacing w:after="120" w:line="312"/>
        <w:jc w:val="both"/>
      </w:pPr>
      <w:r>
        <w:rPr>
          <w:rFonts w:ascii="Times New Roman"/>
          <w:color w:val="000000"/>
          <w:sz w:val="24"/>
          <w:szCs w:val="24"/>
        </w:rPr>
        <w:t xml:space="preserve">With this diagnostic complete, the gate condition of the optimization program is satisfied: the dominant miss causes are quantified, the responsible mechanisms are identified in code, the optimizer and calibration are audited, the reliability layer status is established, and the proposed changes carry explicit risks and a validation path. Implementation may proceed in a separate change set behind flags, with the frozen-baseline replay retained as the permanent reference.</w:t>
      </w:r>
    </w:p>
    <w:p>
      <w:pPr>
        <w:pStyle w:val="Heading1"/>
        <w:spacing w:after="160" w:before="360" w:line="312"/>
      </w:pPr>
      <w:bookmarkStart w:id="100022" w:name="_Toc100022"/>
      <w:r>
        <w:rPr>
          <w:rFonts w:ascii="Times New Roman" w:eastAsia="SimHei"/>
          <w:b/>
          <w:bCs/>
          <w:color w:val="162235"/>
          <w:sz w:val="32"/>
          <w:szCs w:val="32"/>
        </w:rPr>
        <w:t xml:space="preserve">Appendix A. Per-Miss Ledger (60 rounds)</w:t>
      </w:r>
      <w:bookmarkEnd w:id="100022"/>
    </w:p>
    <w:p>
      <w:pPr>
        <w:spacing w:after="120" w:line="312"/>
        <w:jc w:val="both"/>
      </w:pPr>
      <w:r>
        <w:rPr>
          <w:rFonts w:ascii="Times New Roman"/>
          <w:color w:val="000000"/>
          <w:sz w:val="24"/>
          <w:szCs w:val="24"/>
        </w:rPr>
        <w:t xml:space="preserve">The table lists every miss in the 178-round window with its displacement attribution. Displacer is the lowest-prior member of the locked set, i.e. the outcome that would have been exchanged for the actual under a one-slot correction. Classification: Avoidable means the actual was a number and a baseline lock would have covered it; Structural means the actual was a bonus that the lock did not contain.</w:t>
      </w:r>
    </w:p>
    <w:p>
      <w:pPr>
        <w:keepNext/>
        <w:spacing w:after="80" w:before="160" w:line="312"/>
        <w:jc w:val="left"/>
      </w:pPr>
      <w:r>
        <w:rPr>
          <w:rFonts w:ascii="Times New Roman"/>
          <w:b/>
          <w:bCs/>
          <w:color w:val="505A66"/>
          <w:sz w:val="21"/>
          <w:szCs w:val="21"/>
        </w:rPr>
        <w:t xml:space="preserve">Table 10: Full per-miss ledger with displacement attribution</w:t>
      </w:r>
    </w:p>
    <w:tbl>
      <w:tblPr>
        <w:tblW w:type="pct" w:w="100%"/>
        <w:tblBorders>
          <w:top w:val="single" w:color="1B6B7A" w:sz="4"/>
          <w:left w:val="none"/>
          <w:bottom w:val="single" w:color="1B6B7A" w:sz="4"/>
          <w:right w:val="none"/>
          <w:insideH w:val="single" w:color="C8DDE2" w:sz="1"/>
          <w:insideV w:val="none"/>
        </w:tblBorders>
      </w:tblPr>
      <w:tblGrid>
        <w:gridCol w:w="100"/>
        <w:gridCol w:w="100"/>
        <w:gridCol w:w="100"/>
        <w:gridCol w:w="100"/>
        <w:gridCol w:w="100"/>
        <w:gridCol w:w="100"/>
        <w:gridCol w:w="100"/>
      </w:tblGrid>
      <w:tr>
        <w:trPr>
          <w:cantSplit/>
          <w:tblHeader/>
        </w:trPr>
        <w:tc>
          <w:tcPr>
            <w:tcW w:type="pct" w:w="8%"/>
            <w:shd w:fill="1B6B7A" w:val="clear"/>
            <w:tcMar>
              <w:top w:type="dxa" w:w="60"/>
              <w:left w:type="dxa" w:w="120"/>
              <w:bottom w:type="dxa" w:w="60"/>
              <w:right w:type="dxa" w:w="120"/>
            </w:tcMar>
          </w:tcPr>
          <w:p>
            <w:pPr>
              <w:spacing w:line="276"/>
              <w:jc w:val="left"/>
            </w:pPr>
            <w:r>
              <w:rPr>
                <w:rFonts w:ascii="Times New Roman"/>
                <w:b/>
                <w:bCs/>
                <w:color w:val="FFFFFF"/>
                <w:sz w:val="16"/>
                <w:szCs w:val="16"/>
              </w:rPr>
              <w:t xml:space="preserve">Round</w:t>
            </w:r>
          </w:p>
        </w:tc>
        <w:tc>
          <w:tcPr>
            <w:tcW w:type="pct" w:w="13%"/>
            <w:shd w:fill="1B6B7A" w:val="clear"/>
            <w:tcMar>
              <w:top w:type="dxa" w:w="60"/>
              <w:left w:type="dxa" w:w="120"/>
              <w:bottom w:type="dxa" w:w="60"/>
              <w:right w:type="dxa" w:w="120"/>
            </w:tcMar>
          </w:tcPr>
          <w:p>
            <w:pPr>
              <w:spacing w:line="276"/>
              <w:jc w:val="left"/>
            </w:pPr>
            <w:r>
              <w:rPr>
                <w:rFonts w:ascii="Times New Roman"/>
                <w:b/>
                <w:bCs/>
                <w:color w:val="FFFFFF"/>
                <w:sz w:val="16"/>
                <w:szCs w:val="16"/>
              </w:rPr>
              <w:t xml:space="preserve">Actual</w:t>
            </w:r>
          </w:p>
        </w:tc>
        <w:tc>
          <w:tcPr>
            <w:tcW w:type="pct" w:w="32%"/>
            <w:shd w:fill="1B6B7A" w:val="clear"/>
            <w:tcMar>
              <w:top w:type="dxa" w:w="60"/>
              <w:left w:type="dxa" w:w="120"/>
              <w:bottom w:type="dxa" w:w="60"/>
              <w:right w:type="dxa" w:w="120"/>
            </w:tcMar>
          </w:tcPr>
          <w:p>
            <w:pPr>
              <w:spacing w:line="276"/>
              <w:jc w:val="left"/>
            </w:pPr>
            <w:r>
              <w:rPr>
                <w:rFonts w:ascii="Times New Roman"/>
                <w:b/>
                <w:bCs/>
                <w:color w:val="FFFFFF"/>
                <w:sz w:val="16"/>
                <w:szCs w:val="16"/>
              </w:rPr>
              <w:t xml:space="preserve">Locked Top-4</w:t>
            </w:r>
          </w:p>
        </w:tc>
        <w:tc>
          <w:tcPr>
            <w:tcW w:type="pct" w:w="5%"/>
            <w:shd w:fill="1B6B7A" w:val="clear"/>
            <w:tcMar>
              <w:top w:type="dxa" w:w="60"/>
              <w:left w:type="dxa" w:w="120"/>
              <w:bottom w:type="dxa" w:w="60"/>
              <w:right w:type="dxa" w:w="120"/>
            </w:tcMar>
          </w:tcPr>
          <w:p>
            <w:pPr>
              <w:spacing w:line="276"/>
              <w:jc w:val="left"/>
            </w:pPr>
            <w:r>
              <w:rPr>
                <w:rFonts w:ascii="Times New Roman"/>
                <w:b/>
                <w:bCs/>
                <w:color w:val="FFFFFF"/>
                <w:sz w:val="16"/>
                <w:szCs w:val="16"/>
              </w:rPr>
              <w:t xml:space="preserve">kB</w:t>
            </w:r>
          </w:p>
        </w:tc>
        <w:tc>
          <w:tcPr>
            <w:tcW w:type="pct" w:w="7%"/>
            <w:shd w:fill="1B6B7A" w:val="clear"/>
            <w:tcMar>
              <w:top w:type="dxa" w:w="60"/>
              <w:left w:type="dxa" w:w="120"/>
              <w:bottom w:type="dxa" w:w="60"/>
              <w:right w:type="dxa" w:w="120"/>
            </w:tcMar>
          </w:tcPr>
          <w:p>
            <w:pPr>
              <w:spacing w:line="276"/>
              <w:jc w:val="left"/>
            </w:pPr>
            <w:r>
              <w:rPr>
                <w:rFonts w:ascii="Times New Roman"/>
                <w:b/>
                <w:bCs/>
                <w:color w:val="FFFFFF"/>
                <w:sz w:val="16"/>
                <w:szCs w:val="16"/>
              </w:rPr>
              <w:t xml:space="preserve">Conf</w:t>
            </w:r>
          </w:p>
        </w:tc>
        <w:tc>
          <w:tcPr>
            <w:tcW w:type="pct" w:w="13%"/>
            <w:shd w:fill="1B6B7A" w:val="clear"/>
            <w:tcMar>
              <w:top w:type="dxa" w:w="60"/>
              <w:left w:type="dxa" w:w="120"/>
              <w:bottom w:type="dxa" w:w="60"/>
              <w:right w:type="dxa" w:w="120"/>
            </w:tcMar>
          </w:tcPr>
          <w:p>
            <w:pPr>
              <w:spacing w:line="276"/>
              <w:jc w:val="left"/>
            </w:pPr>
            <w:r>
              <w:rPr>
                <w:rFonts w:ascii="Times New Roman"/>
                <w:b/>
                <w:bCs/>
                <w:color w:val="FFFFFF"/>
                <w:sz w:val="16"/>
                <w:szCs w:val="16"/>
              </w:rPr>
              <w:t xml:space="preserve">Displacer</w:t>
            </w:r>
          </w:p>
        </w:tc>
        <w:tc>
          <w:tcPr>
            <w:tcW w:type="pct" w:w="22%"/>
            <w:shd w:fill="1B6B7A" w:val="clear"/>
            <w:tcMar>
              <w:top w:type="dxa" w:w="60"/>
              <w:left w:type="dxa" w:w="120"/>
              <w:bottom w:type="dxa" w:w="60"/>
              <w:right w:type="dxa" w:w="120"/>
            </w:tcMar>
          </w:tcPr>
          <w:p>
            <w:pPr>
              <w:spacing w:line="276"/>
              <w:jc w:val="left"/>
            </w:pPr>
            <w:r>
              <w:rPr>
                <w:rFonts w:ascii="Times New Roman"/>
                <w:b/>
                <w:bCs/>
                <w:color w:val="FFFFFF"/>
                <w:sz w:val="16"/>
                <w:szCs w:val="16"/>
              </w:rPr>
              <w:t xml:space="preserve">Classification</w:t>
            </w:r>
          </w:p>
        </w:tc>
      </w:tr>
      <w:tr>
        <w:trPr>
          <w:cantSplit/>
        </w:trPr>
        <w:tc>
          <w:tcPr>
            <w:tcW w:type="pct" w:w="8%"/>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11</w:t>
            </w:r>
          </w:p>
        </w:tc>
        <w:tc>
          <w:tcPr>
            <w:tcW w:type="pct" w:w="13%"/>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COIN FLIP</w:t>
            </w:r>
          </w:p>
        </w:tc>
        <w:tc>
          <w:tcPr>
            <w:tcW w:type="pct" w:w="32%"/>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5, 2, PACHINKO, CASH HUNT</w:t>
            </w:r>
          </w:p>
        </w:tc>
        <w:tc>
          <w:tcPr>
            <w:tcW w:type="pct" w:w="5%"/>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2</w:t>
            </w:r>
          </w:p>
        </w:tc>
        <w:tc>
          <w:tcPr>
            <w:tcW w:type="pct" w:w="7%"/>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55</w:t>
            </w:r>
          </w:p>
        </w:tc>
        <w:tc>
          <w:tcPr>
            <w:tcW w:type="pct" w:w="13%"/>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PACHINKO</w:t>
            </w:r>
          </w:p>
        </w:tc>
        <w:tc>
          <w:tcPr>
            <w:tcW w:type="pct" w:w="22%"/>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Structural (bonus uncovered)</w:t>
            </w:r>
          </w:p>
        </w:tc>
      </w:tr>
      <w:tr>
        <w:trPr>
          <w:cantSplit/>
        </w:trPr>
        <w:tc>
          <w:tcPr>
            <w:tcW w:type="pct" w:w="8%"/>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16</w:t>
            </w:r>
          </w:p>
        </w:tc>
        <w:tc>
          <w:tcPr>
            <w:tcW w:type="pct" w:w="13%"/>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5</w:t>
            </w:r>
          </w:p>
        </w:tc>
        <w:tc>
          <w:tcPr>
            <w:tcW w:type="pct" w:w="32%"/>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COIN FLIP, 1, 2, PACHINKO</w:t>
            </w:r>
          </w:p>
        </w:tc>
        <w:tc>
          <w:tcPr>
            <w:tcW w:type="pct" w:w="5%"/>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2</w:t>
            </w:r>
          </w:p>
        </w:tc>
        <w:tc>
          <w:tcPr>
            <w:tcW w:type="pct" w:w="7%"/>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55</w:t>
            </w:r>
          </w:p>
        </w:tc>
        <w:tc>
          <w:tcPr>
            <w:tcW w:type="pct" w:w="13%"/>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PACHINKO</w:t>
            </w:r>
          </w:p>
        </w:tc>
        <w:tc>
          <w:tcPr>
            <w:tcW w:type="pct" w:w="22%"/>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Avoidable (baseline lock)</w:t>
            </w:r>
          </w:p>
        </w:tc>
      </w:tr>
      <w:tr>
        <w:trPr>
          <w:cantSplit/>
        </w:trPr>
        <w:tc>
          <w:tcPr>
            <w:tcW w:type="pct" w:w="8%"/>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18</w:t>
            </w:r>
          </w:p>
        </w:tc>
        <w:tc>
          <w:tcPr>
            <w:tcW w:type="pct" w:w="13%"/>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2</w:t>
            </w:r>
          </w:p>
        </w:tc>
        <w:tc>
          <w:tcPr>
            <w:tcW w:type="pct" w:w="32%"/>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COIN FLIP, 1, PACHINKO, CASH HUNT</w:t>
            </w:r>
          </w:p>
        </w:tc>
        <w:tc>
          <w:tcPr>
            <w:tcW w:type="pct" w:w="5%"/>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3</w:t>
            </w:r>
          </w:p>
        </w:tc>
        <w:tc>
          <w:tcPr>
            <w:tcW w:type="pct" w:w="7%"/>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55</w:t>
            </w:r>
          </w:p>
        </w:tc>
        <w:tc>
          <w:tcPr>
            <w:tcW w:type="pct" w:w="13%"/>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PACHINKO</w:t>
            </w:r>
          </w:p>
        </w:tc>
        <w:tc>
          <w:tcPr>
            <w:tcW w:type="pct" w:w="22%"/>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Avoidable (baseline lock)</w:t>
            </w:r>
          </w:p>
        </w:tc>
      </w:tr>
      <w:tr>
        <w:trPr>
          <w:cantSplit/>
        </w:trPr>
        <w:tc>
          <w:tcPr>
            <w:tcW w:type="pct" w:w="8%"/>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21</w:t>
            </w:r>
          </w:p>
        </w:tc>
        <w:tc>
          <w:tcPr>
            <w:tcW w:type="pct" w:w="13%"/>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10</w:t>
            </w:r>
          </w:p>
        </w:tc>
        <w:tc>
          <w:tcPr>
            <w:tcW w:type="pct" w:w="32%"/>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COIN FLIP, 1, 2, PACHINKO</w:t>
            </w:r>
          </w:p>
        </w:tc>
        <w:tc>
          <w:tcPr>
            <w:tcW w:type="pct" w:w="5%"/>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2</w:t>
            </w:r>
          </w:p>
        </w:tc>
        <w:tc>
          <w:tcPr>
            <w:tcW w:type="pct" w:w="7%"/>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69</w:t>
            </w:r>
          </w:p>
        </w:tc>
        <w:tc>
          <w:tcPr>
            <w:tcW w:type="pct" w:w="13%"/>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PACHINKO</w:t>
            </w:r>
          </w:p>
        </w:tc>
        <w:tc>
          <w:tcPr>
            <w:tcW w:type="pct" w:w="22%"/>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Avoidable (baseline lock)</w:t>
            </w:r>
          </w:p>
        </w:tc>
      </w:tr>
      <w:tr>
        <w:trPr>
          <w:cantSplit/>
        </w:trPr>
        <w:tc>
          <w:tcPr>
            <w:tcW w:type="pct" w:w="8%"/>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27</w:t>
            </w:r>
          </w:p>
        </w:tc>
        <w:tc>
          <w:tcPr>
            <w:tcW w:type="pct" w:w="13%"/>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CASH HUNT</w:t>
            </w:r>
          </w:p>
        </w:tc>
        <w:tc>
          <w:tcPr>
            <w:tcW w:type="pct" w:w="32%"/>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10, 1, 2, PACHINKO</w:t>
            </w:r>
          </w:p>
        </w:tc>
        <w:tc>
          <w:tcPr>
            <w:tcW w:type="pct" w:w="5%"/>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1</w:t>
            </w:r>
          </w:p>
        </w:tc>
        <w:tc>
          <w:tcPr>
            <w:tcW w:type="pct" w:w="7%"/>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70</w:t>
            </w:r>
          </w:p>
        </w:tc>
        <w:tc>
          <w:tcPr>
            <w:tcW w:type="pct" w:w="13%"/>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PACHINKO</w:t>
            </w:r>
          </w:p>
        </w:tc>
        <w:tc>
          <w:tcPr>
            <w:tcW w:type="pct" w:w="22%"/>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Structural (bonus uncovered)</w:t>
            </w:r>
          </w:p>
        </w:tc>
      </w:tr>
      <w:tr>
        <w:trPr>
          <w:cantSplit/>
        </w:trPr>
        <w:tc>
          <w:tcPr>
            <w:tcW w:type="pct" w:w="8%"/>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30</w:t>
            </w:r>
          </w:p>
        </w:tc>
        <w:tc>
          <w:tcPr>
            <w:tcW w:type="pct" w:w="13%"/>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CRAZY TIME</w:t>
            </w:r>
          </w:p>
        </w:tc>
        <w:tc>
          <w:tcPr>
            <w:tcW w:type="pct" w:w="32%"/>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CASH HUNT, 10, 1, 2</w:t>
            </w:r>
          </w:p>
        </w:tc>
        <w:tc>
          <w:tcPr>
            <w:tcW w:type="pct" w:w="5%"/>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1</w:t>
            </w:r>
          </w:p>
        </w:tc>
        <w:tc>
          <w:tcPr>
            <w:tcW w:type="pct" w:w="7%"/>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70</w:t>
            </w:r>
          </w:p>
        </w:tc>
        <w:tc>
          <w:tcPr>
            <w:tcW w:type="pct" w:w="13%"/>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w:t>
            </w:r>
          </w:p>
        </w:tc>
        <w:tc>
          <w:tcPr>
            <w:tcW w:type="pct" w:w="22%"/>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Structural (bonus uncovered)</w:t>
            </w:r>
          </w:p>
        </w:tc>
      </w:tr>
      <w:tr>
        <w:trPr>
          <w:cantSplit/>
        </w:trPr>
        <w:tc>
          <w:tcPr>
            <w:tcW w:type="pct" w:w="8%"/>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32</w:t>
            </w:r>
          </w:p>
        </w:tc>
        <w:tc>
          <w:tcPr>
            <w:tcW w:type="pct" w:w="13%"/>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2</w:t>
            </w:r>
          </w:p>
        </w:tc>
        <w:tc>
          <w:tcPr>
            <w:tcW w:type="pct" w:w="32%"/>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CASH HUNT, CRAZY TIME, 1, 10</w:t>
            </w:r>
          </w:p>
        </w:tc>
        <w:tc>
          <w:tcPr>
            <w:tcW w:type="pct" w:w="5%"/>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2</w:t>
            </w:r>
          </w:p>
        </w:tc>
        <w:tc>
          <w:tcPr>
            <w:tcW w:type="pct" w:w="7%"/>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68</w:t>
            </w:r>
          </w:p>
        </w:tc>
        <w:tc>
          <w:tcPr>
            <w:tcW w:type="pct" w:w="13%"/>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CRAZY TIME</w:t>
            </w:r>
          </w:p>
        </w:tc>
        <w:tc>
          <w:tcPr>
            <w:tcW w:type="pct" w:w="22%"/>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Avoidable (baseline lock)</w:t>
            </w:r>
          </w:p>
        </w:tc>
      </w:tr>
      <w:tr>
        <w:trPr>
          <w:cantSplit/>
        </w:trPr>
        <w:tc>
          <w:tcPr>
            <w:tcW w:type="pct" w:w="8%"/>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38</w:t>
            </w:r>
          </w:p>
        </w:tc>
        <w:tc>
          <w:tcPr>
            <w:tcW w:type="pct" w:w="13%"/>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5</w:t>
            </w:r>
          </w:p>
        </w:tc>
        <w:tc>
          <w:tcPr>
            <w:tcW w:type="pct" w:w="32%"/>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CRAZY TIME, CASH HUNT, 2, 1</w:t>
            </w:r>
          </w:p>
        </w:tc>
        <w:tc>
          <w:tcPr>
            <w:tcW w:type="pct" w:w="5%"/>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2</w:t>
            </w:r>
          </w:p>
        </w:tc>
        <w:tc>
          <w:tcPr>
            <w:tcW w:type="pct" w:w="7%"/>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70</w:t>
            </w:r>
          </w:p>
        </w:tc>
        <w:tc>
          <w:tcPr>
            <w:tcW w:type="pct" w:w="13%"/>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CRAZY TIME</w:t>
            </w:r>
          </w:p>
        </w:tc>
        <w:tc>
          <w:tcPr>
            <w:tcW w:type="pct" w:w="22%"/>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Avoidable (baseline lock)</w:t>
            </w:r>
          </w:p>
        </w:tc>
      </w:tr>
      <w:tr>
        <w:trPr>
          <w:cantSplit/>
        </w:trPr>
        <w:tc>
          <w:tcPr>
            <w:tcW w:type="pct" w:w="8%"/>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42</w:t>
            </w:r>
          </w:p>
        </w:tc>
        <w:tc>
          <w:tcPr>
            <w:tcW w:type="pct" w:w="13%"/>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CASH HUNT</w:t>
            </w:r>
          </w:p>
        </w:tc>
        <w:tc>
          <w:tcPr>
            <w:tcW w:type="pct" w:w="32%"/>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CRAZY TIME, 2, 1, 5</w:t>
            </w:r>
          </w:p>
        </w:tc>
        <w:tc>
          <w:tcPr>
            <w:tcW w:type="pct" w:w="5%"/>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1</w:t>
            </w:r>
          </w:p>
        </w:tc>
        <w:tc>
          <w:tcPr>
            <w:tcW w:type="pct" w:w="7%"/>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70</w:t>
            </w:r>
          </w:p>
        </w:tc>
        <w:tc>
          <w:tcPr>
            <w:tcW w:type="pct" w:w="13%"/>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CRAZY TIME</w:t>
            </w:r>
          </w:p>
        </w:tc>
        <w:tc>
          <w:tcPr>
            <w:tcW w:type="pct" w:w="22%"/>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Structural (bonus uncovered)</w:t>
            </w:r>
          </w:p>
        </w:tc>
      </w:tr>
      <w:tr>
        <w:trPr>
          <w:cantSplit/>
        </w:trPr>
        <w:tc>
          <w:tcPr>
            <w:tcW w:type="pct" w:w="8%"/>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44</w:t>
            </w:r>
          </w:p>
        </w:tc>
        <w:tc>
          <w:tcPr>
            <w:tcW w:type="pct" w:w="13%"/>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10</w:t>
            </w:r>
          </w:p>
        </w:tc>
        <w:tc>
          <w:tcPr>
            <w:tcW w:type="pct" w:w="32%"/>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CASH HUNT, 2, 1, 5</w:t>
            </w:r>
          </w:p>
        </w:tc>
        <w:tc>
          <w:tcPr>
            <w:tcW w:type="pct" w:w="5%"/>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1</w:t>
            </w:r>
          </w:p>
        </w:tc>
        <w:tc>
          <w:tcPr>
            <w:tcW w:type="pct" w:w="7%"/>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70</w:t>
            </w:r>
          </w:p>
        </w:tc>
        <w:tc>
          <w:tcPr>
            <w:tcW w:type="pct" w:w="13%"/>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CASH HUNT</w:t>
            </w:r>
          </w:p>
        </w:tc>
        <w:tc>
          <w:tcPr>
            <w:tcW w:type="pct" w:w="22%"/>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Avoidable (baseline lock)</w:t>
            </w:r>
          </w:p>
        </w:tc>
      </w:tr>
      <w:tr>
        <w:trPr>
          <w:cantSplit/>
        </w:trPr>
        <w:tc>
          <w:tcPr>
            <w:tcW w:type="pct" w:w="8%"/>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45</w:t>
            </w:r>
          </w:p>
        </w:tc>
        <w:tc>
          <w:tcPr>
            <w:tcW w:type="pct" w:w="13%"/>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COIN FLIP</w:t>
            </w:r>
          </w:p>
        </w:tc>
        <w:tc>
          <w:tcPr>
            <w:tcW w:type="pct" w:w="32%"/>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CASH HUNT, 2, 1, 5</w:t>
            </w:r>
          </w:p>
        </w:tc>
        <w:tc>
          <w:tcPr>
            <w:tcW w:type="pct" w:w="5%"/>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1</w:t>
            </w:r>
          </w:p>
        </w:tc>
        <w:tc>
          <w:tcPr>
            <w:tcW w:type="pct" w:w="7%"/>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58</w:t>
            </w:r>
          </w:p>
        </w:tc>
        <w:tc>
          <w:tcPr>
            <w:tcW w:type="pct" w:w="13%"/>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CASH HUNT</w:t>
            </w:r>
          </w:p>
        </w:tc>
        <w:tc>
          <w:tcPr>
            <w:tcW w:type="pct" w:w="22%"/>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Structural (bonus uncovered)</w:t>
            </w:r>
          </w:p>
        </w:tc>
      </w:tr>
      <w:tr>
        <w:trPr>
          <w:cantSplit/>
        </w:trPr>
        <w:tc>
          <w:tcPr>
            <w:tcW w:type="pct" w:w="8%"/>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50</w:t>
            </w:r>
          </w:p>
        </w:tc>
        <w:tc>
          <w:tcPr>
            <w:tcW w:type="pct" w:w="13%"/>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CRAZY TIME</w:t>
            </w:r>
          </w:p>
        </w:tc>
        <w:tc>
          <w:tcPr>
            <w:tcW w:type="pct" w:w="32%"/>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COIN FLIP, CASH HUNT, 2, PACHINKO</w:t>
            </w:r>
          </w:p>
        </w:tc>
        <w:tc>
          <w:tcPr>
            <w:tcW w:type="pct" w:w="5%"/>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3</w:t>
            </w:r>
          </w:p>
        </w:tc>
        <w:tc>
          <w:tcPr>
            <w:tcW w:type="pct" w:w="7%"/>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70</w:t>
            </w:r>
          </w:p>
        </w:tc>
        <w:tc>
          <w:tcPr>
            <w:tcW w:type="pct" w:w="13%"/>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w:t>
            </w:r>
          </w:p>
        </w:tc>
        <w:tc>
          <w:tcPr>
            <w:tcW w:type="pct" w:w="22%"/>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Structural (bonus uncovered)</w:t>
            </w:r>
          </w:p>
        </w:tc>
      </w:tr>
      <w:tr>
        <w:trPr>
          <w:cantSplit/>
        </w:trPr>
        <w:tc>
          <w:tcPr>
            <w:tcW w:type="pct" w:w="8%"/>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51</w:t>
            </w:r>
          </w:p>
        </w:tc>
        <w:tc>
          <w:tcPr>
            <w:tcW w:type="pct" w:w="13%"/>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1</w:t>
            </w:r>
          </w:p>
        </w:tc>
        <w:tc>
          <w:tcPr>
            <w:tcW w:type="pct" w:w="32%"/>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COIN FLIP, CASH HUNT, CRAZY TIME, 2</w:t>
            </w:r>
          </w:p>
        </w:tc>
        <w:tc>
          <w:tcPr>
            <w:tcW w:type="pct" w:w="5%"/>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3</w:t>
            </w:r>
          </w:p>
        </w:tc>
        <w:tc>
          <w:tcPr>
            <w:tcW w:type="pct" w:w="7%"/>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62</w:t>
            </w:r>
          </w:p>
        </w:tc>
        <w:tc>
          <w:tcPr>
            <w:tcW w:type="pct" w:w="13%"/>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CRAZY TIME</w:t>
            </w:r>
          </w:p>
        </w:tc>
        <w:tc>
          <w:tcPr>
            <w:tcW w:type="pct" w:w="22%"/>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Avoidable (baseline lock)</w:t>
            </w:r>
          </w:p>
        </w:tc>
      </w:tr>
      <w:tr>
        <w:trPr>
          <w:cantSplit/>
        </w:trPr>
        <w:tc>
          <w:tcPr>
            <w:tcW w:type="pct" w:w="8%"/>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52</w:t>
            </w:r>
          </w:p>
        </w:tc>
        <w:tc>
          <w:tcPr>
            <w:tcW w:type="pct" w:w="13%"/>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1</w:t>
            </w:r>
          </w:p>
        </w:tc>
        <w:tc>
          <w:tcPr>
            <w:tcW w:type="pct" w:w="32%"/>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COIN FLIP, CASH HUNT, CRAZY TIME, 2</w:t>
            </w:r>
          </w:p>
        </w:tc>
        <w:tc>
          <w:tcPr>
            <w:tcW w:type="pct" w:w="5%"/>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3</w:t>
            </w:r>
          </w:p>
        </w:tc>
        <w:tc>
          <w:tcPr>
            <w:tcW w:type="pct" w:w="7%"/>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57</w:t>
            </w:r>
          </w:p>
        </w:tc>
        <w:tc>
          <w:tcPr>
            <w:tcW w:type="pct" w:w="13%"/>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CRAZY TIME</w:t>
            </w:r>
          </w:p>
        </w:tc>
        <w:tc>
          <w:tcPr>
            <w:tcW w:type="pct" w:w="22%"/>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Avoidable (baseline lock)</w:t>
            </w:r>
          </w:p>
        </w:tc>
      </w:tr>
      <w:tr>
        <w:trPr>
          <w:cantSplit/>
        </w:trPr>
        <w:tc>
          <w:tcPr>
            <w:tcW w:type="pct" w:w="8%"/>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53</w:t>
            </w:r>
          </w:p>
        </w:tc>
        <w:tc>
          <w:tcPr>
            <w:tcW w:type="pct" w:w="13%"/>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5</w:t>
            </w:r>
          </w:p>
        </w:tc>
        <w:tc>
          <w:tcPr>
            <w:tcW w:type="pct" w:w="32%"/>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CRAZY TIME, CASH HUNT, 2, 1</w:t>
            </w:r>
          </w:p>
        </w:tc>
        <w:tc>
          <w:tcPr>
            <w:tcW w:type="pct" w:w="5%"/>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2</w:t>
            </w:r>
          </w:p>
        </w:tc>
        <w:tc>
          <w:tcPr>
            <w:tcW w:type="pct" w:w="7%"/>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55</w:t>
            </w:r>
          </w:p>
        </w:tc>
        <w:tc>
          <w:tcPr>
            <w:tcW w:type="pct" w:w="13%"/>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CRAZY TIME</w:t>
            </w:r>
          </w:p>
        </w:tc>
        <w:tc>
          <w:tcPr>
            <w:tcW w:type="pct" w:w="22%"/>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Avoidable (baseline lock)</w:t>
            </w:r>
          </w:p>
        </w:tc>
      </w:tr>
      <w:tr>
        <w:trPr>
          <w:cantSplit/>
        </w:trPr>
        <w:tc>
          <w:tcPr>
            <w:tcW w:type="pct" w:w="8%"/>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54</w:t>
            </w:r>
          </w:p>
        </w:tc>
        <w:tc>
          <w:tcPr>
            <w:tcW w:type="pct" w:w="13%"/>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1</w:t>
            </w:r>
          </w:p>
        </w:tc>
        <w:tc>
          <w:tcPr>
            <w:tcW w:type="pct" w:w="32%"/>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CRAZY TIME, CASH HUNT, 2, 5</w:t>
            </w:r>
          </w:p>
        </w:tc>
        <w:tc>
          <w:tcPr>
            <w:tcW w:type="pct" w:w="5%"/>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2</w:t>
            </w:r>
          </w:p>
        </w:tc>
        <w:tc>
          <w:tcPr>
            <w:tcW w:type="pct" w:w="7%"/>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46</w:t>
            </w:r>
          </w:p>
        </w:tc>
        <w:tc>
          <w:tcPr>
            <w:tcW w:type="pct" w:w="13%"/>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CRAZY TIME</w:t>
            </w:r>
          </w:p>
        </w:tc>
        <w:tc>
          <w:tcPr>
            <w:tcW w:type="pct" w:w="22%"/>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Avoidable (baseline lock)</w:t>
            </w:r>
          </w:p>
        </w:tc>
      </w:tr>
      <w:tr>
        <w:trPr>
          <w:cantSplit/>
        </w:trPr>
        <w:tc>
          <w:tcPr>
            <w:tcW w:type="pct" w:w="8%"/>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55</w:t>
            </w:r>
          </w:p>
        </w:tc>
        <w:tc>
          <w:tcPr>
            <w:tcW w:type="pct" w:w="13%"/>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COIN FLIP</w:t>
            </w:r>
          </w:p>
        </w:tc>
        <w:tc>
          <w:tcPr>
            <w:tcW w:type="pct" w:w="32%"/>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CRAZY TIME, 1, 2, CASH HUNT</w:t>
            </w:r>
          </w:p>
        </w:tc>
        <w:tc>
          <w:tcPr>
            <w:tcW w:type="pct" w:w="5%"/>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2</w:t>
            </w:r>
          </w:p>
        </w:tc>
        <w:tc>
          <w:tcPr>
            <w:tcW w:type="pct" w:w="7%"/>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39</w:t>
            </w:r>
          </w:p>
        </w:tc>
        <w:tc>
          <w:tcPr>
            <w:tcW w:type="pct" w:w="13%"/>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CRAZY TIME</w:t>
            </w:r>
          </w:p>
        </w:tc>
        <w:tc>
          <w:tcPr>
            <w:tcW w:type="pct" w:w="22%"/>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Structural (bonus uncovered)</w:t>
            </w:r>
          </w:p>
        </w:tc>
      </w:tr>
      <w:tr>
        <w:trPr>
          <w:cantSplit/>
        </w:trPr>
        <w:tc>
          <w:tcPr>
            <w:tcW w:type="pct" w:w="8%"/>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57</w:t>
            </w:r>
          </w:p>
        </w:tc>
        <w:tc>
          <w:tcPr>
            <w:tcW w:type="pct" w:w="13%"/>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COIN FLIP</w:t>
            </w:r>
          </w:p>
        </w:tc>
        <w:tc>
          <w:tcPr>
            <w:tcW w:type="pct" w:w="32%"/>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CRAZY TIME, 1, 2, CASH HUNT</w:t>
            </w:r>
          </w:p>
        </w:tc>
        <w:tc>
          <w:tcPr>
            <w:tcW w:type="pct" w:w="5%"/>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2</w:t>
            </w:r>
          </w:p>
        </w:tc>
        <w:tc>
          <w:tcPr>
            <w:tcW w:type="pct" w:w="7%"/>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53</w:t>
            </w:r>
          </w:p>
        </w:tc>
        <w:tc>
          <w:tcPr>
            <w:tcW w:type="pct" w:w="13%"/>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CRAZY TIME</w:t>
            </w:r>
          </w:p>
        </w:tc>
        <w:tc>
          <w:tcPr>
            <w:tcW w:type="pct" w:w="22%"/>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Structural (bonus uncovered)</w:t>
            </w:r>
          </w:p>
        </w:tc>
      </w:tr>
      <w:tr>
        <w:trPr>
          <w:cantSplit/>
        </w:trPr>
        <w:tc>
          <w:tcPr>
            <w:tcW w:type="pct" w:w="8%"/>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58</w:t>
            </w:r>
          </w:p>
        </w:tc>
        <w:tc>
          <w:tcPr>
            <w:tcW w:type="pct" w:w="13%"/>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2</w:t>
            </w:r>
          </w:p>
        </w:tc>
        <w:tc>
          <w:tcPr>
            <w:tcW w:type="pct" w:w="32%"/>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COIN FLIP, 5, CRAZY TIME, 1</w:t>
            </w:r>
          </w:p>
        </w:tc>
        <w:tc>
          <w:tcPr>
            <w:tcW w:type="pct" w:w="5%"/>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2</w:t>
            </w:r>
          </w:p>
        </w:tc>
        <w:tc>
          <w:tcPr>
            <w:tcW w:type="pct" w:w="7%"/>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39</w:t>
            </w:r>
          </w:p>
        </w:tc>
        <w:tc>
          <w:tcPr>
            <w:tcW w:type="pct" w:w="13%"/>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CRAZY TIME</w:t>
            </w:r>
          </w:p>
        </w:tc>
        <w:tc>
          <w:tcPr>
            <w:tcW w:type="pct" w:w="22%"/>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Avoidable (baseline lock)</w:t>
            </w:r>
          </w:p>
        </w:tc>
      </w:tr>
      <w:tr>
        <w:trPr>
          <w:cantSplit/>
        </w:trPr>
        <w:tc>
          <w:tcPr>
            <w:tcW w:type="pct" w:w="8%"/>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60</w:t>
            </w:r>
          </w:p>
        </w:tc>
        <w:tc>
          <w:tcPr>
            <w:tcW w:type="pct" w:w="13%"/>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2</w:t>
            </w:r>
          </w:p>
        </w:tc>
        <w:tc>
          <w:tcPr>
            <w:tcW w:type="pct" w:w="32%"/>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COIN FLIP, 5, CRAZY TIME, 1</w:t>
            </w:r>
          </w:p>
        </w:tc>
        <w:tc>
          <w:tcPr>
            <w:tcW w:type="pct" w:w="5%"/>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2</w:t>
            </w:r>
          </w:p>
        </w:tc>
        <w:tc>
          <w:tcPr>
            <w:tcW w:type="pct" w:w="7%"/>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54</w:t>
            </w:r>
          </w:p>
        </w:tc>
        <w:tc>
          <w:tcPr>
            <w:tcW w:type="pct" w:w="13%"/>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CRAZY TIME</w:t>
            </w:r>
          </w:p>
        </w:tc>
        <w:tc>
          <w:tcPr>
            <w:tcW w:type="pct" w:w="22%"/>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Avoidable (baseline lock)</w:t>
            </w:r>
          </w:p>
        </w:tc>
      </w:tr>
      <w:tr>
        <w:trPr>
          <w:cantSplit/>
        </w:trPr>
        <w:tc>
          <w:tcPr>
            <w:tcW w:type="pct" w:w="8%"/>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63</w:t>
            </w:r>
          </w:p>
        </w:tc>
        <w:tc>
          <w:tcPr>
            <w:tcW w:type="pct" w:w="13%"/>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10</w:t>
            </w:r>
          </w:p>
        </w:tc>
        <w:tc>
          <w:tcPr>
            <w:tcW w:type="pct" w:w="32%"/>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CRAZY TIME, 1, 2, COIN FLIP</w:t>
            </w:r>
          </w:p>
        </w:tc>
        <w:tc>
          <w:tcPr>
            <w:tcW w:type="pct" w:w="5%"/>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2</w:t>
            </w:r>
          </w:p>
        </w:tc>
        <w:tc>
          <w:tcPr>
            <w:tcW w:type="pct" w:w="7%"/>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65</w:t>
            </w:r>
          </w:p>
        </w:tc>
        <w:tc>
          <w:tcPr>
            <w:tcW w:type="pct" w:w="13%"/>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CRAZY TIME</w:t>
            </w:r>
          </w:p>
        </w:tc>
        <w:tc>
          <w:tcPr>
            <w:tcW w:type="pct" w:w="22%"/>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Avoidable (baseline lock)</w:t>
            </w:r>
          </w:p>
        </w:tc>
      </w:tr>
      <w:tr>
        <w:trPr>
          <w:cantSplit/>
        </w:trPr>
        <w:tc>
          <w:tcPr>
            <w:tcW w:type="pct" w:w="8%"/>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69</w:t>
            </w:r>
          </w:p>
        </w:tc>
        <w:tc>
          <w:tcPr>
            <w:tcW w:type="pct" w:w="13%"/>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CASH HUNT</w:t>
            </w:r>
          </w:p>
        </w:tc>
        <w:tc>
          <w:tcPr>
            <w:tcW w:type="pct" w:w="32%"/>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10, 1, COIN FLIP, 2</w:t>
            </w:r>
          </w:p>
        </w:tc>
        <w:tc>
          <w:tcPr>
            <w:tcW w:type="pct" w:w="5%"/>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1</w:t>
            </w:r>
          </w:p>
        </w:tc>
        <w:tc>
          <w:tcPr>
            <w:tcW w:type="pct" w:w="7%"/>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72</w:t>
            </w:r>
          </w:p>
        </w:tc>
        <w:tc>
          <w:tcPr>
            <w:tcW w:type="pct" w:w="13%"/>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w:t>
            </w:r>
          </w:p>
        </w:tc>
        <w:tc>
          <w:tcPr>
            <w:tcW w:type="pct" w:w="22%"/>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Structural (bonus uncovered)</w:t>
            </w:r>
          </w:p>
        </w:tc>
      </w:tr>
      <w:tr>
        <w:trPr>
          <w:cantSplit/>
        </w:trPr>
        <w:tc>
          <w:tcPr>
            <w:tcW w:type="pct" w:w="8%"/>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70</w:t>
            </w:r>
          </w:p>
        </w:tc>
        <w:tc>
          <w:tcPr>
            <w:tcW w:type="pct" w:w="13%"/>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COIN FLIP</w:t>
            </w:r>
          </w:p>
        </w:tc>
        <w:tc>
          <w:tcPr>
            <w:tcW w:type="pct" w:w="32%"/>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10, 1, CASH HUNT, PACHINKO</w:t>
            </w:r>
          </w:p>
        </w:tc>
        <w:tc>
          <w:tcPr>
            <w:tcW w:type="pct" w:w="5%"/>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2</w:t>
            </w:r>
          </w:p>
        </w:tc>
        <w:tc>
          <w:tcPr>
            <w:tcW w:type="pct" w:w="7%"/>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57</w:t>
            </w:r>
          </w:p>
        </w:tc>
        <w:tc>
          <w:tcPr>
            <w:tcW w:type="pct" w:w="13%"/>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CASH HUNT</w:t>
            </w:r>
          </w:p>
        </w:tc>
        <w:tc>
          <w:tcPr>
            <w:tcW w:type="pct" w:w="22%"/>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Structural (bonus uncovered)</w:t>
            </w:r>
          </w:p>
        </w:tc>
      </w:tr>
      <w:tr>
        <w:trPr>
          <w:cantSplit/>
        </w:trPr>
        <w:tc>
          <w:tcPr>
            <w:tcW w:type="pct" w:w="8%"/>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71</w:t>
            </w:r>
          </w:p>
        </w:tc>
        <w:tc>
          <w:tcPr>
            <w:tcW w:type="pct" w:w="13%"/>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2</w:t>
            </w:r>
          </w:p>
        </w:tc>
        <w:tc>
          <w:tcPr>
            <w:tcW w:type="pct" w:w="32%"/>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1, 10, CASH HUNT, COIN FLIP</w:t>
            </w:r>
          </w:p>
        </w:tc>
        <w:tc>
          <w:tcPr>
            <w:tcW w:type="pct" w:w="5%"/>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2</w:t>
            </w:r>
          </w:p>
        </w:tc>
        <w:tc>
          <w:tcPr>
            <w:tcW w:type="pct" w:w="7%"/>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52</w:t>
            </w:r>
          </w:p>
        </w:tc>
        <w:tc>
          <w:tcPr>
            <w:tcW w:type="pct" w:w="13%"/>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CASH HUNT</w:t>
            </w:r>
          </w:p>
        </w:tc>
        <w:tc>
          <w:tcPr>
            <w:tcW w:type="pct" w:w="22%"/>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Avoidable (baseline lock)</w:t>
            </w:r>
          </w:p>
        </w:tc>
      </w:tr>
      <w:tr>
        <w:trPr>
          <w:cantSplit/>
        </w:trPr>
        <w:tc>
          <w:tcPr>
            <w:tcW w:type="pct" w:w="8%"/>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72</w:t>
            </w:r>
          </w:p>
        </w:tc>
        <w:tc>
          <w:tcPr>
            <w:tcW w:type="pct" w:w="13%"/>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5</w:t>
            </w:r>
          </w:p>
        </w:tc>
        <w:tc>
          <w:tcPr>
            <w:tcW w:type="pct" w:w="32%"/>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1, 10, CASH HUNT, COIN FLIP</w:t>
            </w:r>
          </w:p>
        </w:tc>
        <w:tc>
          <w:tcPr>
            <w:tcW w:type="pct" w:w="5%"/>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2</w:t>
            </w:r>
          </w:p>
        </w:tc>
        <w:tc>
          <w:tcPr>
            <w:tcW w:type="pct" w:w="7%"/>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46</w:t>
            </w:r>
          </w:p>
        </w:tc>
        <w:tc>
          <w:tcPr>
            <w:tcW w:type="pct" w:w="13%"/>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CASH HUNT</w:t>
            </w:r>
          </w:p>
        </w:tc>
        <w:tc>
          <w:tcPr>
            <w:tcW w:type="pct" w:w="22%"/>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Avoidable (baseline lock)</w:t>
            </w:r>
          </w:p>
        </w:tc>
      </w:tr>
      <w:tr>
        <w:trPr>
          <w:cantSplit/>
        </w:trPr>
        <w:tc>
          <w:tcPr>
            <w:tcW w:type="pct" w:w="8%"/>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73</w:t>
            </w:r>
          </w:p>
        </w:tc>
        <w:tc>
          <w:tcPr>
            <w:tcW w:type="pct" w:w="13%"/>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5</w:t>
            </w:r>
          </w:p>
        </w:tc>
        <w:tc>
          <w:tcPr>
            <w:tcW w:type="pct" w:w="32%"/>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COIN FLIP, CASH HUNT, 1, CRAZY TIME</w:t>
            </w:r>
          </w:p>
        </w:tc>
        <w:tc>
          <w:tcPr>
            <w:tcW w:type="pct" w:w="5%"/>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3</w:t>
            </w:r>
          </w:p>
        </w:tc>
        <w:tc>
          <w:tcPr>
            <w:tcW w:type="pct" w:w="7%"/>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43</w:t>
            </w:r>
          </w:p>
        </w:tc>
        <w:tc>
          <w:tcPr>
            <w:tcW w:type="pct" w:w="13%"/>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CRAZY TIME</w:t>
            </w:r>
          </w:p>
        </w:tc>
        <w:tc>
          <w:tcPr>
            <w:tcW w:type="pct" w:w="22%"/>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Avoidable (baseline lock)</w:t>
            </w:r>
          </w:p>
        </w:tc>
      </w:tr>
      <w:tr>
        <w:trPr>
          <w:cantSplit/>
        </w:trPr>
        <w:tc>
          <w:tcPr>
            <w:tcW w:type="pct" w:w="8%"/>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74</w:t>
            </w:r>
          </w:p>
        </w:tc>
        <w:tc>
          <w:tcPr>
            <w:tcW w:type="pct" w:w="13%"/>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2</w:t>
            </w:r>
          </w:p>
        </w:tc>
        <w:tc>
          <w:tcPr>
            <w:tcW w:type="pct" w:w="32%"/>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COIN FLIP, CASH HUNT, 5, 1</w:t>
            </w:r>
          </w:p>
        </w:tc>
        <w:tc>
          <w:tcPr>
            <w:tcW w:type="pct" w:w="5%"/>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2</w:t>
            </w:r>
          </w:p>
        </w:tc>
        <w:tc>
          <w:tcPr>
            <w:tcW w:type="pct" w:w="7%"/>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35</w:t>
            </w:r>
          </w:p>
        </w:tc>
        <w:tc>
          <w:tcPr>
            <w:tcW w:type="pct" w:w="13%"/>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CASH HUNT</w:t>
            </w:r>
          </w:p>
        </w:tc>
        <w:tc>
          <w:tcPr>
            <w:tcW w:type="pct" w:w="22%"/>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Avoidable (baseline lock)</w:t>
            </w:r>
          </w:p>
        </w:tc>
      </w:tr>
      <w:tr>
        <w:trPr>
          <w:cantSplit/>
        </w:trPr>
        <w:tc>
          <w:tcPr>
            <w:tcW w:type="pct" w:w="8%"/>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75</w:t>
            </w:r>
          </w:p>
        </w:tc>
        <w:tc>
          <w:tcPr>
            <w:tcW w:type="pct" w:w="13%"/>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1</w:t>
            </w:r>
          </w:p>
        </w:tc>
        <w:tc>
          <w:tcPr>
            <w:tcW w:type="pct" w:w="32%"/>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COIN FLIP, CASH HUNT, 5, 2</w:t>
            </w:r>
          </w:p>
        </w:tc>
        <w:tc>
          <w:tcPr>
            <w:tcW w:type="pct" w:w="5%"/>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2</w:t>
            </w:r>
          </w:p>
        </w:tc>
        <w:tc>
          <w:tcPr>
            <w:tcW w:type="pct" w:w="7%"/>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35</w:t>
            </w:r>
          </w:p>
        </w:tc>
        <w:tc>
          <w:tcPr>
            <w:tcW w:type="pct" w:w="13%"/>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CASH HUNT</w:t>
            </w:r>
          </w:p>
        </w:tc>
        <w:tc>
          <w:tcPr>
            <w:tcW w:type="pct" w:w="22%"/>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Avoidable (baseline lock)</w:t>
            </w:r>
          </w:p>
        </w:tc>
      </w:tr>
      <w:tr>
        <w:trPr>
          <w:cantSplit/>
        </w:trPr>
        <w:tc>
          <w:tcPr>
            <w:tcW w:type="pct" w:w="8%"/>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76</w:t>
            </w:r>
          </w:p>
        </w:tc>
        <w:tc>
          <w:tcPr>
            <w:tcW w:type="pct" w:w="13%"/>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2</w:t>
            </w:r>
          </w:p>
        </w:tc>
        <w:tc>
          <w:tcPr>
            <w:tcW w:type="pct" w:w="32%"/>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CASH HUNT, 1, 5, COIN FLIP</w:t>
            </w:r>
          </w:p>
        </w:tc>
        <w:tc>
          <w:tcPr>
            <w:tcW w:type="pct" w:w="5%"/>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2</w:t>
            </w:r>
          </w:p>
        </w:tc>
        <w:tc>
          <w:tcPr>
            <w:tcW w:type="pct" w:w="7%"/>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34</w:t>
            </w:r>
          </w:p>
        </w:tc>
        <w:tc>
          <w:tcPr>
            <w:tcW w:type="pct" w:w="13%"/>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CASH HUNT</w:t>
            </w:r>
          </w:p>
        </w:tc>
        <w:tc>
          <w:tcPr>
            <w:tcW w:type="pct" w:w="22%"/>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Avoidable (baseline lock)</w:t>
            </w:r>
          </w:p>
        </w:tc>
      </w:tr>
      <w:tr>
        <w:trPr>
          <w:cantSplit/>
        </w:trPr>
        <w:tc>
          <w:tcPr>
            <w:tcW w:type="pct" w:w="8%"/>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77</w:t>
            </w:r>
          </w:p>
        </w:tc>
        <w:tc>
          <w:tcPr>
            <w:tcW w:type="pct" w:w="13%"/>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10</w:t>
            </w:r>
          </w:p>
        </w:tc>
        <w:tc>
          <w:tcPr>
            <w:tcW w:type="pct" w:w="32%"/>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COIN FLIP, CASH HUNT, 5, 2</w:t>
            </w:r>
          </w:p>
        </w:tc>
        <w:tc>
          <w:tcPr>
            <w:tcW w:type="pct" w:w="5%"/>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2</w:t>
            </w:r>
          </w:p>
        </w:tc>
        <w:tc>
          <w:tcPr>
            <w:tcW w:type="pct" w:w="7%"/>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34</w:t>
            </w:r>
          </w:p>
        </w:tc>
        <w:tc>
          <w:tcPr>
            <w:tcW w:type="pct" w:w="13%"/>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CASH HUNT</w:t>
            </w:r>
          </w:p>
        </w:tc>
        <w:tc>
          <w:tcPr>
            <w:tcW w:type="pct" w:w="22%"/>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Avoidable (baseline lock)</w:t>
            </w:r>
          </w:p>
        </w:tc>
      </w:tr>
      <w:tr>
        <w:trPr>
          <w:cantSplit/>
        </w:trPr>
        <w:tc>
          <w:tcPr>
            <w:tcW w:type="pct" w:w="8%"/>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79</w:t>
            </w:r>
          </w:p>
        </w:tc>
        <w:tc>
          <w:tcPr>
            <w:tcW w:type="pct" w:w="13%"/>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1</w:t>
            </w:r>
          </w:p>
        </w:tc>
        <w:tc>
          <w:tcPr>
            <w:tcW w:type="pct" w:w="32%"/>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2, CASH HUNT, 5, COIN FLIP</w:t>
            </w:r>
          </w:p>
        </w:tc>
        <w:tc>
          <w:tcPr>
            <w:tcW w:type="pct" w:w="5%"/>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2</w:t>
            </w:r>
          </w:p>
        </w:tc>
        <w:tc>
          <w:tcPr>
            <w:tcW w:type="pct" w:w="7%"/>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49</w:t>
            </w:r>
          </w:p>
        </w:tc>
        <w:tc>
          <w:tcPr>
            <w:tcW w:type="pct" w:w="13%"/>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CASH HUNT</w:t>
            </w:r>
          </w:p>
        </w:tc>
        <w:tc>
          <w:tcPr>
            <w:tcW w:type="pct" w:w="22%"/>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Avoidable (baseline lock)</w:t>
            </w:r>
          </w:p>
        </w:tc>
      </w:tr>
      <w:tr>
        <w:trPr>
          <w:cantSplit/>
        </w:trPr>
        <w:tc>
          <w:tcPr>
            <w:tcW w:type="pct" w:w="8%"/>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80</w:t>
            </w:r>
          </w:p>
        </w:tc>
        <w:tc>
          <w:tcPr>
            <w:tcW w:type="pct" w:w="13%"/>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1</w:t>
            </w:r>
          </w:p>
        </w:tc>
        <w:tc>
          <w:tcPr>
            <w:tcW w:type="pct" w:w="32%"/>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2, 5, COIN FLIP, CASH HUNT</w:t>
            </w:r>
          </w:p>
        </w:tc>
        <w:tc>
          <w:tcPr>
            <w:tcW w:type="pct" w:w="5%"/>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2</w:t>
            </w:r>
          </w:p>
        </w:tc>
        <w:tc>
          <w:tcPr>
            <w:tcW w:type="pct" w:w="7%"/>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40</w:t>
            </w:r>
          </w:p>
        </w:tc>
        <w:tc>
          <w:tcPr>
            <w:tcW w:type="pct" w:w="13%"/>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CASH HUNT</w:t>
            </w:r>
          </w:p>
        </w:tc>
        <w:tc>
          <w:tcPr>
            <w:tcW w:type="pct" w:w="22%"/>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Avoidable (baseline lock)</w:t>
            </w:r>
          </w:p>
        </w:tc>
      </w:tr>
      <w:tr>
        <w:trPr>
          <w:cantSplit/>
        </w:trPr>
        <w:tc>
          <w:tcPr>
            <w:tcW w:type="pct" w:w="8%"/>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81</w:t>
            </w:r>
          </w:p>
        </w:tc>
        <w:tc>
          <w:tcPr>
            <w:tcW w:type="pct" w:w="13%"/>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1</w:t>
            </w:r>
          </w:p>
        </w:tc>
        <w:tc>
          <w:tcPr>
            <w:tcW w:type="pct" w:w="32%"/>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2, 5, CASH HUNT, CRAZY TIME</w:t>
            </w:r>
          </w:p>
        </w:tc>
        <w:tc>
          <w:tcPr>
            <w:tcW w:type="pct" w:w="5%"/>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2</w:t>
            </w:r>
          </w:p>
        </w:tc>
        <w:tc>
          <w:tcPr>
            <w:tcW w:type="pct" w:w="7%"/>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40</w:t>
            </w:r>
          </w:p>
        </w:tc>
        <w:tc>
          <w:tcPr>
            <w:tcW w:type="pct" w:w="13%"/>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CRAZY TIME</w:t>
            </w:r>
          </w:p>
        </w:tc>
        <w:tc>
          <w:tcPr>
            <w:tcW w:type="pct" w:w="22%"/>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Avoidable (baseline lock)</w:t>
            </w:r>
          </w:p>
        </w:tc>
      </w:tr>
      <w:tr>
        <w:trPr>
          <w:cantSplit/>
        </w:trPr>
        <w:tc>
          <w:tcPr>
            <w:tcW w:type="pct" w:w="8%"/>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89</w:t>
            </w:r>
          </w:p>
        </w:tc>
        <w:tc>
          <w:tcPr>
            <w:tcW w:type="pct" w:w="13%"/>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COIN FLIP</w:t>
            </w:r>
          </w:p>
        </w:tc>
        <w:tc>
          <w:tcPr>
            <w:tcW w:type="pct" w:w="32%"/>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2, 1, PACHINKO, CRAZY TIME</w:t>
            </w:r>
          </w:p>
        </w:tc>
        <w:tc>
          <w:tcPr>
            <w:tcW w:type="pct" w:w="5%"/>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2</w:t>
            </w:r>
          </w:p>
        </w:tc>
        <w:tc>
          <w:tcPr>
            <w:tcW w:type="pct" w:w="7%"/>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68</w:t>
            </w:r>
          </w:p>
        </w:tc>
        <w:tc>
          <w:tcPr>
            <w:tcW w:type="pct" w:w="13%"/>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CRAZY TIME</w:t>
            </w:r>
          </w:p>
        </w:tc>
        <w:tc>
          <w:tcPr>
            <w:tcW w:type="pct" w:w="22%"/>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Structural (bonus uncovered)</w:t>
            </w:r>
          </w:p>
        </w:tc>
      </w:tr>
      <w:tr>
        <w:trPr>
          <w:cantSplit/>
        </w:trPr>
        <w:tc>
          <w:tcPr>
            <w:tcW w:type="pct" w:w="8%"/>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93</w:t>
            </w:r>
          </w:p>
        </w:tc>
        <w:tc>
          <w:tcPr>
            <w:tcW w:type="pct" w:w="13%"/>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5</w:t>
            </w:r>
          </w:p>
        </w:tc>
        <w:tc>
          <w:tcPr>
            <w:tcW w:type="pct" w:w="32%"/>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1, 2, COIN FLIP, CASH HUNT</w:t>
            </w:r>
          </w:p>
        </w:tc>
        <w:tc>
          <w:tcPr>
            <w:tcW w:type="pct" w:w="5%"/>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2</w:t>
            </w:r>
          </w:p>
        </w:tc>
        <w:tc>
          <w:tcPr>
            <w:tcW w:type="pct" w:w="7%"/>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67</w:t>
            </w:r>
          </w:p>
        </w:tc>
        <w:tc>
          <w:tcPr>
            <w:tcW w:type="pct" w:w="13%"/>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CASH HUNT</w:t>
            </w:r>
          </w:p>
        </w:tc>
        <w:tc>
          <w:tcPr>
            <w:tcW w:type="pct" w:w="22%"/>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Avoidable (baseline lock)</w:t>
            </w:r>
          </w:p>
        </w:tc>
      </w:tr>
      <w:tr>
        <w:trPr>
          <w:cantSplit/>
        </w:trPr>
        <w:tc>
          <w:tcPr>
            <w:tcW w:type="pct" w:w="8%"/>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98</w:t>
            </w:r>
          </w:p>
        </w:tc>
        <w:tc>
          <w:tcPr>
            <w:tcW w:type="pct" w:w="13%"/>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2</w:t>
            </w:r>
          </w:p>
        </w:tc>
        <w:tc>
          <w:tcPr>
            <w:tcW w:type="pct" w:w="32%"/>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PACHINKO, 5, 1, COIN FLIP</w:t>
            </w:r>
          </w:p>
        </w:tc>
        <w:tc>
          <w:tcPr>
            <w:tcW w:type="pct" w:w="5%"/>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2</w:t>
            </w:r>
          </w:p>
        </w:tc>
        <w:tc>
          <w:tcPr>
            <w:tcW w:type="pct" w:w="7%"/>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62</w:t>
            </w:r>
          </w:p>
        </w:tc>
        <w:tc>
          <w:tcPr>
            <w:tcW w:type="pct" w:w="13%"/>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PACHINKO</w:t>
            </w:r>
          </w:p>
        </w:tc>
        <w:tc>
          <w:tcPr>
            <w:tcW w:type="pct" w:w="22%"/>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Avoidable (baseline lock)</w:t>
            </w:r>
          </w:p>
        </w:tc>
      </w:tr>
      <w:tr>
        <w:trPr>
          <w:cantSplit/>
        </w:trPr>
        <w:tc>
          <w:tcPr>
            <w:tcW w:type="pct" w:w="8%"/>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100</w:t>
            </w:r>
          </w:p>
        </w:tc>
        <w:tc>
          <w:tcPr>
            <w:tcW w:type="pct" w:w="13%"/>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10</w:t>
            </w:r>
          </w:p>
        </w:tc>
        <w:tc>
          <w:tcPr>
            <w:tcW w:type="pct" w:w="32%"/>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PACHINKO, 5, 1, CRAZY TIME</w:t>
            </w:r>
          </w:p>
        </w:tc>
        <w:tc>
          <w:tcPr>
            <w:tcW w:type="pct" w:w="5%"/>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2</w:t>
            </w:r>
          </w:p>
        </w:tc>
        <w:tc>
          <w:tcPr>
            <w:tcW w:type="pct" w:w="7%"/>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62</w:t>
            </w:r>
          </w:p>
        </w:tc>
        <w:tc>
          <w:tcPr>
            <w:tcW w:type="pct" w:w="13%"/>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CRAZY TIME</w:t>
            </w:r>
          </w:p>
        </w:tc>
        <w:tc>
          <w:tcPr>
            <w:tcW w:type="pct" w:w="22%"/>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Avoidable (baseline lock)</w:t>
            </w:r>
          </w:p>
        </w:tc>
      </w:tr>
      <w:tr>
        <w:trPr>
          <w:cantSplit/>
        </w:trPr>
        <w:tc>
          <w:tcPr>
            <w:tcW w:type="pct" w:w="8%"/>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101</w:t>
            </w:r>
          </w:p>
        </w:tc>
        <w:tc>
          <w:tcPr>
            <w:tcW w:type="pct" w:w="13%"/>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2</w:t>
            </w:r>
          </w:p>
        </w:tc>
        <w:tc>
          <w:tcPr>
            <w:tcW w:type="pct" w:w="32%"/>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PACHINKO, 1, 5, 10</w:t>
            </w:r>
          </w:p>
        </w:tc>
        <w:tc>
          <w:tcPr>
            <w:tcW w:type="pct" w:w="5%"/>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1</w:t>
            </w:r>
          </w:p>
        </w:tc>
        <w:tc>
          <w:tcPr>
            <w:tcW w:type="pct" w:w="7%"/>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49</w:t>
            </w:r>
          </w:p>
        </w:tc>
        <w:tc>
          <w:tcPr>
            <w:tcW w:type="pct" w:w="13%"/>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PACHINKO</w:t>
            </w:r>
          </w:p>
        </w:tc>
        <w:tc>
          <w:tcPr>
            <w:tcW w:type="pct" w:w="22%"/>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Avoidable (baseline lock)</w:t>
            </w:r>
          </w:p>
        </w:tc>
      </w:tr>
      <w:tr>
        <w:trPr>
          <w:cantSplit/>
        </w:trPr>
        <w:tc>
          <w:tcPr>
            <w:tcW w:type="pct" w:w="8%"/>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107</w:t>
            </w:r>
          </w:p>
        </w:tc>
        <w:tc>
          <w:tcPr>
            <w:tcW w:type="pct" w:w="13%"/>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COIN FLIP</w:t>
            </w:r>
          </w:p>
        </w:tc>
        <w:tc>
          <w:tcPr>
            <w:tcW w:type="pct" w:w="32%"/>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2, 1, 5, 10</w:t>
            </w:r>
          </w:p>
        </w:tc>
        <w:tc>
          <w:tcPr>
            <w:tcW w:type="pct" w:w="5%"/>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0</w:t>
            </w:r>
          </w:p>
        </w:tc>
        <w:tc>
          <w:tcPr>
            <w:tcW w:type="pct" w:w="7%"/>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74</w:t>
            </w:r>
          </w:p>
        </w:tc>
        <w:tc>
          <w:tcPr>
            <w:tcW w:type="pct" w:w="13%"/>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10</w:t>
            </w:r>
          </w:p>
        </w:tc>
        <w:tc>
          <w:tcPr>
            <w:tcW w:type="pct" w:w="22%"/>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Structural (bonus uncovered)</w:t>
            </w:r>
          </w:p>
        </w:tc>
      </w:tr>
      <w:tr>
        <w:trPr>
          <w:cantSplit/>
        </w:trPr>
        <w:tc>
          <w:tcPr>
            <w:tcW w:type="pct" w:w="8%"/>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111</w:t>
            </w:r>
          </w:p>
        </w:tc>
        <w:tc>
          <w:tcPr>
            <w:tcW w:type="pct" w:w="13%"/>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10</w:t>
            </w:r>
          </w:p>
        </w:tc>
        <w:tc>
          <w:tcPr>
            <w:tcW w:type="pct" w:w="32%"/>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5, 2, COIN FLIP, 1</w:t>
            </w:r>
          </w:p>
        </w:tc>
        <w:tc>
          <w:tcPr>
            <w:tcW w:type="pct" w:w="5%"/>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1</w:t>
            </w:r>
          </w:p>
        </w:tc>
        <w:tc>
          <w:tcPr>
            <w:tcW w:type="pct" w:w="7%"/>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68</w:t>
            </w:r>
          </w:p>
        </w:tc>
        <w:tc>
          <w:tcPr>
            <w:tcW w:type="pct" w:w="13%"/>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COIN FLIP</w:t>
            </w:r>
          </w:p>
        </w:tc>
        <w:tc>
          <w:tcPr>
            <w:tcW w:type="pct" w:w="22%"/>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Avoidable (baseline lock)</w:t>
            </w:r>
          </w:p>
        </w:tc>
      </w:tr>
      <w:tr>
        <w:trPr>
          <w:cantSplit/>
        </w:trPr>
        <w:tc>
          <w:tcPr>
            <w:tcW w:type="pct" w:w="8%"/>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121</w:t>
            </w:r>
          </w:p>
        </w:tc>
        <w:tc>
          <w:tcPr>
            <w:tcW w:type="pct" w:w="13%"/>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PACHINKO</w:t>
            </w:r>
          </w:p>
        </w:tc>
        <w:tc>
          <w:tcPr>
            <w:tcW w:type="pct" w:w="32%"/>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10, 1, 5, CASH HUNT</w:t>
            </w:r>
          </w:p>
        </w:tc>
        <w:tc>
          <w:tcPr>
            <w:tcW w:type="pct" w:w="5%"/>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1</w:t>
            </w:r>
          </w:p>
        </w:tc>
        <w:tc>
          <w:tcPr>
            <w:tcW w:type="pct" w:w="7%"/>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71</w:t>
            </w:r>
          </w:p>
        </w:tc>
        <w:tc>
          <w:tcPr>
            <w:tcW w:type="pct" w:w="13%"/>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CASH HUNT</w:t>
            </w:r>
          </w:p>
        </w:tc>
        <w:tc>
          <w:tcPr>
            <w:tcW w:type="pct" w:w="22%"/>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Structural (bonus uncovered)</w:t>
            </w:r>
          </w:p>
        </w:tc>
      </w:tr>
      <w:tr>
        <w:trPr>
          <w:cantSplit/>
        </w:trPr>
        <w:tc>
          <w:tcPr>
            <w:tcW w:type="pct" w:w="8%"/>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122</w:t>
            </w:r>
          </w:p>
        </w:tc>
        <w:tc>
          <w:tcPr>
            <w:tcW w:type="pct" w:w="13%"/>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2</w:t>
            </w:r>
          </w:p>
        </w:tc>
        <w:tc>
          <w:tcPr>
            <w:tcW w:type="pct" w:w="32%"/>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10, PACHINKO, 1, CASH HUNT</w:t>
            </w:r>
          </w:p>
        </w:tc>
        <w:tc>
          <w:tcPr>
            <w:tcW w:type="pct" w:w="5%"/>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2</w:t>
            </w:r>
          </w:p>
        </w:tc>
        <w:tc>
          <w:tcPr>
            <w:tcW w:type="pct" w:w="7%"/>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56</w:t>
            </w:r>
          </w:p>
        </w:tc>
        <w:tc>
          <w:tcPr>
            <w:tcW w:type="pct" w:w="13%"/>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PACHINKO</w:t>
            </w:r>
          </w:p>
        </w:tc>
        <w:tc>
          <w:tcPr>
            <w:tcW w:type="pct" w:w="22%"/>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Avoidable (baseline lock)</w:t>
            </w:r>
          </w:p>
        </w:tc>
      </w:tr>
      <w:tr>
        <w:trPr>
          <w:cantSplit/>
        </w:trPr>
        <w:tc>
          <w:tcPr>
            <w:tcW w:type="pct" w:w="8%"/>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124</w:t>
            </w:r>
          </w:p>
        </w:tc>
        <w:tc>
          <w:tcPr>
            <w:tcW w:type="pct" w:w="13%"/>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2</w:t>
            </w:r>
          </w:p>
        </w:tc>
        <w:tc>
          <w:tcPr>
            <w:tcW w:type="pct" w:w="32%"/>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PACHINKO, 10, 1, CASH HUNT</w:t>
            </w:r>
          </w:p>
        </w:tc>
        <w:tc>
          <w:tcPr>
            <w:tcW w:type="pct" w:w="5%"/>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2</w:t>
            </w:r>
          </w:p>
        </w:tc>
        <w:tc>
          <w:tcPr>
            <w:tcW w:type="pct" w:w="7%"/>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59</w:t>
            </w:r>
          </w:p>
        </w:tc>
        <w:tc>
          <w:tcPr>
            <w:tcW w:type="pct" w:w="13%"/>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PACHINKO</w:t>
            </w:r>
          </w:p>
        </w:tc>
        <w:tc>
          <w:tcPr>
            <w:tcW w:type="pct" w:w="22%"/>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Avoidable (baseline lock)</w:t>
            </w:r>
          </w:p>
        </w:tc>
      </w:tr>
      <w:tr>
        <w:trPr>
          <w:cantSplit/>
        </w:trPr>
        <w:tc>
          <w:tcPr>
            <w:tcW w:type="pct" w:w="8%"/>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125</w:t>
            </w:r>
          </w:p>
        </w:tc>
        <w:tc>
          <w:tcPr>
            <w:tcW w:type="pct" w:w="13%"/>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1</w:t>
            </w:r>
          </w:p>
        </w:tc>
        <w:tc>
          <w:tcPr>
            <w:tcW w:type="pct" w:w="32%"/>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PACHINKO, 10, 2, CASH HUNT</w:t>
            </w:r>
          </w:p>
        </w:tc>
        <w:tc>
          <w:tcPr>
            <w:tcW w:type="pct" w:w="5%"/>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2</w:t>
            </w:r>
          </w:p>
        </w:tc>
        <w:tc>
          <w:tcPr>
            <w:tcW w:type="pct" w:w="7%"/>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45</w:t>
            </w:r>
          </w:p>
        </w:tc>
        <w:tc>
          <w:tcPr>
            <w:tcW w:type="pct" w:w="13%"/>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PACHINKO</w:t>
            </w:r>
          </w:p>
        </w:tc>
        <w:tc>
          <w:tcPr>
            <w:tcW w:type="pct" w:w="22%"/>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Avoidable (baseline lock)</w:t>
            </w:r>
          </w:p>
        </w:tc>
      </w:tr>
      <w:tr>
        <w:trPr>
          <w:cantSplit/>
        </w:trPr>
        <w:tc>
          <w:tcPr>
            <w:tcW w:type="pct" w:w="8%"/>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126</w:t>
            </w:r>
          </w:p>
        </w:tc>
        <w:tc>
          <w:tcPr>
            <w:tcW w:type="pct" w:w="13%"/>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1</w:t>
            </w:r>
          </w:p>
        </w:tc>
        <w:tc>
          <w:tcPr>
            <w:tcW w:type="pct" w:w="32%"/>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PACHINKO, 10, 2, 5</w:t>
            </w:r>
          </w:p>
        </w:tc>
        <w:tc>
          <w:tcPr>
            <w:tcW w:type="pct" w:w="5%"/>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1</w:t>
            </w:r>
          </w:p>
        </w:tc>
        <w:tc>
          <w:tcPr>
            <w:tcW w:type="pct" w:w="7%"/>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38</w:t>
            </w:r>
          </w:p>
        </w:tc>
        <w:tc>
          <w:tcPr>
            <w:tcW w:type="pct" w:w="13%"/>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PACHINKO</w:t>
            </w:r>
          </w:p>
        </w:tc>
        <w:tc>
          <w:tcPr>
            <w:tcW w:type="pct" w:w="22%"/>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Avoidable (baseline lock)</w:t>
            </w:r>
          </w:p>
        </w:tc>
      </w:tr>
      <w:tr>
        <w:trPr>
          <w:cantSplit/>
        </w:trPr>
        <w:tc>
          <w:tcPr>
            <w:tcW w:type="pct" w:w="8%"/>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128</w:t>
            </w:r>
          </w:p>
        </w:tc>
        <w:tc>
          <w:tcPr>
            <w:tcW w:type="pct" w:w="13%"/>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1</w:t>
            </w:r>
          </w:p>
        </w:tc>
        <w:tc>
          <w:tcPr>
            <w:tcW w:type="pct" w:w="32%"/>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PACHINKO, 10, 2, CASH HUNT</w:t>
            </w:r>
          </w:p>
        </w:tc>
        <w:tc>
          <w:tcPr>
            <w:tcW w:type="pct" w:w="5%"/>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2</w:t>
            </w:r>
          </w:p>
        </w:tc>
        <w:tc>
          <w:tcPr>
            <w:tcW w:type="pct" w:w="7%"/>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53</w:t>
            </w:r>
          </w:p>
        </w:tc>
        <w:tc>
          <w:tcPr>
            <w:tcW w:type="pct" w:w="13%"/>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PACHINKO</w:t>
            </w:r>
          </w:p>
        </w:tc>
        <w:tc>
          <w:tcPr>
            <w:tcW w:type="pct" w:w="22%"/>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Avoidable (baseline lock)</w:t>
            </w:r>
          </w:p>
        </w:tc>
      </w:tr>
      <w:tr>
        <w:trPr>
          <w:cantSplit/>
        </w:trPr>
        <w:tc>
          <w:tcPr>
            <w:tcW w:type="pct" w:w="8%"/>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129</w:t>
            </w:r>
          </w:p>
        </w:tc>
        <w:tc>
          <w:tcPr>
            <w:tcW w:type="pct" w:w="13%"/>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PACHINKO</w:t>
            </w:r>
          </w:p>
        </w:tc>
        <w:tc>
          <w:tcPr>
            <w:tcW w:type="pct" w:w="32%"/>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10, 2, 1, 5</w:t>
            </w:r>
          </w:p>
        </w:tc>
        <w:tc>
          <w:tcPr>
            <w:tcW w:type="pct" w:w="5%"/>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0</w:t>
            </w:r>
          </w:p>
        </w:tc>
        <w:tc>
          <w:tcPr>
            <w:tcW w:type="pct" w:w="7%"/>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42</w:t>
            </w:r>
          </w:p>
        </w:tc>
        <w:tc>
          <w:tcPr>
            <w:tcW w:type="pct" w:w="13%"/>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w:t>
            </w:r>
          </w:p>
        </w:tc>
        <w:tc>
          <w:tcPr>
            <w:tcW w:type="pct" w:w="22%"/>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Structural (bonus uncovered)</w:t>
            </w:r>
          </w:p>
        </w:tc>
      </w:tr>
      <w:tr>
        <w:trPr>
          <w:cantSplit/>
        </w:trPr>
        <w:tc>
          <w:tcPr>
            <w:tcW w:type="pct" w:w="8%"/>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131</w:t>
            </w:r>
          </w:p>
        </w:tc>
        <w:tc>
          <w:tcPr>
            <w:tcW w:type="pct" w:w="13%"/>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10</w:t>
            </w:r>
          </w:p>
        </w:tc>
        <w:tc>
          <w:tcPr>
            <w:tcW w:type="pct" w:w="32%"/>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PACHINKO, 2, 1, CASH HUNT</w:t>
            </w:r>
          </w:p>
        </w:tc>
        <w:tc>
          <w:tcPr>
            <w:tcW w:type="pct" w:w="5%"/>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2</w:t>
            </w:r>
          </w:p>
        </w:tc>
        <w:tc>
          <w:tcPr>
            <w:tcW w:type="pct" w:w="7%"/>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52</w:t>
            </w:r>
          </w:p>
        </w:tc>
        <w:tc>
          <w:tcPr>
            <w:tcW w:type="pct" w:w="13%"/>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PACHINKO</w:t>
            </w:r>
          </w:p>
        </w:tc>
        <w:tc>
          <w:tcPr>
            <w:tcW w:type="pct" w:w="22%"/>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Avoidable (baseline lock)</w:t>
            </w:r>
          </w:p>
        </w:tc>
      </w:tr>
      <w:tr>
        <w:trPr>
          <w:cantSplit/>
        </w:trPr>
        <w:tc>
          <w:tcPr>
            <w:tcW w:type="pct" w:w="8%"/>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134</w:t>
            </w:r>
          </w:p>
        </w:tc>
        <w:tc>
          <w:tcPr>
            <w:tcW w:type="pct" w:w="13%"/>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PACHINKO</w:t>
            </w:r>
          </w:p>
        </w:tc>
        <w:tc>
          <w:tcPr>
            <w:tcW w:type="pct" w:w="32%"/>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2, 1, 10, 5</w:t>
            </w:r>
          </w:p>
        </w:tc>
        <w:tc>
          <w:tcPr>
            <w:tcW w:type="pct" w:w="5%"/>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0</w:t>
            </w:r>
          </w:p>
        </w:tc>
        <w:tc>
          <w:tcPr>
            <w:tcW w:type="pct" w:w="7%"/>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63</w:t>
            </w:r>
          </w:p>
        </w:tc>
        <w:tc>
          <w:tcPr>
            <w:tcW w:type="pct" w:w="13%"/>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w:t>
            </w:r>
          </w:p>
        </w:tc>
        <w:tc>
          <w:tcPr>
            <w:tcW w:type="pct" w:w="22%"/>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Structural (bonus uncovered)</w:t>
            </w:r>
          </w:p>
        </w:tc>
      </w:tr>
      <w:tr>
        <w:trPr>
          <w:cantSplit/>
        </w:trPr>
        <w:tc>
          <w:tcPr>
            <w:tcW w:type="pct" w:w="8%"/>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135</w:t>
            </w:r>
          </w:p>
        </w:tc>
        <w:tc>
          <w:tcPr>
            <w:tcW w:type="pct" w:w="13%"/>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COIN FLIP</w:t>
            </w:r>
          </w:p>
        </w:tc>
        <w:tc>
          <w:tcPr>
            <w:tcW w:type="pct" w:w="32%"/>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PACHINKO, 1, 2, 10</w:t>
            </w:r>
          </w:p>
        </w:tc>
        <w:tc>
          <w:tcPr>
            <w:tcW w:type="pct" w:w="5%"/>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1</w:t>
            </w:r>
          </w:p>
        </w:tc>
        <w:tc>
          <w:tcPr>
            <w:tcW w:type="pct" w:w="7%"/>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54</w:t>
            </w:r>
          </w:p>
        </w:tc>
        <w:tc>
          <w:tcPr>
            <w:tcW w:type="pct" w:w="13%"/>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PACHINKO</w:t>
            </w:r>
          </w:p>
        </w:tc>
        <w:tc>
          <w:tcPr>
            <w:tcW w:type="pct" w:w="22%"/>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Structural (bonus uncovered)</w:t>
            </w:r>
          </w:p>
        </w:tc>
      </w:tr>
      <w:tr>
        <w:trPr>
          <w:cantSplit/>
        </w:trPr>
        <w:tc>
          <w:tcPr>
            <w:tcW w:type="pct" w:w="8%"/>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137</w:t>
            </w:r>
          </w:p>
        </w:tc>
        <w:tc>
          <w:tcPr>
            <w:tcW w:type="pct" w:w="13%"/>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1</w:t>
            </w:r>
          </w:p>
        </w:tc>
        <w:tc>
          <w:tcPr>
            <w:tcW w:type="pct" w:w="32%"/>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PACHINKO, 2, COIN FLIP, CASH HUNT</w:t>
            </w:r>
          </w:p>
        </w:tc>
        <w:tc>
          <w:tcPr>
            <w:tcW w:type="pct" w:w="5%"/>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3</w:t>
            </w:r>
          </w:p>
        </w:tc>
        <w:tc>
          <w:tcPr>
            <w:tcW w:type="pct" w:w="7%"/>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57</w:t>
            </w:r>
          </w:p>
        </w:tc>
        <w:tc>
          <w:tcPr>
            <w:tcW w:type="pct" w:w="13%"/>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PACHINKO</w:t>
            </w:r>
          </w:p>
        </w:tc>
        <w:tc>
          <w:tcPr>
            <w:tcW w:type="pct" w:w="22%"/>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Avoidable (baseline lock)</w:t>
            </w:r>
          </w:p>
        </w:tc>
      </w:tr>
      <w:tr>
        <w:trPr>
          <w:cantSplit/>
        </w:trPr>
        <w:tc>
          <w:tcPr>
            <w:tcW w:type="pct" w:w="8%"/>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139</w:t>
            </w:r>
          </w:p>
        </w:tc>
        <w:tc>
          <w:tcPr>
            <w:tcW w:type="pct" w:w="13%"/>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1</w:t>
            </w:r>
          </w:p>
        </w:tc>
        <w:tc>
          <w:tcPr>
            <w:tcW w:type="pct" w:w="32%"/>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PACHINKO, 2, COIN FLIP, CASH HUNT</w:t>
            </w:r>
          </w:p>
        </w:tc>
        <w:tc>
          <w:tcPr>
            <w:tcW w:type="pct" w:w="5%"/>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3</w:t>
            </w:r>
          </w:p>
        </w:tc>
        <w:tc>
          <w:tcPr>
            <w:tcW w:type="pct" w:w="7%"/>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52</w:t>
            </w:r>
          </w:p>
        </w:tc>
        <w:tc>
          <w:tcPr>
            <w:tcW w:type="pct" w:w="13%"/>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PACHINKO</w:t>
            </w:r>
          </w:p>
        </w:tc>
        <w:tc>
          <w:tcPr>
            <w:tcW w:type="pct" w:w="22%"/>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Avoidable (baseline lock)</w:t>
            </w:r>
          </w:p>
        </w:tc>
      </w:tr>
      <w:tr>
        <w:trPr>
          <w:cantSplit/>
        </w:trPr>
        <w:tc>
          <w:tcPr>
            <w:tcW w:type="pct" w:w="8%"/>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142</w:t>
            </w:r>
          </w:p>
        </w:tc>
        <w:tc>
          <w:tcPr>
            <w:tcW w:type="pct" w:w="13%"/>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5</w:t>
            </w:r>
          </w:p>
        </w:tc>
        <w:tc>
          <w:tcPr>
            <w:tcW w:type="pct" w:w="32%"/>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1, PACHINKO, 2, 10</w:t>
            </w:r>
          </w:p>
        </w:tc>
        <w:tc>
          <w:tcPr>
            <w:tcW w:type="pct" w:w="5%"/>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1</w:t>
            </w:r>
          </w:p>
        </w:tc>
        <w:tc>
          <w:tcPr>
            <w:tcW w:type="pct" w:w="7%"/>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62</w:t>
            </w:r>
          </w:p>
        </w:tc>
        <w:tc>
          <w:tcPr>
            <w:tcW w:type="pct" w:w="13%"/>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PACHINKO</w:t>
            </w:r>
          </w:p>
        </w:tc>
        <w:tc>
          <w:tcPr>
            <w:tcW w:type="pct" w:w="22%"/>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Avoidable (baseline lock)</w:t>
            </w:r>
          </w:p>
        </w:tc>
      </w:tr>
      <w:tr>
        <w:trPr>
          <w:cantSplit/>
        </w:trPr>
        <w:tc>
          <w:tcPr>
            <w:tcW w:type="pct" w:w="8%"/>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148</w:t>
            </w:r>
          </w:p>
        </w:tc>
        <w:tc>
          <w:tcPr>
            <w:tcW w:type="pct" w:w="13%"/>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PACHINKO</w:t>
            </w:r>
          </w:p>
        </w:tc>
        <w:tc>
          <w:tcPr>
            <w:tcW w:type="pct" w:w="32%"/>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1, 5, CASH HUNT, CRAZY TIME</w:t>
            </w:r>
          </w:p>
        </w:tc>
        <w:tc>
          <w:tcPr>
            <w:tcW w:type="pct" w:w="5%"/>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2</w:t>
            </w:r>
          </w:p>
        </w:tc>
        <w:tc>
          <w:tcPr>
            <w:tcW w:type="pct" w:w="7%"/>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69</w:t>
            </w:r>
          </w:p>
        </w:tc>
        <w:tc>
          <w:tcPr>
            <w:tcW w:type="pct" w:w="13%"/>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CRAZY TIME</w:t>
            </w:r>
          </w:p>
        </w:tc>
        <w:tc>
          <w:tcPr>
            <w:tcW w:type="pct" w:w="22%"/>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Structural (bonus uncovered)</w:t>
            </w:r>
          </w:p>
        </w:tc>
      </w:tr>
      <w:tr>
        <w:trPr>
          <w:cantSplit/>
        </w:trPr>
        <w:tc>
          <w:tcPr>
            <w:tcW w:type="pct" w:w="8%"/>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150</w:t>
            </w:r>
          </w:p>
        </w:tc>
        <w:tc>
          <w:tcPr>
            <w:tcW w:type="pct" w:w="13%"/>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2</w:t>
            </w:r>
          </w:p>
        </w:tc>
        <w:tc>
          <w:tcPr>
            <w:tcW w:type="pct" w:w="32%"/>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5, 1, CASH HUNT, CRAZY TIME</w:t>
            </w:r>
          </w:p>
        </w:tc>
        <w:tc>
          <w:tcPr>
            <w:tcW w:type="pct" w:w="5%"/>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2</w:t>
            </w:r>
          </w:p>
        </w:tc>
        <w:tc>
          <w:tcPr>
            <w:tcW w:type="pct" w:w="7%"/>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62</w:t>
            </w:r>
          </w:p>
        </w:tc>
        <w:tc>
          <w:tcPr>
            <w:tcW w:type="pct" w:w="13%"/>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CRAZY TIME</w:t>
            </w:r>
          </w:p>
        </w:tc>
        <w:tc>
          <w:tcPr>
            <w:tcW w:type="pct" w:w="22%"/>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Avoidable (baseline lock)</w:t>
            </w:r>
          </w:p>
        </w:tc>
      </w:tr>
      <w:tr>
        <w:trPr>
          <w:cantSplit/>
        </w:trPr>
        <w:tc>
          <w:tcPr>
            <w:tcW w:type="pct" w:w="8%"/>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156</w:t>
            </w:r>
          </w:p>
        </w:tc>
        <w:tc>
          <w:tcPr>
            <w:tcW w:type="pct" w:w="13%"/>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2</w:t>
            </w:r>
          </w:p>
        </w:tc>
        <w:tc>
          <w:tcPr>
            <w:tcW w:type="pct" w:w="32%"/>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CASH HUNT, 5, 1, CRAZY TIME</w:t>
            </w:r>
          </w:p>
        </w:tc>
        <w:tc>
          <w:tcPr>
            <w:tcW w:type="pct" w:w="5%"/>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2</w:t>
            </w:r>
          </w:p>
        </w:tc>
        <w:tc>
          <w:tcPr>
            <w:tcW w:type="pct" w:w="7%"/>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69</w:t>
            </w:r>
          </w:p>
        </w:tc>
        <w:tc>
          <w:tcPr>
            <w:tcW w:type="pct" w:w="13%"/>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CRAZY TIME</w:t>
            </w:r>
          </w:p>
        </w:tc>
        <w:tc>
          <w:tcPr>
            <w:tcW w:type="pct" w:w="22%"/>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Avoidable (baseline lock)</w:t>
            </w:r>
          </w:p>
        </w:tc>
      </w:tr>
      <w:tr>
        <w:trPr>
          <w:cantSplit/>
        </w:trPr>
        <w:tc>
          <w:tcPr>
            <w:tcW w:type="pct" w:w="8%"/>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158</w:t>
            </w:r>
          </w:p>
        </w:tc>
        <w:tc>
          <w:tcPr>
            <w:tcW w:type="pct" w:w="13%"/>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10</w:t>
            </w:r>
          </w:p>
        </w:tc>
        <w:tc>
          <w:tcPr>
            <w:tcW w:type="pct" w:w="32%"/>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CASH HUNT, 2, 1, CRAZY TIME</w:t>
            </w:r>
          </w:p>
        </w:tc>
        <w:tc>
          <w:tcPr>
            <w:tcW w:type="pct" w:w="5%"/>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2</w:t>
            </w:r>
          </w:p>
        </w:tc>
        <w:tc>
          <w:tcPr>
            <w:tcW w:type="pct" w:w="7%"/>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63</w:t>
            </w:r>
          </w:p>
        </w:tc>
        <w:tc>
          <w:tcPr>
            <w:tcW w:type="pct" w:w="13%"/>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CRAZY TIME</w:t>
            </w:r>
          </w:p>
        </w:tc>
        <w:tc>
          <w:tcPr>
            <w:tcW w:type="pct" w:w="22%"/>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Avoidable (baseline lock)</w:t>
            </w:r>
          </w:p>
        </w:tc>
      </w:tr>
      <w:tr>
        <w:trPr>
          <w:cantSplit/>
        </w:trPr>
        <w:tc>
          <w:tcPr>
            <w:tcW w:type="pct" w:w="8%"/>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162</w:t>
            </w:r>
          </w:p>
        </w:tc>
        <w:tc>
          <w:tcPr>
            <w:tcW w:type="pct" w:w="13%"/>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COIN FLIP</w:t>
            </w:r>
          </w:p>
        </w:tc>
        <w:tc>
          <w:tcPr>
            <w:tcW w:type="pct" w:w="32%"/>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CASH HUNT, 10, 1, 2</w:t>
            </w:r>
          </w:p>
        </w:tc>
        <w:tc>
          <w:tcPr>
            <w:tcW w:type="pct" w:w="5%"/>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1</w:t>
            </w:r>
          </w:p>
        </w:tc>
        <w:tc>
          <w:tcPr>
            <w:tcW w:type="pct" w:w="7%"/>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63</w:t>
            </w:r>
          </w:p>
        </w:tc>
        <w:tc>
          <w:tcPr>
            <w:tcW w:type="pct" w:w="13%"/>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CASH HUNT</w:t>
            </w:r>
          </w:p>
        </w:tc>
        <w:tc>
          <w:tcPr>
            <w:tcW w:type="pct" w:w="22%"/>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Structural (bonus uncovered)</w:t>
            </w:r>
          </w:p>
        </w:tc>
      </w:tr>
      <w:tr>
        <w:trPr>
          <w:cantSplit/>
        </w:trPr>
        <w:tc>
          <w:tcPr>
            <w:tcW w:type="pct" w:w="8%"/>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166</w:t>
            </w:r>
          </w:p>
        </w:tc>
        <w:tc>
          <w:tcPr>
            <w:tcW w:type="pct" w:w="13%"/>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CRAZY TIME</w:t>
            </w:r>
          </w:p>
        </w:tc>
        <w:tc>
          <w:tcPr>
            <w:tcW w:type="pct" w:w="32%"/>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1, 2, 10, COIN FLIP</w:t>
            </w:r>
          </w:p>
        </w:tc>
        <w:tc>
          <w:tcPr>
            <w:tcW w:type="pct" w:w="5%"/>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1</w:t>
            </w:r>
          </w:p>
        </w:tc>
        <w:tc>
          <w:tcPr>
            <w:tcW w:type="pct" w:w="7%"/>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68</w:t>
            </w:r>
          </w:p>
        </w:tc>
        <w:tc>
          <w:tcPr>
            <w:tcW w:type="pct" w:w="13%"/>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w:t>
            </w:r>
          </w:p>
        </w:tc>
        <w:tc>
          <w:tcPr>
            <w:tcW w:type="pct" w:w="22%"/>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Structural (bonus uncovered)</w:t>
            </w:r>
          </w:p>
        </w:tc>
      </w:tr>
      <w:tr>
        <w:trPr>
          <w:cantSplit/>
        </w:trPr>
        <w:tc>
          <w:tcPr>
            <w:tcW w:type="pct" w:w="8%"/>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168</w:t>
            </w:r>
          </w:p>
        </w:tc>
        <w:tc>
          <w:tcPr>
            <w:tcW w:type="pct" w:w="13%"/>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5</w:t>
            </w:r>
          </w:p>
        </w:tc>
        <w:tc>
          <w:tcPr>
            <w:tcW w:type="pct" w:w="32%"/>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10, CRAZY TIME, COIN FLIP, 1</w:t>
            </w:r>
          </w:p>
        </w:tc>
        <w:tc>
          <w:tcPr>
            <w:tcW w:type="pct" w:w="5%"/>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2</w:t>
            </w:r>
          </w:p>
        </w:tc>
        <w:tc>
          <w:tcPr>
            <w:tcW w:type="pct" w:w="7%"/>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63</w:t>
            </w:r>
          </w:p>
        </w:tc>
        <w:tc>
          <w:tcPr>
            <w:tcW w:type="pct" w:w="13%"/>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CRAZY TIME</w:t>
            </w:r>
          </w:p>
        </w:tc>
        <w:tc>
          <w:tcPr>
            <w:tcW w:type="pct" w:w="22%"/>
            <w:shd w:fill="EDF3F5" w:val="clear"/>
            <w:tcMar>
              <w:top w:type="dxa" w:w="60"/>
              <w:left w:type="dxa" w:w="120"/>
              <w:bottom w:type="dxa" w:w="60"/>
              <w:right w:type="dxa" w:w="120"/>
            </w:tcMar>
          </w:tcPr>
          <w:p>
            <w:pPr>
              <w:spacing w:line="276"/>
              <w:jc w:val="left"/>
            </w:pPr>
            <w:r>
              <w:rPr>
                <w:rFonts w:ascii="Times New Roman"/>
                <w:b w:val="false"/>
                <w:bCs w:val="false"/>
                <w:color w:val="000000"/>
                <w:sz w:val="16"/>
                <w:szCs w:val="16"/>
              </w:rPr>
              <w:t xml:space="preserve">Avoidable (baseline lock)</w:t>
            </w:r>
          </w:p>
        </w:tc>
      </w:tr>
    </w:tbl>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olor w:val="80808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DE2" w:sz="2" w:space="4"/>
      </w:pBdr>
      <w:jc w:val="right"/>
    </w:pPr>
    <w:r>
      <w:rPr>
        <w:rFonts w:ascii="Times New Roman"/>
        <w:color w:val="808080"/>
        <w:sz w:val="18"/>
        <w:szCs w:val="18"/>
      </w:rPr>
      <w:t xml:space="preserve">Top-4 Coverage Engine — Diagnostic Report (Pre-Code RCA)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color w:val="2E74B5"/>
      <w:sz w:val="32"/>
      <w:szCs w:val="32"/>
    </w:rPr>
  </w:style>
  <w:style w:type="paragraph" w:styleId="Heading2">
    <w:pPr>
      <w:outlineLvl w:val="1"/>
    </w:pPr>
    <w:name w:val="Heading 2"/>
    <w:basedOn w:val="Normal"/>
    <w:next w:val="Normal"/>
    <w:qFormat/>
    <w:rPr>
      <w:color w:val="2E74B5"/>
      <w:sz w:val="26"/>
      <w:szCs w:val="26"/>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image" Target="media/4e72ab8cf7c00a129e17d3a87770a9dceaf46241.png"/><Relationship Id="rId11" Type="http://schemas.openxmlformats.org/officeDocument/2006/relationships/image" Target="media/fb7f1874bc2f00059ec2f4a0f09f02db8a7eddd4.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2026-09-12T17:11:46.033Z</dcterms:created>
  <dcterms:modified xsi:type="dcterms:W3CDTF">2026-09-12T17:11:46.033Z</dcterms:modified>
</cp:coreProperties>
</file>

<file path=docProps/custom.xml><?xml version="1.0" encoding="utf-8"?>
<Properties xmlns="http://schemas.openxmlformats.org/officeDocument/2006/custom-properties" xmlns:vt="http://schemas.openxmlformats.org/officeDocument/2006/docPropsVTypes"/>
</file>