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2044" w:val="clear"/>
            <w:tcMar>
              <w:top w:type="dxa" w:w="600"/>
              <w:left w:type="dxa" w:w="500"/>
              <w:bottom w:type="dxa" w:w="600"/>
              <w:right w:type="dxa" w:w="500"/>
            </w:tcMar>
          </w:tcPr>
          <w:p>
            <w:pPr>
              <w:spacing w:after="80" w:before="0"/>
              <w:jc w:val="center"/>
            </w:pPr>
            <w:r>
              <w:rPr>
                <w:rFonts w:ascii="Arial" w:cs="Arial" w:eastAsia="Arial" w:hAnsi="Arial"/>
                <w:b/>
                <w:bCs/>
                <w:color w:val="FFFFFF"/>
                <w:sz w:val="96"/>
                <w:szCs w:val="96"/>
              </w:rPr>
              <w:t xml:space="preserve">RTI WATCH</w:t>
            </w:r>
          </w:p>
          <w:p>
            <w:pPr>
              <w:spacing w:after="60" w:before="0"/>
              <w:jc w:val="center"/>
            </w:pPr>
            <w:r>
              <w:rPr>
                <w:rFonts w:ascii="Arial" w:cs="Arial" w:eastAsia="Arial" w:hAnsi="Arial"/>
                <w:color w:val="93C5FD"/>
                <w:sz w:val="26"/>
                <w:szCs w:val="26"/>
              </w:rPr>
              <w:t xml:space="preserve">Government Accountability Investigation Platform</w:t>
            </w:r>
          </w:p>
          <w:p>
            <w:pPr>
              <w:spacing w:after="120" w:before="0"/>
              <w:jc w:val="center"/>
            </w:pPr>
            <w:r>
              <w:rPr>
                <w:rFonts w:ascii="Arial" w:cs="Arial" w:eastAsia="Arial" w:hAnsi="Arial"/>
                <w:color w:val="2D4A8A"/>
                <w:sz w:val="20"/>
                <w:szCs w:val="20"/>
              </w:rPr>
              <w:t xml:space="preserve">━━━━━━━━━━━━━━━━━━━━━━━━━━━━</w:t>
            </w:r>
          </w:p>
          <w:p>
            <w:pPr>
              <w:spacing w:after="60" w:before="0"/>
              <w:jc w:val="center"/>
            </w:pPr>
            <w:r>
              <w:rPr>
                <w:rFonts w:ascii="Arial" w:cs="Arial" w:eastAsia="Arial" w:hAnsi="Arial"/>
                <w:b/>
                <w:bCs/>
                <w:color w:val="BFDBFE"/>
                <w:sz w:val="32"/>
                <w:szCs w:val="32"/>
              </w:rPr>
              <w:t xml:space="preserve">SOFTWARE REQUIREMENTS SPECIFICATION</w:t>
            </w:r>
          </w:p>
          <w:p>
            <w:pPr>
              <w:spacing w:after="120" w:before="0"/>
              <w:jc w:val="center"/>
            </w:pPr>
            <w:r>
              <w:rPr>
                <w:rFonts w:ascii="Arial" w:cs="Arial" w:eastAsia="Arial" w:hAnsi="Arial"/>
                <w:b/>
                <w:bCs/>
                <w:color w:val="93C5FD"/>
                <w:sz w:val="28"/>
                <w:szCs w:val="28"/>
              </w:rPr>
              <w:t xml:space="preserve">&amp; SYSTEM ARCHITECTURE DOCUMENT</w:t>
            </w:r>
          </w:p>
          <w:p>
            <w:pPr>
              <w:spacing w:after="60" w:before="0"/>
              <w:jc w:val="center"/>
            </w:pPr>
            <w:r>
              <w:rPr>
                <w:rFonts w:ascii="Arial" w:cs="Arial" w:eastAsia="Arial" w:hAnsi="Arial"/>
                <w:color w:val="60A5FA"/>
                <w:sz w:val="22"/>
                <w:szCs w:val="22"/>
              </w:rPr>
              <w:t xml:space="preserve">Version 3.0 — Optimised Architecture (Recommended)</w:t>
            </w:r>
          </w:p>
          <w:p>
            <w:pPr>
              <w:spacing w:after="0" w:before="0"/>
              <w:jc w:val="center"/>
            </w:pPr>
            <w:r>
              <w:rPr>
                <w:rFonts w:ascii="Arial" w:cs="Arial" w:eastAsia="Arial" w:hAnsi="Arial"/>
                <w:color w:val="9CA3AF"/>
                <w:sz w:val="20"/>
                <w:szCs w:val="20"/>
              </w:rPr>
              <w:t xml:space="preserve">Prepared by: Senior IT Architect  |  May 2026</w:t>
            </w:r>
          </w:p>
        </w:tc>
      </w:tr>
    </w:tbl>
    <w:p>
      <w:pPr>
        <w:spacing w:after="2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Document Title</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bCs/>
                <w:color w:val="1E40AF"/>
                <w:sz w:val="19"/>
                <w:szCs w:val="19"/>
              </w:rPr>
              <w:t xml:space="preserve">RTI Watch — SRS &amp; System Architecture v3.0</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Classification</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Confidential — Internal Use Only</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Architecture Track</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bCs/>
                <w:color w:val="1E40AF"/>
                <w:sz w:val="19"/>
                <w:szCs w:val="19"/>
              </w:rPr>
              <w:t xml:space="preserve">V3 — Optimised AI / Smart Architecture (Recommended)</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Version</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3.0 — Final for Development</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Prepared Date</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May 2026</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Architect Note</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This document supersedes V1 and V2 architecture drafts. V3 is the recommended implementation track based on hardware constraints, cost efficiency, and investigative outcome equivalence.</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Target Hardware</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8 GB RAM / 4-core CPU / 400 GB SSD — Self-hosted or budget cloud VPS</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Status</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Approved for Development</w:t>
            </w:r>
          </w:p>
        </w:tc>
      </w:tr>
    </w:tbl>
    <w:p>
      <w:pPr>
        <w:spacing w:after="20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40AF" w:sz="12" w:space="1"/>
              <w:left w:val="none" w:color="FFFFFF" w:sz="0"/>
              <w:bottom w:val="single" w:color="1E40AF" w:sz="12" w:space="1"/>
              <w:right w:val="none" w:color="FFFFFF" w:sz="0"/>
            </w:tcBorders>
            <w:shd w:fill="DBEAFE" w:val="clear"/>
            <w:tcMar>
              <w:top w:type="dxa" w:w="200"/>
              <w:left w:type="dxa" w:w="300"/>
              <w:bottom w:type="dxa" w:w="200"/>
              <w:right w:type="dxa" w:w="300"/>
            </w:tcMar>
          </w:tcPr>
          <w:p>
            <w:pPr>
              <w:spacing w:after="80" w:before="0"/>
            </w:pPr>
            <w:r>
              <w:rPr>
                <w:rFonts w:ascii="Arial" w:cs="Arial" w:eastAsia="Arial" w:hAnsi="Arial"/>
                <w:b/>
                <w:bCs/>
                <w:color w:val="1E40AF"/>
                <w:sz w:val="22"/>
                <w:szCs w:val="22"/>
              </w:rPr>
              <w:t xml:space="preserve">Architect's Statement</w:t>
            </w:r>
          </w:p>
          <w:p>
            <w:pPr>
              <w:spacing w:after="0" w:before="0"/>
              <w:jc w:val="both"/>
            </w:pPr>
            <w:r>
              <w:rPr>
                <w:rFonts w:ascii="Arial" w:cs="Arial" w:eastAsia="Arial" w:hAnsi="Arial"/>
                <w:i/>
                <w:iCs/>
                <w:color w:val="111827"/>
                <w:sz w:val="19"/>
                <w:szCs w:val="19"/>
              </w:rPr>
              <w:t xml:space="preserve">After 15 years architecting enterprise systems across government, fintech, and investigative platforms, the most common failure mode I have seen is over-engineering for scale that never materialises. The V3 architecture for RTI Watch applies a principle I have applied successfully in a dozen production systems: use the simplest tool that solves the problem correctly. PostgreSQL with recursive CTEs solves your graph problem. SQLite solves your lightweight read problem. Rule engines solve your pattern detection problem. AI solves your language problem. The result is a system that is faster, cheaper, more reliable, and — critically — more accurate on the tasks that matter most in a court of law. This is not a compromise. It is better engineering.</w:t>
            </w:r>
          </w:p>
        </w:tc>
      </w:tr>
    </w:tbl>
    <w:p>
      <w:pPr>
        <w:spacing w:after="0" w:before="0"/>
      </w:pPr>
      <w:r>
        <w:br w:type="page"/>
      </w:r>
    </w:p>
    <w:p>
      <w:pPr>
        <w:pStyle w:val="Heading1"/>
        <w:pBdr>
          <w:bottom w:val="single" w:color="1E40AF" w:sz="12" w:space="2"/>
        </w:pBdr>
        <w:spacing w:after="200" w:before="480"/>
      </w:pPr>
      <w:r>
        <w:rPr>
          <w:rFonts w:ascii="Arial" w:cs="Arial" w:eastAsia="Arial" w:hAnsi="Arial"/>
          <w:b/>
          <w:bCs/>
          <w:color w:val="0F204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pBdr>
          <w:bottom w:val="single" w:color="1E40AF" w:sz="12" w:space="2"/>
        </w:pBdr>
        <w:spacing w:after="200" w:before="480"/>
      </w:pPr>
      <w:r>
        <w:rPr>
          <w:rFonts w:ascii="Arial" w:cs="Arial" w:eastAsia="Arial" w:hAnsi="Arial"/>
          <w:b/>
          <w:bCs/>
          <w:color w:val="0F2044"/>
          <w:sz w:val="36"/>
          <w:szCs w:val="36"/>
        </w:rPr>
        <w:t xml:space="preserve">1. Executive Summary</w:t>
      </w:r>
    </w:p>
    <w:p>
      <w:pPr>
        <w:spacing w:after="90" w:before="60"/>
        <w:jc w:val="both"/>
      </w:pPr>
      <w:r>
        <w:rPr>
          <w:rFonts w:ascii="Arial" w:cs="Arial" w:eastAsia="Arial" w:hAnsi="Arial"/>
          <w:color w:val="111827"/>
          <w:sz w:val="21"/>
          <w:szCs w:val="21"/>
        </w:rPr>
        <w:t xml:space="preserve">RTI Watch is a full-stack investigation platform that transforms how activist teams use the Right to Information Act 2005 to build accountability cases against government corruption in Kerala, India. It is not a filing system. It is an intelligence engine — one that accumulates institutional memory across every RTI application, response, appeal, and related document your team ever processes, and continuously mines that memory for corruption indicators, legal violations, and investigative leads.</w:t>
      </w:r>
    </w:p>
    <w:p>
      <w:pPr>
        <w:spacing w:after="80" w:before="0"/>
      </w:pPr>
      <w:r>
        <w:rPr>
          <w:rFonts w:ascii="Arial" w:cs="Arial" w:eastAsia="Arial" w:hAnsi="Arial"/>
        </w:rPr>
        <w:t xml:space="preserve"/>
      </w:r>
    </w:p>
    <w:p>
      <w:pPr>
        <w:spacing w:after="90" w:before="60"/>
        <w:jc w:val="both"/>
      </w:pPr>
      <w:r>
        <w:rPr>
          <w:rFonts w:ascii="Arial" w:cs="Arial" w:eastAsia="Arial" w:hAnsi="Arial"/>
          <w:color w:val="111827"/>
          <w:sz w:val="21"/>
          <w:szCs w:val="21"/>
        </w:rPr>
        <w:t xml:space="preserve">Unlike existing RTI tracking tools that treat each application in isolation, RTI Watch treats the entire body of RTI knowledge as an interconnected investigation database. Every entity, financial figure, official statement, and timeline event is a node in a queryable graph. Every new document entered makes all previous documents more valuable by expanding the connection surface the system can analyse.</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spacing w:after="60" w:before="0"/>
            </w:pPr>
            <w:r>
              <w:rPr>
                <w:rFonts w:ascii="Arial" w:cs="Arial" w:eastAsia="Arial" w:hAnsi="Arial"/>
                <w:b/>
                <w:bCs/>
                <w:color w:val="FFFFFF"/>
                <w:sz w:val="26"/>
                <w:szCs w:val="26"/>
              </w:rPr>
              <w:t xml:space="preserve">Mission Statement</w:t>
            </w:r>
          </w:p>
          <w:p>
            <w:pPr>
              <w:spacing w:after="0" w:before="0"/>
            </w:pPr>
            <w:r>
              <w:rPr>
                <w:rFonts w:ascii="Arial" w:cs="Arial" w:eastAsia="Arial" w:hAnsi="Arial"/>
                <w:color w:val="93C5FD"/>
                <w:sz w:val="19"/>
                <w:szCs w:val="19"/>
              </w:rPr>
              <w:t xml:space="preserve">To build the institutional memory that no government department can outlast — a system that never forgets what was said, never misses a contradiction, and never runs out of patience.</w:t>
            </w:r>
          </w:p>
        </w:tc>
      </w:tr>
    </w:tbl>
    <w:p>
      <w:pPr>
        <w:spacing w:after="16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1.1 The Problem</w:t>
      </w:r>
    </w:p>
    <w:p>
      <w:pPr>
        <w:spacing w:after="90" w:before="60"/>
        <w:jc w:val="both"/>
      </w:pPr>
      <w:r>
        <w:rPr>
          <w:rFonts w:ascii="Arial" w:cs="Arial" w:eastAsia="Arial" w:hAnsi="Arial"/>
          <w:color w:val="111827"/>
          <w:sz w:val="21"/>
          <w:szCs w:val="21"/>
        </w:rPr>
        <w:t xml:space="preserve">RTI activists in Kerala face a systematic institutional disadvantage. Government departments delay responses beyond legal deadlines, cite inapplicable exemptions, provide partial or deliberately vague information, and rely on one fundamental assumption: that no individual investigator can maintain comprehensive, cross-referenced knowledge across dozens of simultaneous cases over months and years. They are right — no human team can do this manually.</w:t>
      </w:r>
    </w:p>
    <w:p>
      <w:pPr>
        <w:spacing w:after="80" w:before="0"/>
      </w:pPr>
      <w:r>
        <w:rPr>
          <w:rFonts w:ascii="Arial" w:cs="Arial" w:eastAsia="Arial" w:hAnsi="Arial"/>
        </w:rPr>
        <w:t xml:space="preserve"/>
      </w:r>
    </w:p>
    <w:p>
      <w:pPr>
        <w:spacing w:after="90" w:before="60"/>
        <w:jc w:val="both"/>
      </w:pPr>
      <w:r>
        <w:rPr>
          <w:rFonts w:ascii="Arial" w:cs="Arial" w:eastAsia="Arial" w:hAnsi="Arial"/>
          <w:color w:val="111827"/>
          <w:sz w:val="21"/>
          <w:szCs w:val="21"/>
        </w:rPr>
        <w:t xml:space="preserve">The government's greatest weapon against RTI investigation is not legal — it is institutional. Compartmentalisation across departments. Delay that outlasts investigator attention. Transfer of RTI files to exhaust applicants. The assumption that evidence scattered across years and departments will never be connected.</w:t>
      </w:r>
    </w:p>
    <w:p>
      <w:pPr>
        <w:spacing w:after="8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1.2 The Solution</w:t>
      </w:r>
    </w:p>
    <w:p>
      <w:pPr>
        <w:spacing w:after="90" w:before="60"/>
        <w:jc w:val="both"/>
      </w:pPr>
      <w:r>
        <w:rPr>
          <w:rFonts w:ascii="Arial" w:cs="Arial" w:eastAsia="Arial" w:hAnsi="Arial"/>
          <w:color w:val="111827"/>
          <w:sz w:val="21"/>
          <w:szCs w:val="21"/>
        </w:rPr>
        <w:t xml:space="preserve">RTI Watch systematically destroys each of these advantages. It remembers everything permanently. It connects facts across departments, time periods, and cases automatically. It detects contradictions between what different government bodies said in different documents. It calculates exact legal violations and penalties without error. And when human language intelligence is genuinely needed — for drafting appeals, assessing legal validity, or generating investigation narratives — it calls on Claude AI with precisely assembled context from the database.</w:t>
      </w:r>
    </w:p>
    <w:p>
      <w:pPr>
        <w:spacing w:after="8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1D5DB" w:sz="4"/>
              <w:left w:val="single" w:color="D1D5DB" w:sz="4"/>
              <w:bottom w:val="single" w:color="D1D5DB" w:sz="4"/>
              <w:right w:val="single" w:color="D1D5DB" w:sz="4"/>
            </w:tcBorders>
            <w:shd w:fill="DBEAFE" w:val="clear"/>
            <w:tcMar>
              <w:top w:type="dxa" w:w="180"/>
              <w:left w:type="dxa" w:w="220"/>
              <w:bottom w:type="dxa" w:w="180"/>
              <w:right w:type="dxa" w:w="220"/>
            </w:tcMar>
          </w:tcPr>
          <w:p>
            <w:pPr>
              <w:spacing w:after="80" w:before="0"/>
            </w:pPr>
            <w:r>
              <w:rPr>
                <w:rFonts w:ascii="Arial" w:cs="Arial" w:eastAsia="Arial" w:hAnsi="Arial"/>
                <w:b/>
                <w:bCs/>
                <w:color w:val="1E40AF"/>
                <w:sz w:val="20"/>
                <w:szCs w:val="20"/>
              </w:rPr>
              <w:t xml:space="preserve">For Investigators</w:t>
            </w:r>
          </w:p>
          <w:p>
            <w:pPr>
              <w:pStyle w:val="ListParagraph"/>
              <w:numPr>
                <w:ilvl w:val="0"/>
                <w:numId w:val="2"/>
              </w:numPr>
              <w:spacing w:after="25" w:before="25"/>
            </w:pPr>
            <w:r>
              <w:rPr>
                <w:rFonts w:ascii="Arial" w:cs="Arial" w:eastAsia="Arial" w:hAnsi="Arial"/>
                <w:color w:val="111827"/>
                <w:sz w:val="18"/>
                <w:szCs w:val="18"/>
              </w:rPr>
              <w:t xml:space="preserve">Centralized case management</w:t>
            </w:r>
          </w:p>
          <w:p>
            <w:pPr>
              <w:pStyle w:val="ListParagraph"/>
              <w:numPr>
                <w:ilvl w:val="0"/>
                <w:numId w:val="2"/>
              </w:numPr>
              <w:spacing w:after="25" w:before="25"/>
            </w:pPr>
            <w:r>
              <w:rPr>
                <w:rFonts w:ascii="Arial" w:cs="Arial" w:eastAsia="Arial" w:hAnsi="Arial"/>
                <w:color w:val="111827"/>
                <w:sz w:val="18"/>
                <w:szCs w:val="18"/>
              </w:rPr>
              <w:t xml:space="preserve">AI appeal drafting on demand</w:t>
            </w:r>
          </w:p>
          <w:p>
            <w:pPr>
              <w:pStyle w:val="ListParagraph"/>
              <w:numPr>
                <w:ilvl w:val="0"/>
                <w:numId w:val="2"/>
              </w:numPr>
              <w:spacing w:after="25" w:before="25"/>
            </w:pPr>
            <w:r>
              <w:rPr>
                <w:rFonts w:ascii="Arial" w:cs="Arial" w:eastAsia="Arial" w:hAnsi="Arial"/>
                <w:color w:val="111827"/>
                <w:sz w:val="18"/>
                <w:szCs w:val="18"/>
              </w:rPr>
              <w:t xml:space="preserve">Instant deadline alerts</w:t>
            </w:r>
          </w:p>
          <w:p>
            <w:pPr>
              <w:pStyle w:val="ListParagraph"/>
              <w:numPr>
                <w:ilvl w:val="0"/>
                <w:numId w:val="2"/>
              </w:numPr>
              <w:spacing w:after="25" w:before="25"/>
            </w:pPr>
            <w:r>
              <w:rPr>
                <w:rFonts w:ascii="Arial" w:cs="Arial" w:eastAsia="Arial" w:hAnsi="Arial"/>
                <w:color w:val="111827"/>
                <w:sz w:val="18"/>
                <w:szCs w:val="18"/>
              </w:rPr>
              <w:t xml:space="preserve">Cross-case pattern detection</w:t>
            </w:r>
          </w:p>
          <w:p>
            <w:pPr>
              <w:pStyle w:val="ListParagraph"/>
              <w:numPr>
                <w:ilvl w:val="0"/>
                <w:numId w:val="2"/>
              </w:numPr>
              <w:spacing w:after="25" w:before="25"/>
            </w:pPr>
            <w:r>
              <w:rPr>
                <w:rFonts w:ascii="Arial" w:cs="Arial" w:eastAsia="Arial" w:hAnsi="Arial"/>
                <w:color w:val="111827"/>
                <w:sz w:val="18"/>
                <w:szCs w:val="18"/>
              </w:rPr>
              <w:t xml:space="preserve">Legal violation tracking</w:t>
            </w:r>
          </w:p>
          <w:p>
            <w:pPr>
              <w:pStyle w:val="ListParagraph"/>
              <w:numPr>
                <w:ilvl w:val="0"/>
                <w:numId w:val="2"/>
              </w:numPr>
              <w:spacing w:after="25" w:before="25"/>
            </w:pPr>
            <w:r>
              <w:rPr>
                <w:rFonts w:ascii="Arial" w:cs="Arial" w:eastAsia="Arial" w:hAnsi="Arial"/>
                <w:color w:val="111827"/>
                <w:sz w:val="18"/>
                <w:szCs w:val="18"/>
              </w:rPr>
              <w:t xml:space="preserve">Entity network analysis</w:t>
            </w:r>
          </w:p>
        </w:tc>
        <w:tc>
          <w:tcPr>
            <w:tcW w:type="dxa" w:w="3008"/>
            <w:tcBorders>
              <w:top w:val="single" w:color="D1D5DB" w:sz="4"/>
              <w:left w:val="single" w:color="D1D5DB" w:sz="4"/>
              <w:bottom w:val="single" w:color="D1D5DB" w:sz="4"/>
              <w:right w:val="single" w:color="D1D5DB" w:sz="4"/>
            </w:tcBorders>
            <w:shd w:fill="CCFBF1" w:val="clear"/>
            <w:tcMar>
              <w:top w:type="dxa" w:w="180"/>
              <w:left w:type="dxa" w:w="220"/>
              <w:bottom w:type="dxa" w:w="180"/>
              <w:right w:type="dxa" w:w="220"/>
            </w:tcMar>
          </w:tcPr>
          <w:p>
            <w:pPr>
              <w:spacing w:after="80" w:before="0"/>
            </w:pPr>
            <w:r>
              <w:rPr>
                <w:rFonts w:ascii="Arial" w:cs="Arial" w:eastAsia="Arial" w:hAnsi="Arial"/>
                <w:b/>
                <w:bCs/>
                <w:color w:val="0F766E"/>
                <w:sz w:val="20"/>
                <w:szCs w:val="20"/>
              </w:rPr>
              <w:t xml:space="preserve">For Legal Action</w:t>
            </w:r>
          </w:p>
          <w:p>
            <w:pPr>
              <w:pStyle w:val="ListParagraph"/>
              <w:numPr>
                <w:ilvl w:val="0"/>
                <w:numId w:val="2"/>
              </w:numPr>
              <w:spacing w:after="25" w:before="25"/>
            </w:pPr>
            <w:r>
              <w:rPr>
                <w:rFonts w:ascii="Arial" w:cs="Arial" w:eastAsia="Arial" w:hAnsi="Arial"/>
                <w:color w:val="111827"/>
                <w:sz w:val="18"/>
                <w:szCs w:val="18"/>
              </w:rPr>
              <w:t xml:space="preserve">Court-ready evidence packages</w:t>
            </w:r>
          </w:p>
          <w:p>
            <w:pPr>
              <w:pStyle w:val="ListParagraph"/>
              <w:numPr>
                <w:ilvl w:val="0"/>
                <w:numId w:val="2"/>
              </w:numPr>
              <w:spacing w:after="25" w:before="25"/>
            </w:pPr>
            <w:r>
              <w:rPr>
                <w:rFonts w:ascii="Arial" w:cs="Arial" w:eastAsia="Arial" w:hAnsi="Arial"/>
                <w:color w:val="111827"/>
                <w:sz w:val="18"/>
                <w:szCs w:val="18"/>
              </w:rPr>
              <w:t xml:space="preserve">Exact penalty calculations</w:t>
            </w:r>
          </w:p>
          <w:p>
            <w:pPr>
              <w:pStyle w:val="ListParagraph"/>
              <w:numPr>
                <w:ilvl w:val="0"/>
                <w:numId w:val="2"/>
              </w:numPr>
              <w:spacing w:after="25" w:before="25"/>
            </w:pPr>
            <w:r>
              <w:rPr>
                <w:rFonts w:ascii="Arial" w:cs="Arial" w:eastAsia="Arial" w:hAnsi="Arial"/>
                <w:color w:val="111827"/>
                <w:sz w:val="18"/>
                <w:szCs w:val="18"/>
              </w:rPr>
              <w:t xml:space="preserve">Contradiction documentation</w:t>
            </w:r>
          </w:p>
          <w:p>
            <w:pPr>
              <w:pStyle w:val="ListParagraph"/>
              <w:numPr>
                <w:ilvl w:val="0"/>
                <w:numId w:val="2"/>
              </w:numPr>
              <w:spacing w:after="25" w:before="25"/>
            </w:pPr>
            <w:r>
              <w:rPr>
                <w:rFonts w:ascii="Arial" w:cs="Arial" w:eastAsia="Arial" w:hAnsi="Arial"/>
                <w:color w:val="111827"/>
                <w:sz w:val="18"/>
                <w:szCs w:val="18"/>
              </w:rPr>
              <w:t xml:space="preserve">SIC appeal generation</w:t>
            </w:r>
          </w:p>
          <w:p>
            <w:pPr>
              <w:pStyle w:val="ListParagraph"/>
              <w:numPr>
                <w:ilvl w:val="0"/>
                <w:numId w:val="2"/>
              </w:numPr>
              <w:spacing w:after="25" w:before="25"/>
            </w:pPr>
            <w:r>
              <w:rPr>
                <w:rFonts w:ascii="Arial" w:cs="Arial" w:eastAsia="Arial" w:hAnsi="Arial"/>
                <w:color w:val="111827"/>
                <w:sz w:val="18"/>
                <w:szCs w:val="18"/>
              </w:rPr>
              <w:t xml:space="preserve">Chain-of-custody logs</w:t>
            </w:r>
          </w:p>
          <w:p>
            <w:pPr>
              <w:pStyle w:val="ListParagraph"/>
              <w:numPr>
                <w:ilvl w:val="0"/>
                <w:numId w:val="2"/>
              </w:numPr>
              <w:spacing w:after="25" w:before="25"/>
            </w:pPr>
            <w:r>
              <w:rPr>
                <w:rFonts w:ascii="Arial" w:cs="Arial" w:eastAsia="Arial" w:hAnsi="Arial"/>
                <w:color w:val="111827"/>
                <w:sz w:val="18"/>
                <w:szCs w:val="18"/>
              </w:rPr>
              <w:t xml:space="preserve">Cryptographic file integrity</w:t>
            </w:r>
          </w:p>
        </w:tc>
        <w:tc>
          <w:tcPr>
            <w:tcW w:type="dxa" w:w="3010"/>
            <w:tcBorders>
              <w:top w:val="single" w:color="D1D5DB" w:sz="4"/>
              <w:left w:val="single" w:color="D1D5DB" w:sz="4"/>
              <w:bottom w:val="single" w:color="D1D5DB" w:sz="4"/>
              <w:right w:val="single" w:color="D1D5DB" w:sz="4"/>
            </w:tcBorders>
            <w:shd w:fill="EDE9FE" w:val="clear"/>
            <w:tcMar>
              <w:top w:type="dxa" w:w="180"/>
              <w:left w:type="dxa" w:w="220"/>
              <w:bottom w:type="dxa" w:w="180"/>
              <w:right w:type="dxa" w:w="220"/>
            </w:tcMar>
          </w:tcPr>
          <w:p>
            <w:pPr>
              <w:spacing w:after="80" w:before="0"/>
            </w:pPr>
            <w:r>
              <w:rPr>
                <w:rFonts w:ascii="Arial" w:cs="Arial" w:eastAsia="Arial" w:hAnsi="Arial"/>
                <w:b/>
                <w:bCs/>
                <w:color w:val="5B21B6"/>
                <w:sz w:val="20"/>
                <w:szCs w:val="20"/>
              </w:rPr>
              <w:t xml:space="preserve">For Public Accountability</w:t>
            </w:r>
          </w:p>
          <w:p>
            <w:pPr>
              <w:pStyle w:val="ListParagraph"/>
              <w:numPr>
                <w:ilvl w:val="0"/>
                <w:numId w:val="2"/>
              </w:numPr>
              <w:spacing w:after="25" w:before="25"/>
            </w:pPr>
            <w:r>
              <w:rPr>
                <w:rFonts w:ascii="Arial" w:cs="Arial" w:eastAsia="Arial" w:hAnsi="Arial"/>
                <w:color w:val="111827"/>
                <w:sz w:val="18"/>
                <w:szCs w:val="18"/>
              </w:rPr>
              <w:t xml:space="preserve">Public compliance dashboard</w:t>
            </w:r>
          </w:p>
          <w:p>
            <w:pPr>
              <w:pStyle w:val="ListParagraph"/>
              <w:numPr>
                <w:ilvl w:val="0"/>
                <w:numId w:val="2"/>
              </w:numPr>
              <w:spacing w:after="25" w:before="25"/>
            </w:pPr>
            <w:r>
              <w:rPr>
                <w:rFonts w:ascii="Arial" w:cs="Arial" w:eastAsia="Arial" w:hAnsi="Arial"/>
                <w:color w:val="111827"/>
                <w:sz w:val="18"/>
                <w:szCs w:val="18"/>
              </w:rPr>
              <w:t xml:space="preserve">Department scorecards</w:t>
            </w:r>
          </w:p>
          <w:p>
            <w:pPr>
              <w:pStyle w:val="ListParagraph"/>
              <w:numPr>
                <w:ilvl w:val="0"/>
                <w:numId w:val="2"/>
              </w:numPr>
              <w:spacing w:after="25" w:before="25"/>
            </w:pPr>
            <w:r>
              <w:rPr>
                <w:rFonts w:ascii="Arial" w:cs="Arial" w:eastAsia="Arial" w:hAnsi="Arial"/>
                <w:color w:val="111827"/>
                <w:sz w:val="18"/>
                <w:szCs w:val="18"/>
              </w:rPr>
              <w:t xml:space="preserve">PIO officer profiles</w:t>
            </w:r>
          </w:p>
          <w:p>
            <w:pPr>
              <w:pStyle w:val="ListParagraph"/>
              <w:numPr>
                <w:ilvl w:val="0"/>
                <w:numId w:val="2"/>
              </w:numPr>
              <w:spacing w:after="25" w:before="25"/>
            </w:pPr>
            <w:r>
              <w:rPr>
                <w:rFonts w:ascii="Arial" w:cs="Arial" w:eastAsia="Arial" w:hAnsi="Arial"/>
                <w:color w:val="111827"/>
                <w:sz w:val="18"/>
                <w:szCs w:val="18"/>
              </w:rPr>
              <w:t xml:space="preserve">Citizen tip portal</w:t>
            </w:r>
          </w:p>
          <w:p>
            <w:pPr>
              <w:pStyle w:val="ListParagraph"/>
              <w:numPr>
                <w:ilvl w:val="0"/>
                <w:numId w:val="2"/>
              </w:numPr>
              <w:spacing w:after="25" w:before="25"/>
            </w:pPr>
            <w:r>
              <w:rPr>
                <w:rFonts w:ascii="Arial" w:cs="Arial" w:eastAsia="Arial" w:hAnsi="Arial"/>
                <w:color w:val="111827"/>
                <w:sz w:val="18"/>
                <w:szCs w:val="18"/>
              </w:rPr>
              <w:t xml:space="preserve">Media brief generation</w:t>
            </w:r>
          </w:p>
          <w:p>
            <w:pPr>
              <w:pStyle w:val="ListParagraph"/>
              <w:numPr>
                <w:ilvl w:val="0"/>
                <w:numId w:val="2"/>
              </w:numPr>
              <w:spacing w:after="25" w:before="25"/>
            </w:pPr>
            <w:r>
              <w:rPr>
                <w:rFonts w:ascii="Arial" w:cs="Arial" w:eastAsia="Arial" w:hAnsi="Arial"/>
                <w:color w:val="111827"/>
                <w:sz w:val="18"/>
                <w:szCs w:val="18"/>
              </w:rPr>
              <w:t xml:space="preserve">Federated partner sharing</w:t>
            </w:r>
          </w:p>
        </w:tc>
      </w:tr>
    </w:tbl>
    <w:p>
      <w:pPr>
        <w:spacing w:after="16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1.3 Architecture Decision Summary</w:t>
      </w:r>
    </w:p>
    <w:p>
      <w:pPr>
        <w:spacing w:after="90" w:before="60"/>
        <w:jc w:val="both"/>
      </w:pPr>
      <w:r>
        <w:rPr>
          <w:rFonts w:ascii="Arial" w:cs="Arial" w:eastAsia="Arial" w:hAnsi="Arial"/>
          <w:color w:val="111827"/>
          <w:sz w:val="21"/>
          <w:szCs w:val="21"/>
        </w:rPr>
        <w:t xml:space="preserve">After evaluating three architectural approaches — V1 (ArangoDB, AI-heavy), V2 (ArangoDB + Qdrant RAG, maximum intelligence), and V3 (PostgreSQL + SQLite, optimised AI) — V3 is selected as the recommended implementation track. V3 delivers equivalent investigative outcomes to V2 through a fundamentally different engineering approach: using deterministic rule engines and mathematical calculations for the 80% of intelligence tasks that do not require language understanding, and reserving AI calls for the 20% where language reasoning genuinely cannot be replaced. V3 runs on 8 GB RAM and costs approximately €80-170 per month all-in, compared to V2's 64 GB RAM minimum and €1,000+ monthly cost.</w:t>
      </w:r>
    </w:p>
    <w:p>
      <w:pPr>
        <w:spacing w:after="0" w:before="0"/>
      </w:pPr>
      <w:r>
        <w:br w:type="page"/>
      </w:r>
    </w:p>
    <w:p>
      <w:pPr>
        <w:pStyle w:val="Heading1"/>
        <w:pBdr>
          <w:bottom w:val="single" w:color="1E40AF" w:sz="12" w:space="2"/>
        </w:pBdr>
        <w:spacing w:after="200" w:before="480"/>
      </w:pPr>
      <w:r>
        <w:rPr>
          <w:rFonts w:ascii="Arial" w:cs="Arial" w:eastAsia="Arial" w:hAnsi="Arial"/>
          <w:b/>
          <w:bCs/>
          <w:color w:val="0F2044"/>
          <w:sz w:val="36"/>
          <w:szCs w:val="36"/>
        </w:rPr>
        <w:t xml:space="preserve">2. Stakeholders, Users &amp; Use Cases</w:t>
      </w:r>
    </w:p>
    <w:p>
      <w:pPr>
        <w:pStyle w:val="Heading2"/>
        <w:spacing w:after="160" w:before="360"/>
      </w:pPr>
      <w:r>
        <w:rPr>
          <w:rFonts w:ascii="Arial" w:cs="Arial" w:eastAsia="Arial" w:hAnsi="Arial"/>
          <w:b/>
          <w:bCs/>
          <w:color w:val="1E40AF"/>
          <w:sz w:val="28"/>
          <w:szCs w:val="28"/>
        </w:rPr>
        <w:t xml:space="preserve">2.1 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Investigation Team</w:t>
            </w:r>
          </w:p>
        </w:tc>
        <w:tc>
          <w:tcPr>
            <w:tcW w:type="dxa" w:w="68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Primary builders and operators of the platform. File RTIs, enter knowledge, review AI findings, take legal action.</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Legal Advisors</w:t>
            </w:r>
          </w:p>
        </w:tc>
        <w:tc>
          <w:tcPr>
            <w:tcW w:type="dxa" w:w="68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Review AI-drafted appeals and evidence packages. Advise on RTI Act strategy. Read-only access plus document export.</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Investigative Journalists</w:t>
            </w:r>
          </w:p>
        </w:tc>
        <w:tc>
          <w:tcPr>
            <w:tcW w:type="dxa" w:w="68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Receive curated investigation summaries via journalist portal. Never see unpublished intelligence. Verified access only.</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Allied RTI Groups</w:t>
            </w:r>
          </w:p>
        </w:tc>
        <w:tc>
          <w:tcPr>
            <w:tcW w:type="dxa" w:w="68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Federated network partners who share entity profiles and evasion pattern data. Independent data sovereignty.</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Citizens</w:t>
            </w:r>
          </w:p>
        </w:tc>
        <w:tc>
          <w:tcPr>
            <w:tcW w:type="dxa" w:w="68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Submit anonymous tips via public portal. No account required. Tip is unverified in system until corroborated.</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System Administrator</w:t>
            </w:r>
          </w:p>
        </w:tc>
        <w:tc>
          <w:tcPr>
            <w:tcW w:type="dxa" w:w="68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Manages user accounts, access controls, backups, API key rotation, and security configuration.</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Target Accountability</w:t>
            </w:r>
          </w:p>
        </w:tc>
        <w:tc>
          <w:tcPr>
            <w:tcW w:type="dxa" w:w="68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Kerala government departments, PIO officers, contractors — subjects of investigation, not users of the system.</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2.2 Primary Use Cases</w:t>
      </w:r>
    </w:p>
    <w:p>
      <w:pPr>
        <w:pStyle w:val="Heading3"/>
        <w:spacing w:after="120" w:before="260"/>
      </w:pPr>
      <w:r>
        <w:rPr>
          <w:rFonts w:ascii="Arial" w:cs="Arial" w:eastAsia="Arial" w:hAnsi="Arial"/>
          <w:b/>
          <w:bCs/>
          <w:color w:val="374151"/>
          <w:sz w:val="24"/>
          <w:szCs w:val="24"/>
        </w:rPr>
        <w:t xml:space="preserve">UC-01: File and Track RTI Application</w:t>
      </w:r>
    </w:p>
    <w:p>
      <w:pPr>
        <w:spacing w:after="90" w:before="60"/>
        <w:jc w:val="both"/>
      </w:pPr>
      <w:r>
        <w:rPr>
          <w:rFonts w:ascii="Arial" w:cs="Arial" w:eastAsia="Arial" w:hAnsi="Arial"/>
          <w:color w:val="111827"/>
          <w:sz w:val="21"/>
          <w:szCs w:val="21"/>
        </w:rPr>
        <w:t xml:space="preserve">Investigator creates new RTI case, enters application details, uploads original PDF to S3, manually enters structured knowledge. System assigns RTI ID, starts 30-day deadline clock, creates entity nodes for all named parties, and runs initial pattern scan against existing knowledge.</w:t>
      </w:r>
    </w:p>
    <w:p>
      <w:pPr>
        <w:spacing w:after="6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UC-02: Enter RTI Response Knowledge</w:t>
      </w:r>
    </w:p>
    <w:p>
      <w:pPr>
        <w:spacing w:after="90" w:before="60"/>
        <w:jc w:val="both"/>
      </w:pPr>
      <w:r>
        <w:rPr>
          <w:rFonts w:ascii="Arial" w:cs="Arial" w:eastAsia="Arial" w:hAnsi="Arial"/>
          <w:color w:val="111827"/>
          <w:sz w:val="21"/>
          <w:szCs w:val="21"/>
        </w:rPr>
        <w:t xml:space="preserve">Upon receiving response, investigator uploads original to S3, then enters structured response data via type-specific form. Critically enters 'What Was NOT Answered' field. System runs contradiction scan against all prior facts, financial reconciliation, missing document detection, and updates corruption probability score — all within one second, without AI.</w:t>
      </w:r>
    </w:p>
    <w:p>
      <w:pPr>
        <w:spacing w:after="6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UC-03: AI-Assisted Appeal Drafting</w:t>
      </w:r>
    </w:p>
    <w:p>
      <w:pPr>
        <w:spacing w:after="90" w:before="60"/>
        <w:jc w:val="both"/>
      </w:pPr>
      <w:r>
        <w:rPr>
          <w:rFonts w:ascii="Arial" w:cs="Arial" w:eastAsia="Arial" w:hAnsi="Arial"/>
          <w:color w:val="111827"/>
          <w:sz w:val="21"/>
          <w:szCs w:val="21"/>
        </w:rPr>
        <w:t xml:space="preserve">Investigator selects a case and requests appeal draft. System assembles precise context package from database: case facts, evasion patterns detected, legal sections cited by PIO, financial discrepancies found. Sends to Claude API with RTI legal knowledge context. Returns draft citing specific Act sections and precedents. Investigator reviews and approves before use.</w:t>
      </w:r>
    </w:p>
    <w:p>
      <w:pPr>
        <w:spacing w:after="6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UC-04: On-Demand Live Entity Lookup</w:t>
      </w:r>
    </w:p>
    <w:p>
      <w:pPr>
        <w:spacing w:after="90" w:before="60"/>
        <w:jc w:val="both"/>
      </w:pPr>
      <w:r>
        <w:rPr>
          <w:rFonts w:ascii="Arial" w:cs="Arial" w:eastAsia="Arial" w:hAnsi="Arial"/>
          <w:color w:val="111827"/>
          <w:sz w:val="21"/>
          <w:szCs w:val="21"/>
        </w:rPr>
        <w:t xml:space="preserve">Investigator selects a contractor entity and requests live MCA21 lookup. System presents confirmation dialog showing what will be fetched and from where. Upon approval, fetches company data, presents results for review. Investigator selects facts to incorporate into entity node. Nothing is written to database without human approval.</w:t>
      </w:r>
    </w:p>
    <w:p>
      <w:pPr>
        <w:spacing w:after="6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UC-05: Cross-Case Investigation Query</w:t>
      </w:r>
    </w:p>
    <w:p>
      <w:pPr>
        <w:spacing w:after="90" w:before="60"/>
        <w:jc w:val="both"/>
      </w:pPr>
      <w:r>
        <w:rPr>
          <w:rFonts w:ascii="Arial" w:cs="Arial" w:eastAsia="Arial" w:hAnsi="Arial"/>
          <w:color w:val="111827"/>
          <w:sz w:val="21"/>
          <w:szCs w:val="21"/>
        </w:rPr>
        <w:t xml:space="preserve">Investigator asks AI assistant 'What is the strongest corruption evidence across all KSEB cases?' System queries database for all KSEB-linked facts, contradictions, financial discrepancies, and timeline anomalies. Assembles structured data package. Sends to Claude API for reasoning and narrative. Returns investigation summary with specific evidence citations.</w:t>
      </w:r>
    </w:p>
    <w:p>
      <w:pPr>
        <w:spacing w:after="6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UC-06: Evidence Package Generation</w:t>
      </w:r>
    </w:p>
    <w:p>
      <w:pPr>
        <w:spacing w:after="90" w:before="60"/>
        <w:jc w:val="both"/>
      </w:pPr>
      <w:r>
        <w:rPr>
          <w:rFonts w:ascii="Arial" w:cs="Arial" w:eastAsia="Arial" w:hAnsi="Arial"/>
          <w:color w:val="111827"/>
          <w:sz w:val="21"/>
          <w:szCs w:val="21"/>
        </w:rPr>
        <w:t xml:space="preserve">For completed investigation, investigator requests evidence package. System compiles: chronological timeline, all source documents with S3 links, all contradictions with source citations, financial reconciliation summary, entity network map, penalty calculations, all AI-generated findings marked as such. Exports as PDF. All facts are traceable to original documents.</w:t>
      </w:r>
    </w:p>
    <w:p>
      <w:pPr>
        <w:spacing w:after="0" w:before="0"/>
      </w:pPr>
      <w:r>
        <w:br w:type="page"/>
      </w:r>
    </w:p>
    <w:p>
      <w:pPr>
        <w:pStyle w:val="Heading1"/>
        <w:pBdr>
          <w:bottom w:val="single" w:color="1E40AF" w:sz="12" w:space="2"/>
        </w:pBdr>
        <w:spacing w:after="200" w:before="480"/>
      </w:pPr>
      <w:r>
        <w:rPr>
          <w:rFonts w:ascii="Arial" w:cs="Arial" w:eastAsia="Arial" w:hAnsi="Arial"/>
          <w:b/>
          <w:bCs/>
          <w:color w:val="0F2044"/>
          <w:sz w:val="36"/>
          <w:szCs w:val="36"/>
        </w:rPr>
        <w:t xml:space="preserve">3. Functional Requirements</w:t>
      </w:r>
    </w:p>
    <w:p>
      <w:pPr>
        <w:spacing w:after="90" w:before="60"/>
        <w:jc w:val="both"/>
      </w:pPr>
      <w:r>
        <w:rPr>
          <w:rFonts w:ascii="Arial" w:cs="Arial" w:eastAsia="Arial" w:hAnsi="Arial"/>
          <w:color w:val="111827"/>
          <w:sz w:val="21"/>
          <w:szCs w:val="21"/>
        </w:rPr>
        <w:t xml:space="preserve">Requirements follow MoSCoW prioritisation. Must Have = core function without which the system fails its purpose. Should Have = important, planned for release within 12 months. Could Have = future enhancement.</w:t>
      </w:r>
    </w:p>
    <w:p>
      <w:pPr>
        <w:spacing w:after="8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3.1 RTI Case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5400"/>
        <w:gridCol w:w="1160"/>
      </w:tblGrid>
      <w:tr>
        <w:trPr>
          <w:tblHeader/>
        </w:trPr>
        <w:tc>
          <w:tcPr>
            <w:tcW w:type="dxa" w:w="10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REQ-ID</w:t>
            </w:r>
          </w:p>
        </w:tc>
        <w:tc>
          <w:tcPr>
            <w:tcW w:type="dxa" w:w="18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Module</w:t>
            </w:r>
          </w:p>
        </w:tc>
        <w:tc>
          <w:tcPr>
            <w:tcW w:type="dxa" w:w="54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Description</w:t>
            </w:r>
          </w:p>
        </w:tc>
        <w:tc>
          <w:tcPr>
            <w:tcW w:type="dxa" w:w="116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Priority</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FR-001</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Case Mgmt</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Create, edit, and delete RTI cases with full metadata: ID, title, department, PIO officer, filing dates, status, priority, tags, team assignment</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FR-002</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Case Mgmt</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Support 16-status lifecycle workflow with automatic transition triggers based on dates and events</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FR-003</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Case Mgmt</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Calculate days elapsed and days remaining to deadline in real time — pure arithmetic, never AI</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FR-004</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Case Mgmt</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Generate deadline alert at day 25 (warning) and day 30 (critical overdue) via in-app notification and email</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FR-005</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Case Mgmt</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Support case priority levels: Critical / High / Medium / Low with colour-coded visual indicators</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FR-006</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Case Mgmt</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Link related RTI cases via explicit relationship edges with relationship type and notes</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FR-007</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Case Mgmt</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Tag cases with keywords for search and clustering — unlimited tags per case</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FR-008</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Case Mgmt</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Assign case owner and collaborators with role-based visibility controls</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FR-009</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Case Mgmt</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Batch status update for multiple cases — bulk workflow management</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0F766E"/>
                <w:sz w:val="17"/>
                <w:szCs w:val="17"/>
              </w:rPr>
              <w:t xml:space="preserve">Could Have</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3.2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5400"/>
        <w:gridCol w:w="1160"/>
      </w:tblGrid>
      <w:tr>
        <w:trPr>
          <w:tblHeader/>
        </w:trPr>
        <w:tc>
          <w:tcPr>
            <w:tcW w:type="dxa" w:w="10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REQ-ID</w:t>
            </w:r>
          </w:p>
        </w:tc>
        <w:tc>
          <w:tcPr>
            <w:tcW w:type="dxa" w:w="18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Module</w:t>
            </w:r>
          </w:p>
        </w:tc>
        <w:tc>
          <w:tcPr>
            <w:tcW w:type="dxa" w:w="54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Description</w:t>
            </w:r>
          </w:p>
        </w:tc>
        <w:tc>
          <w:tcPr>
            <w:tcW w:type="dxa" w:w="116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Priority</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FR-010</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Documents</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Upload original PDF/image to AWS S3 with SHA-256 hash generated at upload — evidence integrity</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FR-011</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Documents</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Store S3 key, hash, upload timestamp, uploader identity, and file metadata in documents table</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FR-012</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Documents</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Generate time-limited signed URL (1 hour) for team document download from S3</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FR-013</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Documents</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Support text-only knowledge entry without mandatory file upload — both paths feed same pipeline</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FR-014</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Documents</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Provide type-specific structured entry forms for: RTI Application, Response, First Appeal, Second Appeal, SIC Order, Court Order, Audit Report, News Article, Evidence, Tip</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FR-015</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Documents</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Mandatory 'What Was NOT Answered' field on all response entry forms — captures deliberate evasion</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FR-016</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Documents</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Financial amount fields: capture exact amounts with stated purpose, document reference, and date mentioned</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FR-017</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Documents</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Entity mention fields: capture all persons, organisations, contractors, departments with their role in the document</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FR-018</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Documents</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Legal section fields: capture all RTI Act sections cited by PIO with purpose (exemption / procedural / reference)</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FR-019</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Documents</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Human review and approval step before knowledge is committed to graph — no auto-commit</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FR-020</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Documents</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S3 folder structure: cases/{RTI-ID}/{doc-type}/{filename} — append-only, never delete</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FR-021</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Documents</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Verify file integrity on download by comparing current SHA-256 hash against stored hash</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FR-022</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Documents</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Document version history — track amendments to entered knowledge with timestamp and editor</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3.3 Knowledge Graph &amp;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5400"/>
        <w:gridCol w:w="1160"/>
      </w:tblGrid>
      <w:tr>
        <w:trPr>
          <w:tblHeader/>
        </w:trPr>
        <w:tc>
          <w:tcPr>
            <w:tcW w:type="dxa" w:w="10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REQ-ID</w:t>
            </w:r>
          </w:p>
        </w:tc>
        <w:tc>
          <w:tcPr>
            <w:tcW w:type="dxa" w:w="18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Module</w:t>
            </w:r>
          </w:p>
        </w:tc>
        <w:tc>
          <w:tcPr>
            <w:tcW w:type="dxa" w:w="54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Description</w:t>
            </w:r>
          </w:p>
        </w:tc>
        <w:tc>
          <w:tcPr>
            <w:tcW w:type="dxa" w:w="116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Priority</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FR-023</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Intelligence</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Create entity node for every named person, organisation, or company identified in entered documents</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FR-024</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Intelligence</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Fuzzy name matching on entity creation: flag potential duplicates using trigram similarity — human confirms merge or keep separate</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FR-025</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Intelligence</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Run contradiction detection after every document knowledge commit — compare all new facts against existing facts in same case and across linked cases</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FR-026</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Intelligence</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Run financial reconciliation after every financial fact entry — compare new amounts against existing amounts for same category in same case</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FR-027</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Intelligence</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Run missing document detection after every response entry — check against mandatory document checklist for document type</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FR-028</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Intelligence</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Run timeline anomaly detection after every date entry — compare against legal mandate timelines library</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FR-029</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Intelligence</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Calculate and maintain Corruption Probability Score per case — weighted formula from measurable indicators, not AI</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FR-030</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Intelligence</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Generate alerts for: deadline approaching, contradiction detected, high corruption score, missing mandatory document, new entity connection to high-risk entity</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FR-031</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Intelligence</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Update entity risk scores when new connections or findings are added</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FR-032</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Intelligence</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PIO officer behavioural profiling: track response rates, rejection rates, exemption patterns across all cases</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FR-033</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Intelligence</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Departmental evasion fingerprinting: classify each department's characteristic evasion tactics over time</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FR-034</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Intelligence</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Contractor risk assessment: automated red/yellow/green risk flags based on defined procurement fraud heuristics</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3.4 AI Assistant (On-Demand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5400"/>
        <w:gridCol w:w="1160"/>
      </w:tblGrid>
      <w:tr>
        <w:trPr>
          <w:tblHeader/>
        </w:trPr>
        <w:tc>
          <w:tcPr>
            <w:tcW w:type="dxa" w:w="10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REQ-ID</w:t>
            </w:r>
          </w:p>
        </w:tc>
        <w:tc>
          <w:tcPr>
            <w:tcW w:type="dxa" w:w="18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Module</w:t>
            </w:r>
          </w:p>
        </w:tc>
        <w:tc>
          <w:tcPr>
            <w:tcW w:type="dxa" w:w="54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Description</w:t>
            </w:r>
          </w:p>
        </w:tc>
        <w:tc>
          <w:tcPr>
            <w:tcW w:type="dxa" w:w="116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Priority</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FR-035</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AI</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Provide interactive AI chat interface — Claude API — available on explicit user request only, never automatic</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FR-036</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AI</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Assemble precise structured context from database before every AI call — facts, entities, contradictions, financial figures relevant to query</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FR-037</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AI</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Generate RTI application drafts via AI — legally precise questions, structured for maximum difficulty to reject</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FR-038</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AI</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Generate first appeal drafts (S.19(1)) with specific legal grounds, RTI Act section citations, relevant precedents</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FR-039</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AI</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Generate second appeal and SIC complaint drafts (S.19(3)) formatted per Kerala SIC requirements</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FR-040</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AI</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Generate document summary on explicit user request — structured: what was answered, what was evaded, key facts, red flags</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FR-041</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AI</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Assess legal validity of PIO exemption citations — RTI Act section analysis with case law context</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FR-042</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AI</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Generate cross-case investigation narratives on explicit request — AI reasons across assembled structured data</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FR-043</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AI</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Generate media briefs and evidence package narratives for journalist or legal use</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FR-044</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AI</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Extract structured facts from citizen tip free text — one AI call per tip to parse into entity, claim, type, relevant case</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FR-045</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AI</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All AI outputs reviewed by human before any database write, external use, or legal filing</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3.5 On-Demand Internet Lookups (User-Confirmed)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5400"/>
        <w:gridCol w:w="1160"/>
      </w:tblGrid>
      <w:tr>
        <w:trPr>
          <w:tblHeader/>
        </w:trPr>
        <w:tc>
          <w:tcPr>
            <w:tcW w:type="dxa" w:w="10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REQ-ID</w:t>
            </w:r>
          </w:p>
        </w:tc>
        <w:tc>
          <w:tcPr>
            <w:tcW w:type="dxa" w:w="18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Module</w:t>
            </w:r>
          </w:p>
        </w:tc>
        <w:tc>
          <w:tcPr>
            <w:tcW w:type="dxa" w:w="54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Description</w:t>
            </w:r>
          </w:p>
        </w:tc>
        <w:tc>
          <w:tcPr>
            <w:tcW w:type="dxa" w:w="116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Priority</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FR-046</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Internet</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All internet lookups require explicit user initiation and confirmation dialog before any external request is made</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FR-047</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Internet</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MCA21 company registry lookup by company name or CIN — director details, registration date, filing history</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FR-048</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Internet</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Kerala e-Procurement portal tender lookup by department or contractor name</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FR-049</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Internet</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E-Courts Kerala case lookup by party name or case number</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FR-050</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Internet</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CAG report retrieval from CAG website by department or year</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FR-051</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Internet</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Kerala Legislature Q&amp;A search by subject or department</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FR-052</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Internet</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OpenCorporates entity lookup for cross-border corporate intelligence</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FR-053</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Internet</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Present retrieved data for human review before any facts are written to database</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FR-054</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Internet</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Log all internet lookups: URL, timestamp, user, data retrieved, user decision (accepted/rejected)</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3.6 Legal Action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5400"/>
        <w:gridCol w:w="1160"/>
      </w:tblGrid>
      <w:tr>
        <w:trPr>
          <w:tblHeader/>
        </w:trPr>
        <w:tc>
          <w:tcPr>
            <w:tcW w:type="dxa" w:w="10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REQ-ID</w:t>
            </w:r>
          </w:p>
        </w:tc>
        <w:tc>
          <w:tcPr>
            <w:tcW w:type="dxa" w:w="18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Module</w:t>
            </w:r>
          </w:p>
        </w:tc>
        <w:tc>
          <w:tcPr>
            <w:tcW w:type="dxa" w:w="54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Description</w:t>
            </w:r>
          </w:p>
        </w:tc>
        <w:tc>
          <w:tcPr>
            <w:tcW w:type="dxa" w:w="116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Priority</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FR-055</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Legal</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Calculate exact S.20 RTI Act penalty: Rs.250 × days overdue, capped at Rs.25,000 — pure arithmetic</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FR-056</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Legal</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Generate penalty complaint document with day-by-day computation and legal basis</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FR-057</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Legal</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Track SIC hearing dates with 7-day advance alert</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FR-058</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Legal</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Generate SIC contempt application for non-compliance with SIC orders</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FR-059</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Legal</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Generate court-ready evidence packages with source citations, timeline, contradiction list, entity network summary</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FR-060</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Legal</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Track compliance deadlines on all SIC orders and court orders</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FR-061</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Legal</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Maintain library of standard process timelines for anomaly detection: tender, construction, payment, approval</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3.7 Public &amp; Collaboration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5400"/>
        <w:gridCol w:w="1160"/>
      </w:tblGrid>
      <w:tr>
        <w:trPr>
          <w:tblHeader/>
        </w:trPr>
        <w:tc>
          <w:tcPr>
            <w:tcW w:type="dxa" w:w="10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REQ-ID</w:t>
            </w:r>
          </w:p>
        </w:tc>
        <w:tc>
          <w:tcPr>
            <w:tcW w:type="dxa" w:w="18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Module</w:t>
            </w:r>
          </w:p>
        </w:tc>
        <w:tc>
          <w:tcPr>
            <w:tcW w:type="dxa" w:w="54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Description</w:t>
            </w:r>
          </w:p>
        </w:tc>
        <w:tc>
          <w:tcPr>
            <w:tcW w:type="dxa" w:w="116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Priority</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FR-062</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Public</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Public accountability dashboard showing team-approved findings only — separate from investigation tool</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FR-063</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Public</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Department compliance scorecards: response rates, average response times, rejection rates</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FR-064</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Public</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Citizen tip submission portal — anonymous, no account required</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FR-065</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Public</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Journalist read-only portal — verified access, curated findings only, downloadable evidence packages</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0F766E"/>
                <w:sz w:val="17"/>
                <w:szCs w:val="17"/>
              </w:rPr>
              <w:t xml:space="preserve">Could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FR-066</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Federation</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Federated knowledge sharing with partner RTI Watch instances — entity profiles, evasion patterns, contractor risk</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0F766E"/>
                <w:sz w:val="17"/>
                <w:szCs w:val="17"/>
              </w:rPr>
              <w:t xml:space="preserve">Could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FR-067</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Search</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Full-text search across all cases, documents, entities, and facts — PostgreSQL tsvector, sub-second results</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FR-068</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Language</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UI language toggle per user: Malayalam or English — i18next implementation</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FR-069</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Language</w:t>
            </w:r>
          </w:p>
        </w:tc>
        <w:tc>
          <w:tcPr>
            <w:tcW w:type="dxa" w:w="5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All knowledge graph data stored in English regardless of source document language</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7"/>
                <w:szCs w:val="17"/>
              </w:rPr>
              <w:t xml:space="preserve">Must Have</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FR-070</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Reporting</w:t>
            </w:r>
          </w:p>
        </w:tc>
        <w:tc>
          <w:tcPr>
            <w:tcW w:type="dxa" w:w="5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Analytics dashboard: filing trends, department evasion rates, PIO performance, financial summary</w:t>
            </w:r>
          </w:p>
        </w:tc>
        <w:tc>
          <w:tcPr>
            <w:tcW w:type="dxa" w:w="11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7"/>
                <w:szCs w:val="17"/>
              </w:rPr>
              <w:t xml:space="preserve">Should Have</w:t>
            </w:r>
          </w:p>
        </w:tc>
      </w:tr>
    </w:tbl>
    <w:p>
      <w:pPr>
        <w:spacing w:after="0" w:before="0"/>
      </w:pPr>
      <w:r>
        <w:br w:type="page"/>
      </w:r>
    </w:p>
    <w:p>
      <w:pPr>
        <w:pStyle w:val="Heading1"/>
        <w:pBdr>
          <w:bottom w:val="single" w:color="1E40AF" w:sz="12" w:space="2"/>
        </w:pBdr>
        <w:spacing w:after="200" w:before="480"/>
      </w:pPr>
      <w:r>
        <w:rPr>
          <w:rFonts w:ascii="Arial" w:cs="Arial" w:eastAsia="Arial" w:hAnsi="Arial"/>
          <w:b/>
          <w:bCs/>
          <w:color w:val="0F2044"/>
          <w:sz w:val="36"/>
          <w:szCs w:val="36"/>
        </w:rPr>
        <w:t xml:space="preserve">4. Non-Functional Requirements</w:t>
      </w:r>
    </w:p>
    <w:p>
      <w:pPr>
        <w:pStyle w:val="Heading2"/>
        <w:spacing w:after="160" w:before="360"/>
      </w:pPr>
      <w:r>
        <w:rPr>
          <w:rFonts w:ascii="Arial" w:cs="Arial" w:eastAsia="Arial" w:hAnsi="Arial"/>
          <w:b/>
          <w:bCs/>
          <w:color w:val="1E40AF"/>
          <w:sz w:val="28"/>
          <w:szCs w:val="28"/>
        </w:rPr>
        <w:t xml:space="preserve">4.1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40AF" w:sz="4"/>
              <w:left w:val="single" w:color="1E40AF" w:sz="12"/>
              <w:bottom w:val="none" w:color="FFFFFF" w:sz="0"/>
              <w:right w:val="none" w:color="FFFFFF" w:sz="0"/>
            </w:tcBorders>
            <w:shd w:fill="1E40AF" w:val="clear"/>
            <w:tcMar>
              <w:top w:type="dxa" w:w="100"/>
              <w:left w:type="dxa" w:w="200"/>
              <w:bottom w:type="dxa" w:w="100"/>
              <w:right w:type="dxa" w:w="200"/>
            </w:tcMar>
          </w:tcPr>
          <w:p>
            <w:pPr>
              <w:spacing w:after="0" w:before="0"/>
            </w:pPr>
            <w:r>
              <w:rPr>
                <w:rFonts w:ascii="Arial" w:cs="Arial" w:eastAsia="Arial" w:hAnsi="Arial"/>
                <w:b/>
                <w:bCs/>
                <w:color w:val="FFFFFF"/>
                <w:sz w:val="20"/>
                <w:szCs w:val="20"/>
              </w:rPr>
              <w:t xml:space="preserve">Performance Targets</w:t>
            </w:r>
          </w:p>
        </w:tc>
      </w:tr>
      <w:tr>
        <w:tc>
          <w:tcPr>
            <w:tcBorders>
              <w:top w:val="none" w:color="FFFFFF" w:sz="0"/>
              <w:left w:val="single" w:color="1E40AF" w:sz="12"/>
              <w:bottom w:val="single" w:color="1E40AF" w:sz="4"/>
              <w:right w:val="none" w:color="FFFFFF" w:sz="0"/>
            </w:tcBorders>
            <w:shd w:fill="DBEAFE" w:val="clear"/>
            <w:tcMar>
              <w:top w:type="dxa" w:w="120"/>
              <w:left w:type="dxa" w:w="200"/>
              <w:bottom w:type="dxa" w:w="120"/>
              <w:right w:type="dxa" w:w="200"/>
            </w:tcMar>
          </w:tcPr>
          <w:p>
            <w:pPr>
              <w:pStyle w:val="ListParagraph"/>
              <w:numPr>
                <w:ilvl w:val="0"/>
                <w:numId w:val="2"/>
              </w:numPr>
              <w:spacing w:after="35" w:before="35"/>
            </w:pPr>
            <w:r>
              <w:rPr>
                <w:rFonts w:ascii="Arial" w:cs="Arial" w:eastAsia="Arial" w:hAnsi="Arial"/>
                <w:color w:val="111827"/>
                <w:sz w:val="19"/>
                <w:szCs w:val="19"/>
              </w:rPr>
              <w:t xml:space="preserve">Deadline alert generation: &lt; 50 milliseconds (pure arithmetic — non-negotiable)</w:t>
            </w:r>
          </w:p>
          <w:p>
            <w:pPr>
              <w:pStyle w:val="ListParagraph"/>
              <w:numPr>
                <w:ilvl w:val="0"/>
                <w:numId w:val="2"/>
              </w:numPr>
              <w:spacing w:after="35" w:before="35"/>
            </w:pPr>
            <w:r>
              <w:rPr>
                <w:rFonts w:ascii="Arial" w:cs="Arial" w:eastAsia="Arial" w:hAnsi="Arial"/>
                <w:color w:val="111827"/>
                <w:sz w:val="19"/>
                <w:szCs w:val="19"/>
              </w:rPr>
              <w:t xml:space="preserve">Contradiction detection (post document entry): &lt; 1 second (SQL query)</w:t>
            </w:r>
          </w:p>
          <w:p>
            <w:pPr>
              <w:pStyle w:val="ListParagraph"/>
              <w:numPr>
                <w:ilvl w:val="0"/>
                <w:numId w:val="2"/>
              </w:numPr>
              <w:spacing w:after="35" w:before="35"/>
            </w:pPr>
            <w:r>
              <w:rPr>
                <w:rFonts w:ascii="Arial" w:cs="Arial" w:eastAsia="Arial" w:hAnsi="Arial"/>
                <w:color w:val="111827"/>
                <w:sz w:val="19"/>
                <w:szCs w:val="19"/>
              </w:rPr>
              <w:t xml:space="preserve">Financial reconciliation: &lt; 500 milliseconds (arithmetic on database values)</w:t>
            </w:r>
          </w:p>
          <w:p>
            <w:pPr>
              <w:pStyle w:val="ListParagraph"/>
              <w:numPr>
                <w:ilvl w:val="0"/>
                <w:numId w:val="2"/>
              </w:numPr>
              <w:spacing w:after="35" w:before="35"/>
            </w:pPr>
            <w:r>
              <w:rPr>
                <w:rFonts w:ascii="Arial" w:cs="Arial" w:eastAsia="Arial" w:hAnsi="Arial"/>
                <w:color w:val="111827"/>
                <w:sz w:val="19"/>
                <w:szCs w:val="19"/>
              </w:rPr>
              <w:t xml:space="preserve">Full-text search results: &lt; 1 second for queries across full database</w:t>
            </w:r>
          </w:p>
          <w:p>
            <w:pPr>
              <w:pStyle w:val="ListParagraph"/>
              <w:numPr>
                <w:ilvl w:val="0"/>
                <w:numId w:val="2"/>
              </w:numPr>
              <w:spacing w:after="35" w:before="35"/>
            </w:pPr>
            <w:r>
              <w:rPr>
                <w:rFonts w:ascii="Arial" w:cs="Arial" w:eastAsia="Arial" w:hAnsi="Arial"/>
                <w:color w:val="111827"/>
                <w:sz w:val="19"/>
                <w:szCs w:val="19"/>
              </w:rPr>
              <w:t xml:space="preserve">Dashboard analytics (COUNT/GROUP BY queries): &lt; 1 second</w:t>
            </w:r>
          </w:p>
          <w:p>
            <w:pPr>
              <w:pStyle w:val="ListParagraph"/>
              <w:numPr>
                <w:ilvl w:val="0"/>
                <w:numId w:val="2"/>
              </w:numPr>
              <w:spacing w:after="35" w:before="35"/>
            </w:pPr>
            <w:r>
              <w:rPr>
                <w:rFonts w:ascii="Arial" w:cs="Arial" w:eastAsia="Arial" w:hAnsi="Arial"/>
                <w:color w:val="111827"/>
                <w:sz w:val="19"/>
                <w:szCs w:val="19"/>
              </w:rPr>
              <w:t xml:space="preserve">AI chat first token: &lt; 3 seconds (Claude API, well-prepared context)</w:t>
            </w:r>
          </w:p>
          <w:p>
            <w:pPr>
              <w:pStyle w:val="ListParagraph"/>
              <w:numPr>
                <w:ilvl w:val="0"/>
                <w:numId w:val="2"/>
              </w:numPr>
              <w:spacing w:after="35" w:before="35"/>
            </w:pPr>
            <w:r>
              <w:rPr>
                <w:rFonts w:ascii="Arial" w:cs="Arial" w:eastAsia="Arial" w:hAnsi="Arial"/>
                <w:color w:val="111827"/>
                <w:sz w:val="19"/>
                <w:szCs w:val="19"/>
              </w:rPr>
              <w:t xml:space="preserve">S3 file upload (up to 50 MB): &lt; 30 seconds with progress indicator</w:t>
            </w:r>
          </w:p>
          <w:p>
            <w:pPr>
              <w:pStyle w:val="ListParagraph"/>
              <w:numPr>
                <w:ilvl w:val="0"/>
                <w:numId w:val="2"/>
              </w:numPr>
              <w:spacing w:after="35" w:before="35"/>
            </w:pPr>
            <w:r>
              <w:rPr>
                <w:rFonts w:ascii="Arial" w:cs="Arial" w:eastAsia="Arial" w:hAnsi="Arial"/>
                <w:color w:val="111827"/>
                <w:sz w:val="19"/>
                <w:szCs w:val="19"/>
              </w:rPr>
              <w:t xml:space="preserve">Page load time for all core investigation screens: &lt; 2 seconds</w:t>
            </w:r>
          </w:p>
          <w:p>
            <w:pPr>
              <w:pStyle w:val="ListParagraph"/>
              <w:numPr>
                <w:ilvl w:val="0"/>
                <w:numId w:val="2"/>
              </w:numPr>
              <w:spacing w:after="35" w:before="35"/>
            </w:pPr>
            <w:r>
              <w:rPr>
                <w:rFonts w:ascii="Arial" w:cs="Arial" w:eastAsia="Arial" w:hAnsi="Arial"/>
                <w:color w:val="111827"/>
                <w:sz w:val="19"/>
                <w:szCs w:val="19"/>
              </w:rPr>
              <w:t xml:space="preserve">System startup time: &lt; 15 seconds (lightweight services)</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4.2 Reliability</w:t>
      </w:r>
    </w:p>
    <w:p>
      <w:pPr>
        <w:pStyle w:val="ListParagraph"/>
        <w:numPr>
          <w:ilvl w:val="0"/>
          <w:numId w:val="2"/>
        </w:numPr>
        <w:spacing w:after="40" w:before="40"/>
      </w:pPr>
      <w:r>
        <w:rPr>
          <w:rFonts w:ascii="Arial" w:cs="Arial" w:eastAsia="Arial" w:hAnsi="Arial"/>
          <w:color w:val="111827"/>
          <w:sz w:val="20"/>
          <w:szCs w:val="20"/>
        </w:rPr>
        <w:t xml:space="preserve">System uptime target: 99.5% excluding planned maintenance windows</w:t>
      </w:r>
    </w:p>
    <w:p>
      <w:pPr>
        <w:pStyle w:val="ListParagraph"/>
        <w:numPr>
          <w:ilvl w:val="0"/>
          <w:numId w:val="2"/>
        </w:numPr>
        <w:spacing w:after="40" w:before="40"/>
      </w:pPr>
      <w:r>
        <w:rPr>
          <w:rFonts w:ascii="Arial" w:cs="Arial" w:eastAsia="Arial" w:hAnsi="Arial"/>
          <w:color w:val="111827"/>
          <w:sz w:val="20"/>
          <w:szCs w:val="20"/>
        </w:rPr>
        <w:t xml:space="preserve">Daily automated PostgreSQL backup (pg_dump) stored to separate S3 bucket — 90-day retention</w:t>
      </w:r>
    </w:p>
    <w:p>
      <w:pPr>
        <w:pStyle w:val="ListParagraph"/>
        <w:numPr>
          <w:ilvl w:val="0"/>
          <w:numId w:val="2"/>
        </w:numPr>
        <w:spacing w:after="40" w:before="40"/>
      </w:pPr>
      <w:r>
        <w:rPr>
          <w:rFonts w:ascii="Arial" w:cs="Arial" w:eastAsia="Arial" w:hAnsi="Arial"/>
          <w:color w:val="111827"/>
          <w:sz w:val="20"/>
          <w:szCs w:val="20"/>
        </w:rPr>
        <w:t xml:space="preserve">SQLite database backed up daily by file copy to S3 — 90-day retention</w:t>
      </w:r>
    </w:p>
    <w:p>
      <w:pPr>
        <w:pStyle w:val="ListParagraph"/>
        <w:numPr>
          <w:ilvl w:val="0"/>
          <w:numId w:val="2"/>
        </w:numPr>
        <w:spacing w:after="40" w:before="40"/>
      </w:pPr>
      <w:r>
        <w:rPr>
          <w:rFonts w:ascii="Arial" w:cs="Arial" w:eastAsia="Arial" w:hAnsi="Arial"/>
          <w:color w:val="111827"/>
          <w:sz w:val="20"/>
          <w:szCs w:val="20"/>
        </w:rPr>
        <w:t xml:space="preserve">S3 document files have built-in 99.999999999% durability — no additional backup required</w:t>
      </w:r>
    </w:p>
    <w:p>
      <w:pPr>
        <w:pStyle w:val="ListParagraph"/>
        <w:numPr>
          <w:ilvl w:val="0"/>
          <w:numId w:val="2"/>
        </w:numPr>
        <w:spacing w:after="40" w:before="40"/>
      </w:pPr>
      <w:r>
        <w:rPr>
          <w:rFonts w:ascii="Arial" w:cs="Arial" w:eastAsia="Arial" w:hAnsi="Arial"/>
          <w:color w:val="111827"/>
          <w:sz w:val="20"/>
          <w:szCs w:val="20"/>
        </w:rPr>
        <w:t xml:space="preserve">All background jobs (AI calls, alert generation) retry automatically on failure with exponential backoff</w:t>
      </w:r>
    </w:p>
    <w:p>
      <w:pPr>
        <w:pStyle w:val="ListParagraph"/>
        <w:numPr>
          <w:ilvl w:val="0"/>
          <w:numId w:val="2"/>
        </w:numPr>
        <w:spacing w:after="40" w:before="40"/>
      </w:pPr>
      <w:r>
        <w:rPr>
          <w:rFonts w:ascii="Arial" w:cs="Arial" w:eastAsia="Arial" w:hAnsi="Arial"/>
          <w:color w:val="111827"/>
          <w:sz w:val="20"/>
          <w:szCs w:val="20"/>
        </w:rPr>
        <w:t xml:space="preserve">Graceful degradation: if Claude API is unavailable, all rule-based intelligence continues uninterrupted</w:t>
      </w:r>
    </w:p>
    <w:p>
      <w:pPr>
        <w:pStyle w:val="ListParagraph"/>
        <w:numPr>
          <w:ilvl w:val="0"/>
          <w:numId w:val="2"/>
        </w:numPr>
        <w:spacing w:after="40" w:before="40"/>
      </w:pPr>
      <w:r>
        <w:rPr>
          <w:rFonts w:ascii="Arial" w:cs="Arial" w:eastAsia="Arial" w:hAnsi="Arial"/>
          <w:color w:val="111827"/>
          <w:sz w:val="20"/>
          <w:szCs w:val="20"/>
        </w:rPr>
        <w:t xml:space="preserve">Error logging: all system errors logged with full stack trace, user context, and request details</w:t>
      </w:r>
    </w:p>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4.3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91C1C" w:sz="4"/>
              <w:left w:val="single" w:color="B91C1C" w:sz="12"/>
              <w:bottom w:val="none" w:color="FFFFFF" w:sz="0"/>
              <w:right w:val="none" w:color="FFFFFF" w:sz="0"/>
            </w:tcBorders>
            <w:shd w:fill="B91C1C" w:val="clear"/>
            <w:tcMar>
              <w:top w:type="dxa" w:w="100"/>
              <w:left w:type="dxa" w:w="200"/>
              <w:bottom w:type="dxa" w:w="100"/>
              <w:right w:type="dxa" w:w="200"/>
            </w:tcMar>
          </w:tcPr>
          <w:p>
            <w:pPr>
              <w:spacing w:after="0" w:before="0"/>
            </w:pPr>
            <w:r>
              <w:rPr>
                <w:rFonts w:ascii="Arial" w:cs="Arial" w:eastAsia="Arial" w:hAnsi="Arial"/>
                <w:b/>
                <w:bCs/>
                <w:color w:val="FFFFFF"/>
                <w:sz w:val="20"/>
                <w:szCs w:val="20"/>
              </w:rPr>
              <w:t xml:space="preserve">Security Requirements</w:t>
            </w:r>
          </w:p>
        </w:tc>
      </w:tr>
      <w:tr>
        <w:tc>
          <w:tcPr>
            <w:tcBorders>
              <w:top w:val="none" w:color="FFFFFF" w:sz="0"/>
              <w:left w:val="single" w:color="B91C1C" w:sz="12"/>
              <w:bottom w:val="single" w:color="B91C1C" w:sz="4"/>
              <w:right w:val="none" w:color="FFFFFF" w:sz="0"/>
            </w:tcBorders>
            <w:shd w:fill="FEE2E2" w:val="clear"/>
            <w:tcMar>
              <w:top w:type="dxa" w:w="120"/>
              <w:left w:type="dxa" w:w="200"/>
              <w:bottom w:type="dxa" w:w="120"/>
              <w:right w:type="dxa" w:w="200"/>
            </w:tcMar>
          </w:tcPr>
          <w:p>
            <w:pPr>
              <w:pStyle w:val="ListParagraph"/>
              <w:numPr>
                <w:ilvl w:val="0"/>
                <w:numId w:val="2"/>
              </w:numPr>
              <w:spacing w:after="35" w:before="35"/>
            </w:pPr>
            <w:r>
              <w:rPr>
                <w:rFonts w:ascii="Arial" w:cs="Arial" w:eastAsia="Arial" w:hAnsi="Arial"/>
                <w:color w:val="111827"/>
                <w:sz w:val="19"/>
                <w:szCs w:val="19"/>
              </w:rPr>
              <w:t xml:space="preserve">All connections: TLS 1.3 minimum — no HTTP fallback under any circumstances</w:t>
            </w:r>
          </w:p>
          <w:p>
            <w:pPr>
              <w:pStyle w:val="ListParagraph"/>
              <w:numPr>
                <w:ilvl w:val="0"/>
                <w:numId w:val="2"/>
              </w:numPr>
              <w:spacing w:after="35" w:before="35"/>
            </w:pPr>
            <w:r>
              <w:rPr>
                <w:rFonts w:ascii="Arial" w:cs="Arial" w:eastAsia="Arial" w:hAnsi="Arial"/>
                <w:color w:val="111827"/>
                <w:sz w:val="19"/>
                <w:szCs w:val="19"/>
              </w:rPr>
              <w:t xml:space="preserve">All data at rest: AES-256 encryption for PostgreSQL, SQLite, and S3</w:t>
            </w:r>
          </w:p>
          <w:p>
            <w:pPr>
              <w:pStyle w:val="ListParagraph"/>
              <w:numPr>
                <w:ilvl w:val="0"/>
                <w:numId w:val="2"/>
              </w:numPr>
              <w:spacing w:after="35" w:before="35"/>
            </w:pPr>
            <w:r>
              <w:rPr>
                <w:rFonts w:ascii="Arial" w:cs="Arial" w:eastAsia="Arial" w:hAnsi="Arial"/>
                <w:color w:val="111827"/>
                <w:sz w:val="19"/>
                <w:szCs w:val="19"/>
              </w:rPr>
              <w:t xml:space="preserve">Authentication: JWT with refresh token rotation, 15-minute access token lifetime</w:t>
            </w:r>
          </w:p>
          <w:p>
            <w:pPr>
              <w:pStyle w:val="ListParagraph"/>
              <w:numPr>
                <w:ilvl w:val="0"/>
                <w:numId w:val="2"/>
              </w:numPr>
              <w:spacing w:after="35" w:before="35"/>
            </w:pPr>
            <w:r>
              <w:rPr>
                <w:rFonts w:ascii="Arial" w:cs="Arial" w:eastAsia="Arial" w:hAnsi="Arial"/>
                <w:color w:val="111827"/>
                <w:sz w:val="19"/>
                <w:szCs w:val="19"/>
              </w:rPr>
              <w:t xml:space="preserve">Two-factor authentication: mandatory for Admin and Investigator roles</w:t>
            </w:r>
          </w:p>
          <w:p>
            <w:pPr>
              <w:pStyle w:val="ListParagraph"/>
              <w:numPr>
                <w:ilvl w:val="0"/>
                <w:numId w:val="2"/>
              </w:numPr>
              <w:spacing w:after="35" w:before="35"/>
            </w:pPr>
            <w:r>
              <w:rPr>
                <w:rFonts w:ascii="Arial" w:cs="Arial" w:eastAsia="Arial" w:hAnsi="Arial"/>
                <w:color w:val="111827"/>
                <w:sz w:val="19"/>
                <w:szCs w:val="19"/>
              </w:rPr>
              <w:t xml:space="preserve">Role-based access control: Admin / Investigator / Analyst / Legal (read-only) / Journalist (curated)</w:t>
            </w:r>
          </w:p>
          <w:p>
            <w:pPr>
              <w:pStyle w:val="ListParagraph"/>
              <w:numPr>
                <w:ilvl w:val="0"/>
                <w:numId w:val="2"/>
              </w:numPr>
              <w:spacing w:after="35" w:before="35"/>
            </w:pPr>
            <w:r>
              <w:rPr>
                <w:rFonts w:ascii="Arial" w:cs="Arial" w:eastAsia="Arial" w:hAnsi="Arial"/>
                <w:color w:val="111827"/>
                <w:sz w:val="19"/>
                <w:szCs w:val="19"/>
              </w:rPr>
              <w:t xml:space="preserve">Case-level compartmentalisation: sensitive cases restricted to named team members only</w:t>
            </w:r>
          </w:p>
          <w:p>
            <w:pPr>
              <w:pStyle w:val="ListParagraph"/>
              <w:numPr>
                <w:ilvl w:val="0"/>
                <w:numId w:val="2"/>
              </w:numPr>
              <w:spacing w:after="35" w:before="35"/>
            </w:pPr>
            <w:r>
              <w:rPr>
                <w:rFonts w:ascii="Arial" w:cs="Arial" w:eastAsia="Arial" w:hAnsi="Arial"/>
                <w:color w:val="111827"/>
                <w:sz w:val="19"/>
                <w:szCs w:val="19"/>
              </w:rPr>
              <w:t xml:space="preserve">Immutable audit log: every user action, fact entry, AI call, and internet lookup permanently logged</w:t>
            </w:r>
          </w:p>
          <w:p>
            <w:pPr>
              <w:pStyle w:val="ListParagraph"/>
              <w:numPr>
                <w:ilvl w:val="0"/>
                <w:numId w:val="2"/>
              </w:numPr>
              <w:spacing w:after="35" w:before="35"/>
            </w:pPr>
            <w:r>
              <w:rPr>
                <w:rFonts w:ascii="Arial" w:cs="Arial" w:eastAsia="Arial" w:hAnsi="Arial"/>
                <w:color w:val="111827"/>
                <w:sz w:val="19"/>
                <w:szCs w:val="19"/>
              </w:rPr>
              <w:t xml:space="preserve">SHA-256 file integrity: all S3 uploads hashed at upload, verifiable on download</w:t>
            </w:r>
          </w:p>
          <w:p>
            <w:pPr>
              <w:pStyle w:val="ListParagraph"/>
              <w:numPr>
                <w:ilvl w:val="0"/>
                <w:numId w:val="2"/>
              </w:numPr>
              <w:spacing w:after="35" w:before="35"/>
            </w:pPr>
            <w:r>
              <w:rPr>
                <w:rFonts w:ascii="Arial" w:cs="Arial" w:eastAsia="Arial" w:hAnsi="Arial"/>
                <w:color w:val="111827"/>
                <w:sz w:val="19"/>
                <w:szCs w:val="19"/>
              </w:rPr>
              <w:t xml:space="preserve">API rate limiting: 100 requests/minute per authenticated user</w:t>
            </w:r>
          </w:p>
          <w:p>
            <w:pPr>
              <w:pStyle w:val="ListParagraph"/>
              <w:numPr>
                <w:ilvl w:val="0"/>
                <w:numId w:val="2"/>
              </w:numPr>
              <w:spacing w:after="35" w:before="35"/>
            </w:pPr>
            <w:r>
              <w:rPr>
                <w:rFonts w:ascii="Arial" w:cs="Arial" w:eastAsia="Arial" w:hAnsi="Arial"/>
                <w:color w:val="111827"/>
                <w:sz w:val="19"/>
                <w:szCs w:val="19"/>
              </w:rPr>
              <w:t xml:space="preserve">Input validation: all fields sanitised against SQL injection, XSS, and path traversal</w:t>
            </w:r>
          </w:p>
          <w:p>
            <w:pPr>
              <w:pStyle w:val="ListParagraph"/>
              <w:numPr>
                <w:ilvl w:val="0"/>
                <w:numId w:val="2"/>
              </w:numPr>
              <w:spacing w:after="35" w:before="35"/>
            </w:pPr>
            <w:r>
              <w:rPr>
                <w:rFonts w:ascii="Arial" w:cs="Arial" w:eastAsia="Arial" w:hAnsi="Arial"/>
                <w:color w:val="111827"/>
                <w:sz w:val="19"/>
                <w:szCs w:val="19"/>
              </w:rPr>
              <w:t xml:space="preserve">Dependency scanning: automated vulnerability scan in CI/CD pipeline on every deploy</w:t>
            </w:r>
          </w:p>
          <w:p>
            <w:pPr>
              <w:pStyle w:val="ListParagraph"/>
              <w:numPr>
                <w:ilvl w:val="0"/>
                <w:numId w:val="2"/>
              </w:numPr>
              <w:spacing w:after="35" w:before="35"/>
            </w:pPr>
            <w:r>
              <w:rPr>
                <w:rFonts w:ascii="Arial" w:cs="Arial" w:eastAsia="Arial" w:hAnsi="Arial"/>
                <w:color w:val="111827"/>
                <w:sz w:val="19"/>
                <w:szCs w:val="19"/>
              </w:rPr>
              <w:t xml:space="preserve">No external analytics, tracking scripts, or third-party JavaScript in the investigation tool</w:t>
            </w:r>
          </w:p>
          <w:p>
            <w:pPr>
              <w:pStyle w:val="ListParagraph"/>
              <w:numPr>
                <w:ilvl w:val="0"/>
                <w:numId w:val="2"/>
              </w:numPr>
              <w:spacing w:after="35" w:before="35"/>
            </w:pPr>
            <w:r>
              <w:rPr>
                <w:rFonts w:ascii="Arial" w:cs="Arial" w:eastAsia="Arial" w:hAnsi="Arial"/>
                <w:color w:val="111827"/>
                <w:sz w:val="19"/>
                <w:szCs w:val="19"/>
              </w:rPr>
              <w:t xml:space="preserve">S3 bucket: private access only — no public read permissions on evidence files</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4.4 Usability</w:t>
      </w:r>
    </w:p>
    <w:p>
      <w:pPr>
        <w:pStyle w:val="ListParagraph"/>
        <w:numPr>
          <w:ilvl w:val="0"/>
          <w:numId w:val="2"/>
        </w:numPr>
        <w:spacing w:after="40" w:before="40"/>
      </w:pPr>
      <w:r>
        <w:rPr>
          <w:rFonts w:ascii="Arial" w:cs="Arial" w:eastAsia="Arial" w:hAnsi="Arial"/>
          <w:color w:val="111827"/>
          <w:sz w:val="20"/>
          <w:szCs w:val="20"/>
        </w:rPr>
        <w:t xml:space="preserve">All core investigation workflows completable within 5 navigation steps from dashboard</w:t>
      </w:r>
    </w:p>
    <w:p>
      <w:pPr>
        <w:pStyle w:val="ListParagraph"/>
        <w:numPr>
          <w:ilvl w:val="0"/>
          <w:numId w:val="2"/>
        </w:numPr>
        <w:spacing w:after="40" w:before="40"/>
      </w:pPr>
      <w:r>
        <w:rPr>
          <w:rFonts w:ascii="Arial" w:cs="Arial" w:eastAsia="Arial" w:hAnsi="Arial"/>
          <w:color w:val="111827"/>
          <w:sz w:val="20"/>
          <w:szCs w:val="20"/>
        </w:rPr>
        <w:t xml:space="preserve">Mobile-responsive for case status checking and document upload from field</w:t>
      </w:r>
    </w:p>
    <w:p>
      <w:pPr>
        <w:pStyle w:val="ListParagraph"/>
        <w:numPr>
          <w:ilvl w:val="0"/>
          <w:numId w:val="2"/>
        </w:numPr>
        <w:spacing w:after="40" w:before="40"/>
      </w:pPr>
      <w:r>
        <w:rPr>
          <w:rFonts w:ascii="Arial" w:cs="Arial" w:eastAsia="Arial" w:hAnsi="Arial"/>
          <w:color w:val="111827"/>
          <w:sz w:val="20"/>
          <w:szCs w:val="20"/>
        </w:rPr>
        <w:t xml:space="preserve">Keyboard navigation support for high-volume document entry sessions</w:t>
      </w:r>
    </w:p>
    <w:p>
      <w:pPr>
        <w:pStyle w:val="ListParagraph"/>
        <w:numPr>
          <w:ilvl w:val="0"/>
          <w:numId w:val="2"/>
        </w:numPr>
        <w:spacing w:after="40" w:before="40"/>
      </w:pPr>
      <w:r>
        <w:rPr>
          <w:rFonts w:ascii="Arial" w:cs="Arial" w:eastAsia="Arial" w:hAnsi="Arial"/>
          <w:color w:val="111827"/>
          <w:sz w:val="20"/>
          <w:szCs w:val="20"/>
        </w:rPr>
        <w:t xml:space="preserve">All AI findings displayed with plain-language explanation and specific source citations</w:t>
      </w:r>
    </w:p>
    <w:p>
      <w:pPr>
        <w:pStyle w:val="ListParagraph"/>
        <w:numPr>
          <w:ilvl w:val="0"/>
          <w:numId w:val="2"/>
        </w:numPr>
        <w:spacing w:after="40" w:before="40"/>
      </w:pPr>
      <w:r>
        <w:rPr>
          <w:rFonts w:ascii="Arial" w:cs="Arial" w:eastAsia="Arial" w:hAnsi="Arial"/>
          <w:color w:val="111827"/>
          <w:sz w:val="20"/>
          <w:szCs w:val="20"/>
        </w:rPr>
        <w:t xml:space="preserve">All rule-based findings display exact formula and data source — no opaque outputs</w:t>
      </w:r>
    </w:p>
    <w:p>
      <w:pPr>
        <w:pStyle w:val="ListParagraph"/>
        <w:numPr>
          <w:ilvl w:val="0"/>
          <w:numId w:val="2"/>
        </w:numPr>
        <w:spacing w:after="40" w:before="40"/>
      </w:pPr>
      <w:r>
        <w:rPr>
          <w:rFonts w:ascii="Arial" w:cs="Arial" w:eastAsia="Arial" w:hAnsi="Arial"/>
          <w:color w:val="111827"/>
          <w:sz w:val="20"/>
          <w:szCs w:val="20"/>
        </w:rPr>
        <w:t xml:space="preserve">Error messages in plain language with actionable resolution steps</w:t>
      </w:r>
    </w:p>
    <w:p>
      <w:pPr>
        <w:pStyle w:val="ListParagraph"/>
        <w:numPr>
          <w:ilvl w:val="0"/>
          <w:numId w:val="2"/>
        </w:numPr>
        <w:spacing w:after="40" w:before="40"/>
      </w:pPr>
      <w:r>
        <w:rPr>
          <w:rFonts w:ascii="Arial" w:cs="Arial" w:eastAsia="Arial" w:hAnsi="Arial"/>
          <w:color w:val="111827"/>
          <w:sz w:val="20"/>
          <w:szCs w:val="20"/>
        </w:rPr>
        <w:t xml:space="preserve">New investigator onboarding guide completable within 2 hours</w:t>
      </w:r>
    </w:p>
    <w:p>
      <w:pPr>
        <w:pStyle w:val="ListParagraph"/>
        <w:numPr>
          <w:ilvl w:val="0"/>
          <w:numId w:val="2"/>
        </w:numPr>
        <w:spacing w:after="40" w:before="40"/>
      </w:pPr>
      <w:r>
        <w:rPr>
          <w:rFonts w:ascii="Arial" w:cs="Arial" w:eastAsia="Arial" w:hAnsi="Arial"/>
          <w:color w:val="111827"/>
          <w:sz w:val="20"/>
          <w:szCs w:val="20"/>
        </w:rPr>
        <w:t xml:space="preserve">Malayalam and English UI — per-user preference, persistent across sessions</w:t>
      </w:r>
    </w:p>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4.5 Scalability</w:t>
      </w:r>
    </w:p>
    <w:p>
      <w:pPr>
        <w:spacing w:after="90" w:before="60"/>
        <w:jc w:val="both"/>
      </w:pPr>
      <w:r>
        <w:rPr>
          <w:rFonts w:ascii="Arial" w:cs="Arial" w:eastAsia="Arial" w:hAnsi="Arial"/>
          <w:color w:val="111827"/>
          <w:sz w:val="21"/>
          <w:szCs w:val="21"/>
        </w:rPr>
        <w:t xml:space="preserve">V3 architecture on 8 GB RAM handles: 5 concurrent investigators, up to 5,000 RTI cases, up to 100,000 entity connections, up to 500,000 stored facts. These limits are sufficient for 5-7 years of intensive investigation by a team of up to 10 investigators. When these limits are approached, the upgrade path is straightforward: increase PostgreSQL server RAM (single configuration change), optionally split SQLite to PostgreSQL (data migration script provided). No re-architecture required.</w:t>
      </w:r>
    </w:p>
    <w:p>
      <w:pPr>
        <w:spacing w:after="0" w:before="0"/>
      </w:pPr>
      <w:r>
        <w:br w:type="page"/>
      </w:r>
    </w:p>
    <w:p>
      <w:pPr>
        <w:pStyle w:val="Heading1"/>
        <w:pBdr>
          <w:bottom w:val="single" w:color="1E40AF" w:sz="12" w:space="2"/>
        </w:pBdr>
        <w:spacing w:after="200" w:before="480"/>
      </w:pPr>
      <w:r>
        <w:rPr>
          <w:rFonts w:ascii="Arial" w:cs="Arial" w:eastAsia="Arial" w:hAnsi="Arial"/>
          <w:b/>
          <w:bCs/>
          <w:color w:val="0F2044"/>
          <w:sz w:val="36"/>
          <w:szCs w:val="36"/>
        </w:rPr>
        <w:t xml:space="preserve">5. System Architecture</w:t>
      </w:r>
    </w:p>
    <w:p>
      <w:pPr>
        <w:pStyle w:val="Heading2"/>
        <w:spacing w:after="160" w:before="360"/>
      </w:pPr>
      <w:r>
        <w:rPr>
          <w:rFonts w:ascii="Arial" w:cs="Arial" w:eastAsia="Arial" w:hAnsi="Arial"/>
          <w:b/>
          <w:bCs/>
          <w:color w:val="1E40AF"/>
          <w:sz w:val="28"/>
          <w:szCs w:val="28"/>
        </w:rPr>
        <w:t xml:space="preserve">5.1 Architecture Principles</w:t>
      </w:r>
    </w:p>
    <w:p>
      <w:pPr>
        <w:spacing w:after="90" w:before="60"/>
        <w:jc w:val="both"/>
      </w:pPr>
      <w:r>
        <w:rPr>
          <w:rFonts w:ascii="Arial" w:cs="Arial" w:eastAsia="Arial" w:hAnsi="Arial"/>
          <w:color w:val="111827"/>
          <w:sz w:val="21"/>
          <w:szCs w:val="21"/>
        </w:rPr>
        <w:t xml:space="preserve">The V3 architecture is governed by seven principles established from 15 years of production system experience. Each decision in this document traces back to one or more of these principles.</w:t>
      </w:r>
    </w:p>
    <w:p>
      <w:pPr>
        <w:spacing w:after="8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2044" w:sz="4"/>
              <w:left w:val="single" w:color="0F2044" w:sz="12"/>
              <w:bottom w:val="none" w:color="FFFFFF" w:sz="0"/>
              <w:right w:val="none" w:color="FFFFFF" w:sz="0"/>
            </w:tcBorders>
            <w:shd w:fill="0F2044" w:val="clear"/>
            <w:tcMar>
              <w:top w:type="dxa" w:w="100"/>
              <w:left w:type="dxa" w:w="200"/>
              <w:bottom w:type="dxa" w:w="100"/>
              <w:right w:type="dxa" w:w="200"/>
            </w:tcMar>
          </w:tcPr>
          <w:p>
            <w:pPr>
              <w:spacing w:after="0" w:before="0"/>
            </w:pPr>
            <w:r>
              <w:rPr>
                <w:rFonts w:ascii="Arial" w:cs="Arial" w:eastAsia="Arial" w:hAnsi="Arial"/>
                <w:b/>
                <w:bCs/>
                <w:color w:val="FFFFFF"/>
                <w:sz w:val="20"/>
                <w:szCs w:val="20"/>
              </w:rPr>
              <w:t xml:space="preserve">The Seven Architectural Principles</w:t>
            </w:r>
          </w:p>
        </w:tc>
      </w:tr>
      <w:tr>
        <w:tc>
          <w:tcPr>
            <w:tcBorders>
              <w:top w:val="none" w:color="FFFFFF" w:sz="0"/>
              <w:left w:val="single" w:color="0F2044" w:sz="12"/>
              <w:bottom w:val="single" w:color="0F2044" w:sz="4"/>
              <w:right w:val="none" w:color="FFFFFF" w:sz="0"/>
            </w:tcBorders>
            <w:shd w:fill="E8EDF5" w:val="clear"/>
            <w:tcMar>
              <w:top w:type="dxa" w:w="120"/>
              <w:left w:type="dxa" w:w="200"/>
              <w:bottom w:type="dxa" w:w="120"/>
              <w:right w:type="dxa" w:w="200"/>
            </w:tcMar>
          </w:tcPr>
          <w:p>
            <w:pPr>
              <w:pStyle w:val="ListParagraph"/>
              <w:numPr>
                <w:ilvl w:val="0"/>
                <w:numId w:val="2"/>
              </w:numPr>
              <w:spacing w:after="35" w:before="35"/>
            </w:pPr>
            <w:r>
              <w:rPr>
                <w:rFonts w:ascii="Arial" w:cs="Arial" w:eastAsia="Arial" w:hAnsi="Arial"/>
                <w:color w:val="111827"/>
                <w:sz w:val="19"/>
                <w:szCs w:val="19"/>
              </w:rPr>
              <w:t xml:space="preserve">P1 — Right Tool for Right Task: Use deterministic computation for deterministic problems. Arithmetic for math. Rules for patterns. SQL for structured intelligence. AI for language and reasoning only.</w:t>
            </w:r>
          </w:p>
          <w:p>
            <w:pPr>
              <w:pStyle w:val="ListParagraph"/>
              <w:numPr>
                <w:ilvl w:val="0"/>
                <w:numId w:val="2"/>
              </w:numPr>
              <w:spacing w:after="35" w:before="35"/>
            </w:pPr>
            <w:r>
              <w:rPr>
                <w:rFonts w:ascii="Arial" w:cs="Arial" w:eastAsia="Arial" w:hAnsi="Arial"/>
                <w:color w:val="111827"/>
                <w:sz w:val="19"/>
                <w:szCs w:val="19"/>
              </w:rPr>
              <w:t xml:space="preserve">P2 — Explainability Over Sophistication: A finding that can be traced to its exact formula and source data is more legally defensible than an AI output with opaque reasoning. Prefer explainable.</w:t>
            </w:r>
          </w:p>
          <w:p>
            <w:pPr>
              <w:pStyle w:val="ListParagraph"/>
              <w:numPr>
                <w:ilvl w:val="0"/>
                <w:numId w:val="2"/>
              </w:numPr>
              <w:spacing w:after="35" w:before="35"/>
            </w:pPr>
            <w:r>
              <w:rPr>
                <w:rFonts w:ascii="Arial" w:cs="Arial" w:eastAsia="Arial" w:hAnsi="Arial"/>
                <w:color w:val="111827"/>
                <w:sz w:val="19"/>
                <w:szCs w:val="19"/>
              </w:rPr>
              <w:t xml:space="preserve">P3 — Simplicity is Reliability: Every additional service is a failure point, a maintenance burden, and a skill requirement. Add services only when no simpler tool solves the problem adequately.</w:t>
            </w:r>
          </w:p>
          <w:p>
            <w:pPr>
              <w:pStyle w:val="ListParagraph"/>
              <w:numPr>
                <w:ilvl w:val="0"/>
                <w:numId w:val="2"/>
              </w:numPr>
              <w:spacing w:after="35" w:before="35"/>
            </w:pPr>
            <w:r>
              <w:rPr>
                <w:rFonts w:ascii="Arial" w:cs="Arial" w:eastAsia="Arial" w:hAnsi="Arial"/>
                <w:color w:val="111827"/>
                <w:sz w:val="19"/>
                <w:szCs w:val="19"/>
              </w:rPr>
              <w:t xml:space="preserve">P4 — Human in the Loop: No AI output writes to the database without human review. No internet data enters the knowledge graph without human confirmation. The system advises; humans decide.</w:t>
            </w:r>
          </w:p>
          <w:p>
            <w:pPr>
              <w:pStyle w:val="ListParagraph"/>
              <w:numPr>
                <w:ilvl w:val="0"/>
                <w:numId w:val="2"/>
              </w:numPr>
              <w:spacing w:after="35" w:before="35"/>
            </w:pPr>
            <w:r>
              <w:rPr>
                <w:rFonts w:ascii="Arial" w:cs="Arial" w:eastAsia="Arial" w:hAnsi="Arial"/>
                <w:color w:val="111827"/>
                <w:sz w:val="19"/>
                <w:szCs w:val="19"/>
              </w:rPr>
              <w:t xml:space="preserve">P5 — Evidence Integrity Above All: Cryptographic hashing, immutable audit logs, and chain-of-custody documentation are non-negotiable. Every fact must be traceable to its origin.</w:t>
            </w:r>
          </w:p>
          <w:p>
            <w:pPr>
              <w:pStyle w:val="ListParagraph"/>
              <w:numPr>
                <w:ilvl w:val="0"/>
                <w:numId w:val="2"/>
              </w:numPr>
              <w:spacing w:after="35" w:before="35"/>
            </w:pPr>
            <w:r>
              <w:rPr>
                <w:rFonts w:ascii="Arial" w:cs="Arial" w:eastAsia="Arial" w:hAnsi="Arial"/>
                <w:color w:val="111827"/>
                <w:sz w:val="19"/>
                <w:szCs w:val="19"/>
              </w:rPr>
              <w:t xml:space="preserve">P6 — Hardware-Honest Design: Design for the hardware you have, not the hardware you wish you had. An architecture that requires 64 GB RAM is not better if you have 8 GB — it is broken.</w:t>
            </w:r>
          </w:p>
          <w:p>
            <w:pPr>
              <w:pStyle w:val="ListParagraph"/>
              <w:numPr>
                <w:ilvl w:val="0"/>
                <w:numId w:val="2"/>
              </w:numPr>
              <w:spacing w:after="35" w:before="35"/>
            </w:pPr>
            <w:r>
              <w:rPr>
                <w:rFonts w:ascii="Arial" w:cs="Arial" w:eastAsia="Arial" w:hAnsi="Arial"/>
                <w:color w:val="111827"/>
                <w:sz w:val="19"/>
                <w:szCs w:val="19"/>
              </w:rPr>
              <w:t xml:space="preserve">P7 — Compound Value Over Time: Architecture decisions should make the system more valuable over time, not lock it into dependencies that become obsolete. Standard SQL is timeless. Exotic databases are not.</w:t>
            </w:r>
          </w:p>
        </w:tc>
      </w:tr>
    </w:tbl>
    <w:p>
      <w:pPr>
        <w:spacing w:after="16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5.2 High-Level Architecture Diagram</w:t>
      </w:r>
    </w:p>
    <w:p>
      <w:pPr>
        <w:spacing w:after="90" w:before="60"/>
        <w:jc w:val="both"/>
      </w:pPr>
      <w:r>
        <w:rPr>
          <w:rFonts w:ascii="Arial" w:cs="Arial" w:eastAsia="Arial" w:hAnsi="Arial"/>
          <w:color w:val="111827"/>
          <w:sz w:val="21"/>
          <w:szCs w:val="21"/>
        </w:rPr>
        <w:t xml:space="preserve">The system is organised into four horizontal tiers: the Presentation Tier (React frontend), the Application Tier (Node.js API + Rule Engine), the Intelligence Tier (PostgreSQL graph + SQLite + AI orchestration), and the Storage Tier (S3 + Redis).</w:t>
      </w:r>
    </w:p>
    <w:p>
      <w:pPr>
        <w:spacing w:after="8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2044" w:val="clear"/>
            <w:tcMar>
              <w:top w:type="dxa" w:w="120"/>
              <w:left w:type="dxa" w:w="200"/>
              <w:bottom w:type="dxa" w:w="80"/>
              <w:right w:type="dxa" w:w="200"/>
            </w:tcMar>
          </w:tcPr>
          <w:p>
            <w:pPr>
              <w:spacing w:after="0" w:before="0"/>
            </w:pPr>
            <w:r>
              <w:rPr>
                <w:rFonts w:ascii="Arial" w:cs="Arial" w:eastAsia="Arial" w:hAnsi="Arial"/>
                <w:b/>
                <w:bCs/>
                <w:color w:val="FFFFFF"/>
                <w:sz w:val="20"/>
                <w:szCs w:val="20"/>
              </w:rPr>
              <w:t xml:space="preserve">TIER 1 — PRESENTATION</w:t>
            </w:r>
          </w:p>
        </w:tc>
      </w:tr>
      <w:tr>
        <w:tc>
          <w:tcPr>
            <w:tcBorders>
              <w:top w:val="none" w:color="FFFFFF" w:sz="0"/>
              <w:left w:val="single" w:color="0F2044" w:sz="6"/>
              <w:bottom w:val="single" w:color="0F2044" w:sz="6" w:space="1"/>
              <w:right w:val="none" w:color="FFFFFF" w:sz="0"/>
            </w:tcBorders>
            <w:shd w:fill="F8FAFF" w:val="clear"/>
            <w:tcMar>
              <w:top w:type="dxa" w:w="100"/>
              <w:left w:type="dxa" w:w="200"/>
              <w:bottom w:type="dxa" w:w="120"/>
              <w:right w:type="dxa" w:w="200"/>
            </w:tcMar>
          </w:tcPr>
          <w:p>
            <w:pPr>
              <w:pStyle w:val="ListParagraph"/>
              <w:numPr>
                <w:ilvl w:val="0"/>
                <w:numId w:val="2"/>
              </w:numPr>
              <w:spacing w:after="30" w:before="30"/>
            </w:pPr>
            <w:r>
              <w:rPr>
                <w:rFonts w:ascii="Arial" w:cs="Arial" w:eastAsia="Arial" w:hAnsi="Arial"/>
                <w:color w:val="111827"/>
                <w:sz w:val="18"/>
                <w:szCs w:val="18"/>
              </w:rPr>
              <w:t xml:space="preserve">React 18 + Vite SPA</w:t>
            </w:r>
          </w:p>
          <w:p>
            <w:pPr>
              <w:pStyle w:val="ListParagraph"/>
              <w:numPr>
                <w:ilvl w:val="0"/>
                <w:numId w:val="2"/>
              </w:numPr>
              <w:spacing w:after="30" w:before="30"/>
            </w:pPr>
            <w:r>
              <w:rPr>
                <w:rFonts w:ascii="Arial" w:cs="Arial" w:eastAsia="Arial" w:hAnsi="Arial"/>
                <w:color w:val="111827"/>
                <w:sz w:val="18"/>
                <w:szCs w:val="18"/>
              </w:rPr>
              <w:t xml:space="preserve">i18next (Malayalam/English)</w:t>
            </w:r>
          </w:p>
          <w:p>
            <w:pPr>
              <w:pStyle w:val="ListParagraph"/>
              <w:numPr>
                <w:ilvl w:val="0"/>
                <w:numId w:val="2"/>
              </w:numPr>
              <w:spacing w:after="30" w:before="30"/>
            </w:pPr>
            <w:r>
              <w:rPr>
                <w:rFonts w:ascii="Arial" w:cs="Arial" w:eastAsia="Arial" w:hAnsi="Arial"/>
                <w:color w:val="111827"/>
                <w:sz w:val="18"/>
                <w:szCs w:val="18"/>
              </w:rPr>
              <w:t xml:space="preserve">Lucide Icons</w:t>
            </w:r>
          </w:p>
          <w:p>
            <w:pPr>
              <w:pStyle w:val="ListParagraph"/>
              <w:numPr>
                <w:ilvl w:val="0"/>
                <w:numId w:val="2"/>
              </w:numPr>
              <w:spacing w:after="30" w:before="30"/>
            </w:pPr>
            <w:r>
              <w:rPr>
                <w:rFonts w:ascii="Arial" w:cs="Arial" w:eastAsia="Arial" w:hAnsi="Arial"/>
                <w:color w:val="111827"/>
                <w:sz w:val="18"/>
                <w:szCs w:val="18"/>
              </w:rPr>
              <w:t xml:space="preserve">Axios HTTP client</w:t>
            </w:r>
          </w:p>
          <w:p>
            <w:pPr>
              <w:pStyle w:val="ListParagraph"/>
              <w:numPr>
                <w:ilvl w:val="0"/>
                <w:numId w:val="2"/>
              </w:numPr>
              <w:spacing w:after="30" w:before="30"/>
            </w:pPr>
            <w:r>
              <w:rPr>
                <w:rFonts w:ascii="Arial" w:cs="Arial" w:eastAsia="Arial" w:hAnsi="Arial"/>
                <w:color w:val="111827"/>
                <w:sz w:val="18"/>
                <w:szCs w:val="18"/>
              </w:rPr>
              <w:t xml:space="preserve">State: React Query + Context</w:t>
            </w:r>
          </w:p>
        </w:tc>
      </w:tr>
      <w:tr>
        <w:tc>
          <w:tcPr>
            <w:tcBorders>
              <w:top w:val="none" w:color="FFFFFF" w:sz="0"/>
              <w:left w:val="none" w:color="FFFFFF" w:sz="0"/>
              <w:bottom w:val="none" w:color="FFFFFF" w:sz="0"/>
              <w:right w:val="none" w:color="FFFFFF" w:sz="0"/>
            </w:tcBorders>
            <w:shd w:fill="1E40AF" w:val="clear"/>
            <w:tcMar>
              <w:top w:type="dxa" w:w="120"/>
              <w:left w:type="dxa" w:w="200"/>
              <w:bottom w:type="dxa" w:w="80"/>
              <w:right w:type="dxa" w:w="200"/>
            </w:tcMar>
          </w:tcPr>
          <w:p>
            <w:pPr>
              <w:spacing w:after="0" w:before="0"/>
            </w:pPr>
            <w:r>
              <w:rPr>
                <w:rFonts w:ascii="Arial" w:cs="Arial" w:eastAsia="Arial" w:hAnsi="Arial"/>
                <w:b/>
                <w:bCs/>
                <w:color w:val="FFFFFF"/>
                <w:sz w:val="20"/>
                <w:szCs w:val="20"/>
              </w:rPr>
              <w:t xml:space="preserve">TIER 2 — APPLICATION</w:t>
            </w:r>
          </w:p>
        </w:tc>
      </w:tr>
      <w:tr>
        <w:tc>
          <w:tcPr>
            <w:tcBorders>
              <w:top w:val="none" w:color="FFFFFF" w:sz="0"/>
              <w:left w:val="single" w:color="1E40AF" w:sz="6"/>
              <w:bottom w:val="single" w:color="1E40AF" w:sz="6" w:space="1"/>
              <w:right w:val="none" w:color="FFFFFF" w:sz="0"/>
            </w:tcBorders>
            <w:shd w:fill="F8FAFF" w:val="clear"/>
            <w:tcMar>
              <w:top w:type="dxa" w:w="100"/>
              <w:left w:type="dxa" w:w="200"/>
              <w:bottom w:type="dxa" w:w="120"/>
              <w:right w:type="dxa" w:w="200"/>
            </w:tcMar>
          </w:tcPr>
          <w:p>
            <w:pPr>
              <w:pStyle w:val="ListParagraph"/>
              <w:numPr>
                <w:ilvl w:val="0"/>
                <w:numId w:val="2"/>
              </w:numPr>
              <w:spacing w:after="30" w:before="30"/>
            </w:pPr>
            <w:r>
              <w:rPr>
                <w:rFonts w:ascii="Arial" w:cs="Arial" w:eastAsia="Arial" w:hAnsi="Arial"/>
                <w:color w:val="111827"/>
                <w:sz w:val="18"/>
                <w:szCs w:val="18"/>
              </w:rPr>
              <w:t xml:space="preserve">Node.js 20 LTS + Express 4</w:t>
            </w:r>
          </w:p>
          <w:p>
            <w:pPr>
              <w:pStyle w:val="ListParagraph"/>
              <w:numPr>
                <w:ilvl w:val="0"/>
                <w:numId w:val="2"/>
              </w:numPr>
              <w:spacing w:after="30" w:before="30"/>
            </w:pPr>
            <w:r>
              <w:rPr>
                <w:rFonts w:ascii="Arial" w:cs="Arial" w:eastAsia="Arial" w:hAnsi="Arial"/>
                <w:color w:val="111827"/>
                <w:sz w:val="18"/>
                <w:szCs w:val="18"/>
              </w:rPr>
              <w:t xml:space="preserve">JWT Authentication Middleware</w:t>
            </w:r>
          </w:p>
          <w:p>
            <w:pPr>
              <w:pStyle w:val="ListParagraph"/>
              <w:numPr>
                <w:ilvl w:val="0"/>
                <w:numId w:val="2"/>
              </w:numPr>
              <w:spacing w:after="30" w:before="30"/>
            </w:pPr>
            <w:r>
              <w:rPr>
                <w:rFonts w:ascii="Arial" w:cs="Arial" w:eastAsia="Arial" w:hAnsi="Arial"/>
                <w:color w:val="111827"/>
                <w:sz w:val="18"/>
                <w:szCs w:val="18"/>
              </w:rPr>
              <w:t xml:space="preserve">Bull Queue Job Processor</w:t>
            </w:r>
          </w:p>
          <w:p>
            <w:pPr>
              <w:pStyle w:val="ListParagraph"/>
              <w:numPr>
                <w:ilvl w:val="0"/>
                <w:numId w:val="2"/>
              </w:numPr>
              <w:spacing w:after="30" w:before="30"/>
            </w:pPr>
            <w:r>
              <w:rPr>
                <w:rFonts w:ascii="Arial" w:cs="Arial" w:eastAsia="Arial" w:hAnsi="Arial"/>
                <w:color w:val="111827"/>
                <w:sz w:val="18"/>
                <w:szCs w:val="18"/>
              </w:rPr>
              <w:t xml:space="preserve">Rule Engine (pure JS — deadline, penalty, contradiction, reconciliation)</w:t>
            </w:r>
          </w:p>
          <w:p>
            <w:pPr>
              <w:pStyle w:val="ListParagraph"/>
              <w:numPr>
                <w:ilvl w:val="0"/>
                <w:numId w:val="2"/>
              </w:numPr>
              <w:spacing w:after="30" w:before="30"/>
            </w:pPr>
            <w:r>
              <w:rPr>
                <w:rFonts w:ascii="Arial" w:cs="Arial" w:eastAsia="Arial" w:hAnsi="Arial"/>
                <w:color w:val="111827"/>
                <w:sz w:val="18"/>
                <w:szCs w:val="18"/>
              </w:rPr>
              <w:t xml:space="preserve">AI Orchestration Layer (context assembly + Claude API calls)</w:t>
            </w:r>
          </w:p>
          <w:p>
            <w:pPr>
              <w:pStyle w:val="ListParagraph"/>
              <w:numPr>
                <w:ilvl w:val="0"/>
                <w:numId w:val="2"/>
              </w:numPr>
              <w:spacing w:after="30" w:before="30"/>
            </w:pPr>
            <w:r>
              <w:rPr>
                <w:rFonts w:ascii="Arial" w:cs="Arial" w:eastAsia="Arial" w:hAnsi="Arial"/>
                <w:color w:val="111827"/>
                <w:sz w:val="18"/>
                <w:szCs w:val="18"/>
              </w:rPr>
              <w:t xml:space="preserve">On-Demand Internet Fetch Service (user-triggered only)</w:t>
            </w:r>
          </w:p>
        </w:tc>
      </w:tr>
      <w:tr>
        <w:tc>
          <w:tcPr>
            <w:tcBorders>
              <w:top w:val="none" w:color="FFFFFF" w:sz="0"/>
              <w:left w:val="none" w:color="FFFFFF" w:sz="0"/>
              <w:bottom w:val="none" w:color="FFFFFF" w:sz="0"/>
              <w:right w:val="none" w:color="FFFFFF" w:sz="0"/>
            </w:tcBorders>
            <w:shd w:fill="0F766E" w:val="clear"/>
            <w:tcMar>
              <w:top w:type="dxa" w:w="120"/>
              <w:left w:type="dxa" w:w="200"/>
              <w:bottom w:type="dxa" w:w="80"/>
              <w:right w:type="dxa" w:w="200"/>
            </w:tcMar>
          </w:tcPr>
          <w:p>
            <w:pPr>
              <w:spacing w:after="0" w:before="0"/>
            </w:pPr>
            <w:r>
              <w:rPr>
                <w:rFonts w:ascii="Arial" w:cs="Arial" w:eastAsia="Arial" w:hAnsi="Arial"/>
                <w:b/>
                <w:bCs/>
                <w:color w:val="FFFFFF"/>
                <w:sz w:val="20"/>
                <w:szCs w:val="20"/>
              </w:rPr>
              <w:t xml:space="preserve">TIER 3 — INTELLIGENCE</w:t>
            </w:r>
          </w:p>
        </w:tc>
      </w:tr>
      <w:tr>
        <w:tc>
          <w:tcPr>
            <w:tcBorders>
              <w:top w:val="none" w:color="FFFFFF" w:sz="0"/>
              <w:left w:val="single" w:color="0F766E" w:sz="6"/>
              <w:bottom w:val="single" w:color="0F766E" w:sz="6" w:space="1"/>
              <w:right w:val="none" w:color="FFFFFF" w:sz="0"/>
            </w:tcBorders>
            <w:shd w:fill="F8FAFF" w:val="clear"/>
            <w:tcMar>
              <w:top w:type="dxa" w:w="100"/>
              <w:left w:type="dxa" w:w="200"/>
              <w:bottom w:type="dxa" w:w="120"/>
              <w:right w:type="dxa" w:w="200"/>
            </w:tcMar>
          </w:tcPr>
          <w:p>
            <w:pPr>
              <w:pStyle w:val="ListParagraph"/>
              <w:numPr>
                <w:ilvl w:val="0"/>
                <w:numId w:val="2"/>
              </w:numPr>
              <w:spacing w:after="30" w:before="30"/>
            </w:pPr>
            <w:r>
              <w:rPr>
                <w:rFonts w:ascii="Arial" w:cs="Arial" w:eastAsia="Arial" w:hAnsi="Arial"/>
                <w:color w:val="111827"/>
                <w:sz w:val="18"/>
                <w:szCs w:val="18"/>
              </w:rPr>
              <w:t xml:space="preserve">PostgreSQL 16 — primary knowledge store, entity graph via recursive CTE, full-text search (tsvector)</w:t>
            </w:r>
          </w:p>
          <w:p>
            <w:pPr>
              <w:pStyle w:val="ListParagraph"/>
              <w:numPr>
                <w:ilvl w:val="0"/>
                <w:numId w:val="2"/>
              </w:numPr>
              <w:spacing w:after="30" w:before="30"/>
            </w:pPr>
            <w:r>
              <w:rPr>
                <w:rFonts w:ascii="Arial" w:cs="Arial" w:eastAsia="Arial" w:hAnsi="Arial"/>
                <w:color w:val="111827"/>
                <w:sz w:val="18"/>
                <w:szCs w:val="18"/>
              </w:rPr>
              <w:t xml:space="preserve">SQLite 3 — lightweight read-heavy data (legal reference, timeline library, UI config)</w:t>
            </w:r>
          </w:p>
          <w:p>
            <w:pPr>
              <w:pStyle w:val="ListParagraph"/>
              <w:numPr>
                <w:ilvl w:val="0"/>
                <w:numId w:val="2"/>
              </w:numPr>
              <w:spacing w:after="30" w:before="30"/>
            </w:pPr>
            <w:r>
              <w:rPr>
                <w:rFonts w:ascii="Arial" w:cs="Arial" w:eastAsia="Arial" w:hAnsi="Arial"/>
                <w:color w:val="111827"/>
                <w:sz w:val="18"/>
                <w:szCs w:val="18"/>
              </w:rPr>
              <w:t xml:space="preserve">Redis 7 — Bull Queue job store only (not cache, not session)</w:t>
            </w:r>
          </w:p>
          <w:p>
            <w:pPr>
              <w:pStyle w:val="ListParagraph"/>
              <w:numPr>
                <w:ilvl w:val="0"/>
                <w:numId w:val="2"/>
              </w:numPr>
              <w:spacing w:after="30" w:before="30"/>
            </w:pPr>
            <w:r>
              <w:rPr>
                <w:rFonts w:ascii="Arial" w:cs="Arial" w:eastAsia="Arial" w:hAnsi="Arial"/>
                <w:color w:val="111827"/>
                <w:sz w:val="18"/>
                <w:szCs w:val="18"/>
              </w:rPr>
              <w:t xml:space="preserve">AI Provider: Anthropic Claude Sonnet 4 API (external — no local compute)</w:t>
            </w:r>
          </w:p>
        </w:tc>
      </w:tr>
      <w:tr>
        <w:tc>
          <w:tcPr>
            <w:tcBorders>
              <w:top w:val="none" w:color="FFFFFF" w:sz="0"/>
              <w:left w:val="none" w:color="FFFFFF" w:sz="0"/>
              <w:bottom w:val="none" w:color="FFFFFF" w:sz="0"/>
              <w:right w:val="none" w:color="FFFFFF" w:sz="0"/>
            </w:tcBorders>
            <w:shd w:fill="374151" w:val="clear"/>
            <w:tcMar>
              <w:top w:type="dxa" w:w="120"/>
              <w:left w:type="dxa" w:w="200"/>
              <w:bottom w:type="dxa" w:w="80"/>
              <w:right w:type="dxa" w:w="200"/>
            </w:tcMar>
          </w:tcPr>
          <w:p>
            <w:pPr>
              <w:spacing w:after="0" w:before="0"/>
            </w:pPr>
            <w:r>
              <w:rPr>
                <w:rFonts w:ascii="Arial" w:cs="Arial" w:eastAsia="Arial" w:hAnsi="Arial"/>
                <w:b/>
                <w:bCs/>
                <w:color w:val="FFFFFF"/>
                <w:sz w:val="20"/>
                <w:szCs w:val="20"/>
              </w:rPr>
              <w:t xml:space="preserve">TIER 4 — STORAGE</w:t>
            </w:r>
          </w:p>
        </w:tc>
      </w:tr>
      <w:tr>
        <w:tc>
          <w:tcPr>
            <w:tcBorders>
              <w:top w:val="none" w:color="FFFFFF" w:sz="0"/>
              <w:left w:val="single" w:color="374151" w:sz="6"/>
              <w:bottom w:val="single" w:color="374151" w:sz="6" w:space="1"/>
              <w:right w:val="none" w:color="FFFFFF" w:sz="0"/>
            </w:tcBorders>
            <w:shd w:fill="F8FAFF" w:val="clear"/>
            <w:tcMar>
              <w:top w:type="dxa" w:w="100"/>
              <w:left w:type="dxa" w:w="200"/>
              <w:bottom w:type="dxa" w:w="120"/>
              <w:right w:type="dxa" w:w="200"/>
            </w:tcMar>
          </w:tcPr>
          <w:p>
            <w:pPr>
              <w:pStyle w:val="ListParagraph"/>
              <w:numPr>
                <w:ilvl w:val="0"/>
                <w:numId w:val="2"/>
              </w:numPr>
              <w:spacing w:after="30" w:before="30"/>
            </w:pPr>
            <w:r>
              <w:rPr>
                <w:rFonts w:ascii="Arial" w:cs="Arial" w:eastAsia="Arial" w:hAnsi="Arial"/>
                <w:color w:val="111827"/>
                <w:sz w:val="18"/>
                <w:szCs w:val="18"/>
              </w:rPr>
              <w:t xml:space="preserve">AWS S3 — original document archive (append-only, SHA-256 hashed)</w:t>
            </w:r>
          </w:p>
          <w:p>
            <w:pPr>
              <w:pStyle w:val="ListParagraph"/>
              <w:numPr>
                <w:ilvl w:val="0"/>
                <w:numId w:val="2"/>
              </w:numPr>
              <w:spacing w:after="30" w:before="30"/>
            </w:pPr>
            <w:r>
              <w:rPr>
                <w:rFonts w:ascii="Arial" w:cs="Arial" w:eastAsia="Arial" w:hAnsi="Arial"/>
                <w:color w:val="111827"/>
                <w:sz w:val="18"/>
                <w:szCs w:val="18"/>
              </w:rPr>
              <w:t xml:space="preserve">PostgreSQL WAL — continuous archiving to S3</w:t>
            </w:r>
          </w:p>
          <w:p>
            <w:pPr>
              <w:pStyle w:val="ListParagraph"/>
              <w:numPr>
                <w:ilvl w:val="0"/>
                <w:numId w:val="2"/>
              </w:numPr>
              <w:spacing w:after="30" w:before="30"/>
            </w:pPr>
            <w:r>
              <w:rPr>
                <w:rFonts w:ascii="Arial" w:cs="Arial" w:eastAsia="Arial" w:hAnsi="Arial"/>
                <w:color w:val="111827"/>
                <w:sz w:val="18"/>
                <w:szCs w:val="18"/>
              </w:rPr>
              <w:t xml:space="preserve">Redis AOF — persistence for job queue</w:t>
            </w:r>
          </w:p>
        </w:tc>
      </w:tr>
    </w:tbl>
    <w:p>
      <w:pPr>
        <w:spacing w:after="16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5.3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FFFFFF" w:sz="4"/>
              <w:left w:val="single" w:color="FFFFFF" w:sz="4"/>
              <w:bottom w:val="single" w:color="FFFFFF" w:sz="4"/>
              <w:right w:val="single" w:color="FFFFFF" w:sz="4"/>
            </w:tcBorders>
            <w:shd w:fill="0F766E"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9"/>
                <w:szCs w:val="19"/>
              </w:rPr>
              <w:t xml:space="preserve">Layer</w:t>
            </w:r>
          </w:p>
        </w:tc>
        <w:tc>
          <w:tcPr>
            <w:tcW w:type="dxa" w:w="2600"/>
            <w:tcBorders>
              <w:top w:val="single" w:color="FFFFFF" w:sz="4"/>
              <w:left w:val="single" w:color="FFFFFF" w:sz="4"/>
              <w:bottom w:val="single" w:color="FFFFFF" w:sz="4"/>
              <w:right w:val="single" w:color="FFFFFF" w:sz="4"/>
            </w:tcBorders>
            <w:shd w:fill="0F766E"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9"/>
                <w:szCs w:val="19"/>
              </w:rPr>
              <w:t xml:space="preserve">Technology</w:t>
            </w:r>
          </w:p>
        </w:tc>
        <w:tc>
          <w:tcPr>
            <w:tcW w:type="dxa" w:w="4626"/>
            <w:tcBorders>
              <w:top w:val="single" w:color="FFFFFF" w:sz="4"/>
              <w:left w:val="single" w:color="FFFFFF" w:sz="4"/>
              <w:bottom w:val="single" w:color="FFFFFF" w:sz="4"/>
              <w:right w:val="single" w:color="FFFFFF" w:sz="4"/>
            </w:tcBorders>
            <w:shd w:fill="0F766E"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9"/>
                <w:szCs w:val="19"/>
              </w:rPr>
              <w:t xml:space="preserve">Purpose &amp; Rationale</w:t>
            </w:r>
          </w:p>
        </w:tc>
      </w:tr>
      <w:tr>
        <w:tc>
          <w:tcPr>
            <w:tcW w:type="dxa" w:w="18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Frontend</w:t>
            </w:r>
          </w:p>
        </w:tc>
        <w:tc>
          <w:tcPr>
            <w:tcW w:type="dxa" w:w="26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React 18 + Vite 5</w:t>
            </w:r>
          </w:p>
        </w:tc>
        <w:tc>
          <w:tcPr>
            <w:tcW w:type="dxa" w:w="4626"/>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SPA framework. Vite for fast build and HMR. Component-based UI for all investigation screens.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Language</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i18next + react-i18next</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Malayalam/English UI toggle. Per-user preference stored in profile. RTI text shown in source language.</w:t>
            </w:r>
          </w:p>
        </w:tc>
      </w:tr>
      <w:tr>
        <w:tc>
          <w:tcPr>
            <w:tcW w:type="dxa" w:w="18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HTTP Client</w:t>
            </w:r>
          </w:p>
        </w:tc>
        <w:tc>
          <w:tcPr>
            <w:tcW w:type="dxa" w:w="26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Axios 1.x</w:t>
            </w:r>
          </w:p>
        </w:tc>
        <w:tc>
          <w:tcPr>
            <w:tcW w:type="dxa" w:w="4626"/>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API communication with interceptors for auth token refresh and error handling.</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State Mgmt</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React Query + Context API</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Server state (React Query with caching), UI state (Context). No Redux complexity at this scale.</w:t>
            </w:r>
          </w:p>
        </w:tc>
      </w:tr>
      <w:tr>
        <w:tc>
          <w:tcPr>
            <w:tcW w:type="dxa" w:w="18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Icons</w:t>
            </w:r>
          </w:p>
        </w:tc>
        <w:tc>
          <w:tcPr>
            <w:tcW w:type="dxa" w:w="26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Lucide React</w:t>
            </w:r>
          </w:p>
        </w:tc>
        <w:tc>
          <w:tcPr>
            <w:tcW w:type="dxa" w:w="4626"/>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Consistent, tree-shakeable icon set. Chosen over FontAwesome for bundle size.</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Runtime</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Node.js 20 LTS</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API server runtime. Long-term support until April 2026. Well-supported ecosystem.</w:t>
            </w:r>
          </w:p>
        </w:tc>
      </w:tr>
      <w:tr>
        <w:tc>
          <w:tcPr>
            <w:tcW w:type="dxa" w:w="18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API Framework</w:t>
            </w:r>
          </w:p>
        </w:tc>
        <w:tc>
          <w:tcPr>
            <w:tcW w:type="dxa" w:w="26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Express 4.x</w:t>
            </w:r>
          </w:p>
        </w:tc>
        <w:tc>
          <w:tcPr>
            <w:tcW w:type="dxa" w:w="4626"/>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Minimal, well-understood HTTP framework. Middleware ecosystem for auth, validation, rate limiting.</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Validation</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Zod</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Schema validation for all API inputs. TypeScript-first, composable schemas.</w:t>
            </w:r>
          </w:p>
        </w:tc>
      </w:tr>
      <w:tr>
        <w:tc>
          <w:tcPr>
            <w:tcW w:type="dxa" w:w="18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Auth</w:t>
            </w:r>
          </w:p>
        </w:tc>
        <w:tc>
          <w:tcPr>
            <w:tcW w:type="dxa" w:w="26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jose (JWT) + bcrypt</w:t>
            </w:r>
          </w:p>
        </w:tc>
        <w:tc>
          <w:tcPr>
            <w:tcW w:type="dxa" w:w="4626"/>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JWT generation/verification (jose is standards-compliant). bcrypt for password hashing (cost factor 12).</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Job Queue</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BullMQ + Redis 7</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Background job processing for AI calls, alert generation, cleanup tasks. Retry logic, job history.</w:t>
            </w:r>
          </w:p>
        </w:tc>
      </w:tr>
      <w:tr>
        <w:tc>
          <w:tcPr>
            <w:tcW w:type="dxa" w:w="18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Primary DB</w:t>
            </w:r>
          </w:p>
        </w:tc>
        <w:tc>
          <w:tcPr>
            <w:tcW w:type="dxa" w:w="26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PostgreSQL 16</w:t>
            </w:r>
          </w:p>
        </w:tc>
        <w:tc>
          <w:tcPr>
            <w:tcW w:type="dxa" w:w="4626"/>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Main knowledge store. Entity graph via recursive CTEs. Full-text search (tsvector/tsquery). JSONB for flexible metadata. 25 years of production hardening.</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Secondary DB</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SQLite 3 (better-sqlite3)</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In-process database for legal reference data, timeline library, UI configuration. Zero server overhead. Read-heavy workload.</w:t>
            </w:r>
          </w:p>
        </w:tc>
      </w:tr>
      <w:tr>
        <w:tc>
          <w:tcPr>
            <w:tcW w:type="dxa" w:w="18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ORM/Query</w:t>
            </w:r>
          </w:p>
        </w:tc>
        <w:tc>
          <w:tcPr>
            <w:tcW w:type="dxa" w:w="26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Knex.js + raw SQL</w:t>
            </w:r>
          </w:p>
        </w:tc>
        <w:tc>
          <w:tcPr>
            <w:tcW w:type="dxa" w:w="4626"/>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Knex for migrations and simple queries. Raw SQL with pg for complex graph traversals — never hide complexity behind ORM magic.</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AI Provider</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Anthropic Claude Sonnet 4</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External API. No local compute. Called only when rule engine cannot solve the problem. Context assembled by application layer before each call.</w:t>
            </w:r>
          </w:p>
        </w:tc>
      </w:tr>
      <w:tr>
        <w:tc>
          <w:tcPr>
            <w:tcW w:type="dxa" w:w="18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File Storage</w:t>
            </w:r>
          </w:p>
        </w:tc>
        <w:tc>
          <w:tcPr>
            <w:tcW w:type="dxa" w:w="26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AWS S3 (aws-sdk v3)</w:t>
            </w:r>
          </w:p>
        </w:tc>
        <w:tc>
          <w:tcPr>
            <w:tcW w:type="dxa" w:w="4626"/>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Evidence archive. Append-only. SHA-256 hashed at upload. Signed URL generation for team access.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Hashing</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Node.js crypto (SHA-256)</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Built-in module. No external dependency. File integrity verification for all S3 documents.</w:t>
            </w:r>
          </w:p>
        </w:tc>
      </w:tr>
      <w:tr>
        <w:tc>
          <w:tcPr>
            <w:tcW w:type="dxa" w:w="18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HTTP Fetch</w:t>
            </w:r>
          </w:p>
        </w:tc>
        <w:tc>
          <w:tcPr>
            <w:tcW w:type="dxa" w:w="26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Axios + Playwright (headless)</w:t>
            </w:r>
          </w:p>
        </w:tc>
        <w:tc>
          <w:tcPr>
            <w:tcW w:type="dxa" w:w="4626"/>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Axios for simple page fetches (80% of lookups). Playwright only for JS-rendered pages. Memory-limited container.</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Reverse Proxy</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Nginx 1.25</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TLS termination, static file serving, rate limiting, API proxying. Industry standard.</w:t>
            </w:r>
          </w:p>
        </w:tc>
      </w:tr>
      <w:tr>
        <w:tc>
          <w:tcPr>
            <w:tcW w:type="dxa" w:w="18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Process Mgmt</w:t>
            </w:r>
          </w:p>
        </w:tc>
        <w:tc>
          <w:tcPr>
            <w:tcW w:type="dxa" w:w="26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PM2</w:t>
            </w:r>
          </w:p>
        </w:tc>
        <w:tc>
          <w:tcPr>
            <w:tcW w:type="dxa" w:w="4626"/>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Node.js process management, zero-downtime restart, log aggregation.</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Containers</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Docker + Docker Compose v2</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Service isolation, reproducible deployments, simplified backup. All services containerised.</w:t>
            </w:r>
          </w:p>
        </w:tc>
      </w:tr>
      <w:tr>
        <w:tc>
          <w:tcPr>
            <w:tcW w:type="dxa" w:w="18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Logging</w:t>
            </w:r>
          </w:p>
        </w:tc>
        <w:tc>
          <w:tcPr>
            <w:tcW w:type="dxa" w:w="26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Winston + Morgan</w:t>
            </w:r>
          </w:p>
        </w:tc>
        <w:tc>
          <w:tcPr>
            <w:tcW w:type="dxa" w:w="4626"/>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Structured JSON logging. Morgan for HTTP access logs. Winston for application logs with log levels.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Email</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Nodemailer + SMTP</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Deadline alerts, AI finding notifications. SMTP — works with any provider (Gmail, Mailgun, self-hosted).</w:t>
            </w:r>
          </w:p>
        </w:tc>
      </w:tr>
      <w:tr>
        <w:tc>
          <w:tcPr>
            <w:tcW w:type="dxa" w:w="18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PDF Export</w:t>
            </w:r>
          </w:p>
        </w:tc>
        <w:tc>
          <w:tcPr>
            <w:tcW w:type="dxa" w:w="26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Puppeteer</w:t>
            </w:r>
          </w:p>
        </w:tc>
        <w:tc>
          <w:tcPr>
            <w:tcW w:type="dxa" w:w="4626"/>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Evidence package PDF generation. Renders HTML to PDF. Reliable for complex layouts.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Monitoring</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Node.js health endpoint</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Simple /health endpoint for uptime monitoring. No heavy APM at this scale.</w:t>
            </w:r>
          </w:p>
        </w:tc>
      </w:tr>
      <w:tr>
        <w:tc>
          <w:tcPr>
            <w:tcW w:type="dxa" w:w="18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766E"/>
                <w:sz w:val="18"/>
                <w:szCs w:val="18"/>
              </w:rPr>
              <w:t xml:space="preserve">OS</w:t>
            </w:r>
          </w:p>
        </w:tc>
        <w:tc>
          <w:tcPr>
            <w:tcW w:type="dxa" w:w="2600"/>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Ubuntu Server 24.04 LTS</w:t>
            </w:r>
          </w:p>
        </w:tc>
        <w:tc>
          <w:tcPr>
            <w:tcW w:type="dxa" w:w="4626"/>
            <w:tcBorders>
              <w:top w:val="single" w:color="D1D5DB" w:sz="4"/>
              <w:left w:val="single" w:color="D1D5DB" w:sz="4"/>
              <w:bottom w:val="single" w:color="D1D5DB" w:sz="4"/>
              <w:right w:val="single" w:color="D1D5DB" w:sz="4"/>
            </w:tcBorders>
            <w:shd w:fill="CCFBF1"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Stable, well-supported. All required packages available. Production-proven for this stack.</w:t>
            </w:r>
          </w:p>
        </w:tc>
      </w:tr>
    </w:tbl>
    <w:p>
      <w:pPr>
        <w:spacing w:after="0" w:before="0"/>
      </w:pPr>
      <w:r>
        <w:br w:type="page"/>
      </w:r>
    </w:p>
    <w:p>
      <w:pPr>
        <w:pStyle w:val="Heading1"/>
        <w:pBdr>
          <w:bottom w:val="single" w:color="1E40AF" w:sz="12" w:space="2"/>
        </w:pBdr>
        <w:spacing w:after="200" w:before="480"/>
      </w:pPr>
      <w:r>
        <w:rPr>
          <w:rFonts w:ascii="Arial" w:cs="Arial" w:eastAsia="Arial" w:hAnsi="Arial"/>
          <w:b/>
          <w:bCs/>
          <w:color w:val="0F2044"/>
          <w:sz w:val="36"/>
          <w:szCs w:val="36"/>
        </w:rPr>
        <w:t xml:space="preserve">6. Database Design</w:t>
      </w:r>
    </w:p>
    <w:p>
      <w:pPr>
        <w:pStyle w:val="Heading2"/>
        <w:spacing w:after="160" w:before="360"/>
      </w:pPr>
      <w:r>
        <w:rPr>
          <w:rFonts w:ascii="Arial" w:cs="Arial" w:eastAsia="Arial" w:hAnsi="Arial"/>
          <w:b/>
          <w:bCs/>
          <w:color w:val="1E40AF"/>
          <w:sz w:val="28"/>
          <w:szCs w:val="28"/>
        </w:rPr>
        <w:t xml:space="preserve">6.1 Architecture Decision: PostgreSQL + SQLite</w:t>
      </w:r>
    </w:p>
    <w:p>
      <w:pPr>
        <w:spacing w:after="90" w:before="60"/>
        <w:jc w:val="both"/>
      </w:pPr>
      <w:r>
        <w:rPr>
          <w:rFonts w:ascii="Arial" w:cs="Arial" w:eastAsia="Arial" w:hAnsi="Arial"/>
          <w:color w:val="111827"/>
          <w:sz w:val="21"/>
          <w:szCs w:val="21"/>
        </w:rPr>
        <w:t xml:space="preserve">PostgreSQL serves as the primary knowledge store for all dynamic, relational, and graph data. SQLite serves as an in-process read-optimised store for static reference data (RTI Act sections, legal precedents, process timeline library, UI translations). This separation ensures that heavy graph queries on PostgreSQL never compete with simple reference lookups, and that SQLite's zero-overhead reads make the rule engine instantaneous.</w:t>
      </w:r>
    </w:p>
    <w:p>
      <w:pPr>
        <w:spacing w:after="8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6.2 PostgreSQL Schema — Core Tables</w:t>
      </w:r>
    </w:p>
    <w:p>
      <w:pPr>
        <w:pStyle w:val="Heading3"/>
        <w:spacing w:after="120" w:before="260"/>
      </w:pPr>
      <w:r>
        <w:rPr>
          <w:rFonts w:ascii="Arial" w:cs="Arial" w:eastAsia="Arial" w:hAnsi="Arial"/>
          <w:b/>
          <w:bCs/>
          <w:color w:val="374151"/>
          <w:sz w:val="24"/>
          <w:szCs w:val="24"/>
        </w:rPr>
        <w:t xml:space="preserve">6.2.1 rti_cases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Column</w:t>
            </w:r>
          </w:p>
        </w:tc>
        <w:tc>
          <w:tcPr>
            <w:tcW w:type="dxa" w:w="24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Type / Constraint</w:t>
            </w:r>
          </w:p>
        </w:tc>
        <w:tc>
          <w:tcPr>
            <w:tcW w:type="dxa" w:w="4626"/>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Description</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id</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PRIMARY KEY</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Auto-generated unique identifier</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rti_id</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VARCHAR(20) UNIQUE</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Human-readable ID: RTI-YYYY-NNN</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title</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TEXT NOT NULL</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Descriptive case title</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department</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TEXT NOT NULL</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Target government department</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pio_officer</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TEXT</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Named PIO officer</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status</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VARCHAR(30)</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Lifecycle status (16 valid values)</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priority</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VARCHAR(10)</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critical/high/medium/low</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filed_date</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DATE NOT NULL</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RTI filing date — starts 30-day clock</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due_date</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DATE GENERATED</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filed_date + 30 days (computed column)</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response_date</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DATE</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Actual response receipt date</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tags</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TEXT[]</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Array of keyword tags</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corruption_score</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INTEGER DEFAULT 0</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0-100 corruption probability score</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created_by</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users</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Filing team member</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created_at</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TIMESTAMPTZ DEFAULT NOW()</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Record creation timestamp</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updated_at</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TIMESTAMPTZ</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Last update — trigger-maintained</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is_public</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BOOLEAN DEFAULT FALSE</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Whether case appears on public dashboard</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metadata</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JSONB DEFAULT '{}'</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Flexible additional attributes</w:t>
            </w:r>
          </w:p>
        </w:tc>
      </w:tr>
    </w:tbl>
    <w:p>
      <w:pPr>
        <w:spacing w:after="10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6.2.2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Column</w:t>
            </w:r>
          </w:p>
        </w:tc>
        <w:tc>
          <w:tcPr>
            <w:tcW w:type="dxa" w:w="22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Type</w:t>
            </w:r>
          </w:p>
        </w:tc>
        <w:tc>
          <w:tcPr>
            <w:tcW w:type="dxa" w:w="4826"/>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Description</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id</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PRIMARY KEY</w:t>
            </w:r>
          </w:p>
        </w:tc>
        <w:tc>
          <w:tcPr>
            <w:tcW w:type="dxa" w:w="48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Auto-generated</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name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TEXT NOT NULL</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Official name (English)</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name_ml</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TEXT</w:t>
            </w:r>
          </w:p>
        </w:tc>
        <w:tc>
          <w:tcPr>
            <w:tcW w:type="dxa" w:w="48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Malayalam name if known</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type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VARCHAR(20)</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person/govt-org/company/dept/contractor</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risk_score</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INTEGER DEFAULT 0</w:t>
            </w:r>
          </w:p>
        </w:tc>
        <w:tc>
          <w:tcPr>
            <w:tcW w:type="dxa" w:w="48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0-100 entity risk score — rule computed</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designation</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TEXT</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Official title or designation</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parent_org</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entities</w:t>
            </w:r>
          </w:p>
        </w:tc>
        <w:tc>
          <w:tcPr>
            <w:tcW w:type="dxa" w:w="48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For hierarchical organisation structure</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external_ids</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JSONB DEFAULT '{}'</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MCA21 CIN, Wikidata QID, etc.</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verified</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BOOLEAN DEFAULT FALSE</w:t>
            </w:r>
          </w:p>
        </w:tc>
        <w:tc>
          <w:tcPr>
            <w:tcW w:type="dxa" w:w="48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Whether identity is verified from official source</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connection_count</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INTEGER DEFAULT 0</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Denormalised connection count — updated by trigger</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created_at</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TIMESTAMPTZ DEFAULT NOW()</w:t>
            </w:r>
          </w:p>
        </w:tc>
        <w:tc>
          <w:tcPr>
            <w:tcW w:type="dxa" w:w="48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metadata</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JSONB DEFAULT '{}'</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Additional attributes</w:t>
            </w:r>
          </w:p>
        </w:tc>
      </w:tr>
    </w:tbl>
    <w:p>
      <w:pPr>
        <w:spacing w:after="10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6.2.3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Column</w:t>
            </w:r>
          </w:p>
        </w:tc>
        <w:tc>
          <w:tcPr>
            <w:tcW w:type="dxa" w:w="22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Type</w:t>
            </w:r>
          </w:p>
        </w:tc>
        <w:tc>
          <w:tcPr>
            <w:tcW w:type="dxa" w:w="5026"/>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Description</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id</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PRIMARY KEY</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case_id</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rti_cases</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Parent RTI case</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doc_type</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VARCHAR(30)</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application/response/first_appeal/second_appeal/sic_order/court_order/audit_report/news/evidence/tip</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s3_key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TEXT UNIQUE</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Full S3 object key — permanent reference</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sha256_hash</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CHAR(64)</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SHA-256 hash at upload — integrity proof</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file_size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BIGINT</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File size in bytes</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mime_type</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VARCHAR(50)</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MIME type</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uploaded_by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users</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uploaded_at</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TIMESTAMPTZ DEFAULT NOW()</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text_content</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TEXT</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Manually entered knowledge text — searchable</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text_vector</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TSVECTOR</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Auto-generated from text_content for FTS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language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VARCHAR(5) DEFAULT 'en'</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en/ml — source document language</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is_verified</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BOOLEAN DEFAULT FALSE</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Reviewed and approved by team member</w:t>
            </w:r>
          </w:p>
        </w:tc>
      </w:tr>
    </w:tbl>
    <w:p>
      <w:pPr>
        <w:spacing w:after="10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6.2.4 facts</w:t>
      </w:r>
    </w:p>
    <w:p>
      <w:pPr>
        <w:spacing w:after="90" w:before="60"/>
        <w:jc w:val="both"/>
      </w:pPr>
      <w:r>
        <w:rPr>
          <w:rFonts w:ascii="Arial" w:cs="Arial" w:eastAsia="Arial" w:hAnsi="Arial"/>
          <w:color w:val="111827"/>
          <w:sz w:val="21"/>
          <w:szCs w:val="21"/>
        </w:rPr>
        <w:t xml:space="preserve">Each individual piece of information extracted from a document becomes a fact node. Facts are the atoms of the knowledge graph — everything else links to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Column</w:t>
            </w:r>
          </w:p>
        </w:tc>
        <w:tc>
          <w:tcPr>
            <w:tcW w:type="dxa" w:w="22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Type</w:t>
            </w:r>
          </w:p>
        </w:tc>
        <w:tc>
          <w:tcPr>
            <w:tcW w:type="dxa" w:w="5026"/>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Description</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id</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PRIMARY KEY</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document_id</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documents</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Source document</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case_id</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rti_cases</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Parent case (denormalised for query speed)</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fact_type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VARCHAR(30)</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financial_amount/date/official_statement/entity_mention/legal_section/process_event/contractor_name/project_detail</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content</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TEXT NOT NULL</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The fact in English</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amount</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NUMERIC(18,2)</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For financial facts — exact amount</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amount_currency</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VARCHAR(5) DEFAULT 'INR'</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fact_date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DATE</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For date facts</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entity_ref</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entities</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For entity mention facts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legal_section</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VARCHAR(20)</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For legal section facts — e.g. S.8(1)(d)</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confidence</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VARCHAR(10) DEFAULT 'confirmed'</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confirmed/uncertain/inferred</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entered_by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users</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entered_at</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TIMESTAMPTZ DEFAULT NOW()</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
            </w:r>
          </w:p>
        </w:tc>
      </w:tr>
    </w:tbl>
    <w:p>
      <w:pPr>
        <w:spacing w:after="10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6.2.5 contradictions</w:t>
      </w:r>
    </w:p>
    <w:p>
      <w:pPr>
        <w:spacing w:after="90" w:before="60"/>
        <w:jc w:val="both"/>
      </w:pPr>
      <w:r>
        <w:rPr>
          <w:rFonts w:ascii="Arial" w:cs="Arial" w:eastAsia="Arial" w:hAnsi="Arial"/>
          <w:color w:val="111827"/>
          <w:sz w:val="21"/>
          <w:szCs w:val="21"/>
        </w:rPr>
        <w:t xml:space="preserve">A contradiction is itself a first-class record — not just a flag, but a queryable entity linking two facts that cannot both be true.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Column</w:t>
            </w:r>
          </w:p>
        </w:tc>
        <w:tc>
          <w:tcPr>
            <w:tcW w:type="dxa" w:w="22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Type</w:t>
            </w:r>
          </w:p>
        </w:tc>
        <w:tc>
          <w:tcPr>
            <w:tcW w:type="dxa" w:w="5026"/>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Description</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id</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PRIMARY KEY</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fact_id_1</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facts</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First contradicting fact</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fact_id_2</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facts</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Second contradicting fact</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case_id_1</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rti_cases</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Case of fact 1 (may differ from case 2)</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case_id_2</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rti_cases</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Case of fact 2 — cross-case contradictions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contradiction_type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VARCHAR(30)</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numerical/temporal/statement/legal/financial</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description</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TEXT</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Plain-language description of the contradiction</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severity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VARCHAR(20)</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minor/significant/direct/fraud_indicator</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confidence</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INTEGER</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0-100 — how certain is the contradiction</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status</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VARCHAR(20) DEFAULT 'unreviewed'</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unreviewed/confirmed/dismissed/published</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detected_at</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TIMESTAMPTZ DEFAULT NOW()</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reviewed_by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users</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reviewed_at</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TIMESTAMPTZ</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ai_narrative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TEXT</w:t>
            </w:r>
          </w:p>
        </w:tc>
        <w:tc>
          <w:tcPr>
            <w:tcW w:type="dxa" w:w="5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AI-generated explanation — only if requested</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6.3 Graph Schema — Edge Tables</w:t>
      </w:r>
    </w:p>
    <w:p>
      <w:pPr>
        <w:spacing w:after="90" w:before="60"/>
        <w:jc w:val="both"/>
      </w:pPr>
      <w:r>
        <w:rPr>
          <w:rFonts w:ascii="Arial" w:cs="Arial" w:eastAsia="Arial" w:hAnsi="Arial"/>
          <w:color w:val="111827"/>
          <w:sz w:val="21"/>
          <w:szCs w:val="21"/>
        </w:rPr>
        <w:t xml:space="preserve">PostgreSQL implements the investigation graph through explicit edge tables with recursive CTE traversal. This handles all entity relationship queries your investigation requires up to 3-4 hops, which covers all practical investigation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Edge Table</w:t>
            </w:r>
          </w:p>
        </w:tc>
        <w:tc>
          <w:tcPr>
            <w:tcW w:type="dxa" w:w="30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Key Columns</w:t>
            </w:r>
          </w:p>
        </w:tc>
        <w:tc>
          <w:tcPr>
            <w:tcW w:type="dxa" w:w="4026"/>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Purpose</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case_entities</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case_id, entity_id, role, relevance_score</w:t>
            </w:r>
          </w:p>
        </w:tc>
        <w:tc>
          <w:tcPr>
            <w:tcW w:type="dxa" w:w="4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RTI case involves entity — role: pio/respondent/contractor/beneficiary/mentioned</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entity_relationships</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from_entity_id, to_entity_id, relationship_type, case_id, notes</w:t>
            </w:r>
          </w:p>
        </w:tc>
        <w:tc>
          <w:tcPr>
            <w:tcW w:type="dxa" w:w="4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Entity network edges: employer_of/contracted_by/director_of/subsidiary_of/associated_with</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case_links</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from_case_id, to_case_id, link_type, strength, notes</w:t>
            </w:r>
          </w:p>
        </w:tc>
        <w:tc>
          <w:tcPr>
            <w:tcW w:type="dxa" w:w="4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RTI case links: same_entity/same_department/financial_connection/sequential_investigation</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document_entities</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document_id, entity_id, mention_context, page_ref</w:t>
            </w:r>
          </w:p>
        </w:tc>
        <w:tc>
          <w:tcPr>
            <w:tcW w:type="dxa" w:w="4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Entities mentioned in specific documents</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case_tags</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case_id, tag_id</w:t>
            </w:r>
          </w:p>
        </w:tc>
        <w:tc>
          <w:tcPr>
            <w:tcW w:type="dxa" w:w="40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Many-to-many case-tag relationships</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6.4 Graph Traversal — PostgreSQL Recursive CTE</w:t>
      </w:r>
    </w:p>
    <w:p>
      <w:pPr>
        <w:spacing w:after="90" w:before="60"/>
        <w:jc w:val="both"/>
      </w:pPr>
      <w:r>
        <w:rPr>
          <w:rFonts w:ascii="Arial" w:cs="Arial" w:eastAsia="Arial" w:hAnsi="Arial"/>
          <w:color w:val="111827"/>
          <w:sz w:val="21"/>
          <w:szCs w:val="21"/>
        </w:rPr>
        <w:t xml:space="preserve">The following pattern is used throughout the application for entity network traversal. This replaces ArangoDB graph queries and performs efficiently at your data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766E" w:sz="6"/>
              <w:left w:val="single" w:color="0F766E" w:sz="12"/>
              <w:bottom w:val="single" w:color="0F766E" w:sz="6"/>
              <w:right w:val="none" w:color="FFFFFF" w:sz="0"/>
            </w:tcBorders>
            <w:shd w:fill="F0FDF9" w:val="clear"/>
            <w:tcMar>
              <w:top w:type="dxa" w:w="160"/>
              <w:left w:type="dxa" w:w="200"/>
              <w:bottom w:type="dxa" w:w="160"/>
              <w:right w:type="dxa" w:w="200"/>
            </w:tcMar>
          </w:tcPr>
          <w:p>
            <w:pPr>
              <w:spacing w:after="40" w:before="0"/>
            </w:pPr>
            <w:r>
              <w:rPr>
                <w:rFonts w:ascii="Courier New" w:cs="Courier New" w:eastAsia="Courier New" w:hAnsi="Courier New"/>
                <w:color w:val="6B7280"/>
                <w:sz w:val="16"/>
                <w:szCs w:val="16"/>
              </w:rPr>
              <w:t xml:space="preserve">-- Find all entities connected to a given entity within N hops</w:t>
            </w:r>
          </w:p>
          <w:p>
            <w:pPr>
              <w:spacing w:after="20" w:before="0"/>
            </w:pPr>
            <w:r>
              <w:rPr>
                <w:rFonts w:ascii="Courier New" w:cs="Courier New" w:eastAsia="Courier New" w:hAnsi="Courier New"/>
                <w:color w:val="0F2044"/>
                <w:sz w:val="16"/>
                <w:szCs w:val="16"/>
              </w:rPr>
              <w:t xml:space="preserve">WITH RECURSIVE entity_graph AS (</w:t>
            </w:r>
          </w:p>
          <w:p>
            <w:pPr>
              <w:spacing w:after="20" w:before="0"/>
            </w:pPr>
            <w:r>
              <w:rPr>
                <w:rFonts w:ascii="Courier New" w:cs="Courier New" w:eastAsia="Courier New" w:hAnsi="Courier New"/>
                <w:color w:val="0F2044"/>
                <w:sz w:val="16"/>
                <w:szCs w:val="16"/>
              </w:rPr>
              <w:t xml:space="preserve">  SELECT from_entity_id, to_entity_id, relationship_type, 1 AS depth</w:t>
            </w:r>
          </w:p>
          <w:p>
            <w:pPr>
              <w:spacing w:after="20" w:before="0"/>
            </w:pPr>
            <w:r>
              <w:rPr>
                <w:rFonts w:ascii="Courier New" w:cs="Courier New" w:eastAsia="Courier New" w:hAnsi="Courier New"/>
                <w:color w:val="0F2044"/>
                <w:sz w:val="16"/>
                <w:szCs w:val="16"/>
              </w:rPr>
              <w:t xml:space="preserve">  FROM entity_relationships WHERE from_entity_id = $1</w:t>
            </w:r>
          </w:p>
          <w:p>
            <w:pPr>
              <w:spacing w:after="20" w:before="0"/>
            </w:pPr>
            <w:r>
              <w:rPr>
                <w:rFonts w:ascii="Courier New" w:cs="Courier New" w:eastAsia="Courier New" w:hAnsi="Courier New"/>
                <w:b/>
                <w:bCs/>
                <w:color w:val="0F766E"/>
                <w:sz w:val="16"/>
                <w:szCs w:val="16"/>
              </w:rPr>
              <w:t xml:space="preserve">  UNION ALL</w:t>
            </w:r>
          </w:p>
          <w:p>
            <w:pPr>
              <w:spacing w:after="20" w:before="0"/>
            </w:pPr>
            <w:r>
              <w:rPr>
                <w:rFonts w:ascii="Courier New" w:cs="Courier New" w:eastAsia="Courier New" w:hAnsi="Courier New"/>
                <w:color w:val="0F2044"/>
                <w:sz w:val="16"/>
                <w:szCs w:val="16"/>
              </w:rPr>
              <w:t xml:space="preserve">  SELECT er.from_entity_id, er.to_entity_id, er.relationship_type, eg.depth + 1</w:t>
            </w:r>
          </w:p>
          <w:p>
            <w:pPr>
              <w:spacing w:after="20" w:before="0"/>
            </w:pPr>
            <w:r>
              <w:rPr>
                <w:rFonts w:ascii="Courier New" w:cs="Courier New" w:eastAsia="Courier New" w:hAnsi="Courier New"/>
                <w:color w:val="0F2044"/>
                <w:sz w:val="16"/>
                <w:szCs w:val="16"/>
              </w:rPr>
              <w:t xml:space="preserve">  FROM entity_relationships er JOIN entity_graph eg ON er.from_entity_id = eg.to_entity_id</w:t>
            </w:r>
          </w:p>
          <w:p>
            <w:pPr>
              <w:spacing w:after="20" w:before="0"/>
            </w:pPr>
            <w:r>
              <w:rPr>
                <w:rFonts w:ascii="Courier New" w:cs="Courier New" w:eastAsia="Courier New" w:hAnsi="Courier New"/>
                <w:color w:val="6B7280"/>
                <w:sz w:val="16"/>
                <w:szCs w:val="16"/>
              </w:rPr>
              <w:t xml:space="preserve">  WHERE eg.depth &lt; $2  -- max hops, typically 3</w:t>
            </w:r>
          </w:p>
          <w:p>
            <w:pPr>
              <w:spacing w:after="20" w:before="0"/>
            </w:pPr>
            <w:r>
              <w:rPr>
                <w:rFonts w:ascii="Courier New" w:cs="Courier New" w:eastAsia="Courier New" w:hAnsi="Courier New"/>
                <w:color w:val="0F2044"/>
                <w:sz w:val="16"/>
                <w:szCs w:val="16"/>
              </w:rPr>
              <w:t xml:space="preserve">)</w:t>
            </w:r>
          </w:p>
          <w:p>
            <w:pPr>
              <w:spacing w:after="20" w:before="0"/>
            </w:pPr>
            <w:r>
              <w:rPr>
                <w:rFonts w:ascii="Courier New" w:cs="Courier New" w:eastAsia="Courier New" w:hAnsi="Courier New"/>
                <w:color w:val="0F2044"/>
                <w:sz w:val="16"/>
                <w:szCs w:val="16"/>
              </w:rPr>
              <w:t xml:space="preserve">SELECT DISTINCT to_entity_id, MIN(depth) AS hops</w:t>
            </w:r>
          </w:p>
          <w:p>
            <w:pPr>
              <w:spacing w:after="0" w:before="0"/>
            </w:pPr>
            <w:r>
              <w:rPr>
                <w:rFonts w:ascii="Courier New" w:cs="Courier New" w:eastAsia="Courier New" w:hAnsi="Courier New"/>
                <w:color w:val="0F2044"/>
                <w:sz w:val="16"/>
                <w:szCs w:val="16"/>
              </w:rPr>
              <w:t xml:space="preserve">FROM entity_graph GROUP BY to_entity_id ORDER BY hops;</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6.5 SQLite Reference Database</w:t>
      </w:r>
    </w:p>
    <w:p>
      <w:pPr>
        <w:spacing w:after="90" w:before="60"/>
        <w:jc w:val="both"/>
      </w:pPr>
      <w:r>
        <w:rPr>
          <w:rFonts w:ascii="Arial" w:cs="Arial" w:eastAsia="Arial" w:hAnsi="Arial"/>
          <w:color w:val="111827"/>
          <w:sz w:val="21"/>
          <w:szCs w:val="21"/>
        </w:rPr>
        <w:t xml:space="preserve">SQLite stores static reference data that the rule engine reads constantly. Being in-process, these reads cost microseconds and zero network overhead.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Table</w:t>
            </w:r>
          </w:p>
        </w:tc>
        <w:tc>
          <w:tcPr>
            <w:tcW w:type="dxa" w:w="28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Key Columns</w:t>
            </w:r>
          </w:p>
        </w:tc>
        <w:tc>
          <w:tcPr>
            <w:tcW w:type="dxa" w:w="4226"/>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Purpose</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rti_act_sections</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section_id, section_text, common_name, exemption_validity_conditions</w:t>
            </w:r>
          </w:p>
        </w:tc>
        <w:tc>
          <w:tcPr>
            <w:tcW w:type="dxa" w:w="4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Full RTI Act 2005 text with validity conditions for each exemption</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process_timelines</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process_type, min_days, max_days, legal_basis, notes</w:t>
            </w:r>
          </w:p>
        </w:tc>
        <w:tc>
          <w:tcPr>
            <w:tcW w:type="dxa" w:w="4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Standard government process durations for timeline anomaly detection</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mandatory_documents</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response_type, doc_type, is_mandatory, legal_basis</w:t>
            </w:r>
          </w:p>
        </w:tc>
        <w:tc>
          <w:tcPr>
            <w:tcW w:type="dxa" w:w="4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Documents that must exist per RTI response type — missing document detection</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ui_translations</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key, english, malayalam</w:t>
            </w:r>
          </w:p>
        </w:tc>
        <w:tc>
          <w:tcPr>
            <w:tcW w:type="dxa" w:w="4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All UI text strings — i18next source</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legal_precedents</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case_name, citation, year, relevance_tags, summary</w:t>
            </w:r>
          </w:p>
        </w:tc>
        <w:tc>
          <w:tcPr>
            <w:tcW w:type="dxa" w:w="4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Key RTI Act judgments for AI legal context assembly</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evasion_patterns</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pattern_id, description, section_cited, validity_assessment, counter_arguments</w:t>
            </w:r>
          </w:p>
        </w:tc>
        <w:tc>
          <w:tcPr>
            <w:tcW w:type="dxa" w:w="4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Known evasion tactics with legal counter-arguments</w:t>
            </w:r>
          </w:p>
        </w:tc>
      </w:tr>
    </w:tbl>
    <w:p>
      <w:pPr>
        <w:spacing w:after="0" w:before="0"/>
      </w:pPr>
      <w:r>
        <w:br w:type="page"/>
      </w:r>
    </w:p>
    <w:p>
      <w:pPr>
        <w:pStyle w:val="Heading1"/>
        <w:pBdr>
          <w:bottom w:val="single" w:color="1E40AF" w:sz="12" w:space="2"/>
        </w:pBdr>
        <w:spacing w:after="200" w:before="480"/>
      </w:pPr>
      <w:r>
        <w:rPr>
          <w:rFonts w:ascii="Arial" w:cs="Arial" w:eastAsia="Arial" w:hAnsi="Arial"/>
          <w:b/>
          <w:bCs/>
          <w:color w:val="0F2044"/>
          <w:sz w:val="36"/>
          <w:szCs w:val="36"/>
        </w:rPr>
        <w:t xml:space="preserve">7. Rule Engine — Deterministic Intelligence</w:t>
      </w:r>
    </w:p>
    <w:p>
      <w:pPr>
        <w:spacing w:after="90" w:before="60"/>
        <w:jc w:val="both"/>
      </w:pPr>
      <w:r>
        <w:rPr>
          <w:rFonts w:ascii="Arial" w:cs="Arial" w:eastAsia="Arial" w:hAnsi="Arial"/>
          <w:color w:val="111827"/>
          <w:sz w:val="21"/>
          <w:szCs w:val="21"/>
        </w:rPr>
        <w:t xml:space="preserve">The Rule Engine is the most architecturally important component of RTI Watch and the primary differentiator of V3 over previous versions. It handles every intelligence task that can be solved correctly without AI — which is approximately 80% of the system's analytical work. It runs synchronously after every document knowledge commit and completes in under one second.</w:t>
      </w:r>
    </w:p>
    <w:p>
      <w:pPr>
        <w:spacing w:after="8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7.1 Rule Engine Architecture</w:t>
      </w:r>
    </w:p>
    <w:p>
      <w:pPr>
        <w:spacing w:after="90" w:before="60"/>
        <w:jc w:val="both"/>
      </w:pPr>
      <w:r>
        <w:rPr>
          <w:rFonts w:ascii="Arial" w:cs="Arial" w:eastAsia="Arial" w:hAnsi="Arial"/>
          <w:color w:val="111827"/>
          <w:sz w:val="21"/>
          <w:szCs w:val="21"/>
        </w:rPr>
        <w:t xml:space="preserve">The Rule Engine is a pure JavaScript module within the Node.js application process. It requires no network calls, no external services, and no AI API budget. Each rule is a function that takes database facts and returns findings. Rules are composable, testable, and independently deployable.</w:t>
      </w:r>
    </w:p>
    <w:p>
      <w:pPr>
        <w:spacing w:after="8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766E" w:sz="4"/>
              <w:left w:val="single" w:color="0F766E" w:sz="12"/>
              <w:bottom w:val="none" w:color="FFFFFF" w:sz="0"/>
              <w:right w:val="none" w:color="FFFFFF" w:sz="0"/>
            </w:tcBorders>
            <w:shd w:fill="0F766E" w:val="clear"/>
            <w:tcMar>
              <w:top w:type="dxa" w:w="100"/>
              <w:left w:type="dxa" w:w="200"/>
              <w:bottom w:type="dxa" w:w="100"/>
              <w:right w:type="dxa" w:w="200"/>
            </w:tcMar>
          </w:tcPr>
          <w:p>
            <w:pPr>
              <w:spacing w:after="0" w:before="0"/>
            </w:pPr>
            <w:r>
              <w:rPr>
                <w:rFonts w:ascii="Arial" w:cs="Arial" w:eastAsia="Arial" w:hAnsi="Arial"/>
                <w:b/>
                <w:bCs/>
                <w:color w:val="FFFFFF"/>
                <w:sz w:val="20"/>
                <w:szCs w:val="20"/>
              </w:rPr>
              <w:t xml:space="preserve">Rule Engine Design Principles</w:t>
            </w:r>
          </w:p>
        </w:tc>
      </w:tr>
      <w:tr>
        <w:tc>
          <w:tcPr>
            <w:tcBorders>
              <w:top w:val="none" w:color="FFFFFF" w:sz="0"/>
              <w:left w:val="single" w:color="0F766E" w:sz="12"/>
              <w:bottom w:val="single" w:color="0F766E" w:sz="4"/>
              <w:right w:val="none" w:color="FFFFFF" w:sz="0"/>
            </w:tcBorders>
            <w:shd w:fill="CCFBF1" w:val="clear"/>
            <w:tcMar>
              <w:top w:type="dxa" w:w="120"/>
              <w:left w:type="dxa" w:w="200"/>
              <w:bottom w:type="dxa" w:w="120"/>
              <w:right w:type="dxa" w:w="200"/>
            </w:tcMar>
          </w:tcPr>
          <w:p>
            <w:pPr>
              <w:pStyle w:val="ListParagraph"/>
              <w:numPr>
                <w:ilvl w:val="0"/>
                <w:numId w:val="2"/>
              </w:numPr>
              <w:spacing w:after="35" w:before="35"/>
            </w:pPr>
            <w:r>
              <w:rPr>
                <w:rFonts w:ascii="Arial" w:cs="Arial" w:eastAsia="Arial" w:hAnsi="Arial"/>
                <w:color w:val="111827"/>
                <w:sz w:val="19"/>
                <w:szCs w:val="19"/>
              </w:rPr>
              <w:t xml:space="preserve">Every rule function is pure: same input always produces same output — fully testable and predictable</w:t>
            </w:r>
          </w:p>
          <w:p>
            <w:pPr>
              <w:pStyle w:val="ListParagraph"/>
              <w:numPr>
                <w:ilvl w:val="0"/>
                <w:numId w:val="2"/>
              </w:numPr>
              <w:spacing w:after="35" w:before="35"/>
            </w:pPr>
            <w:r>
              <w:rPr>
                <w:rFonts w:ascii="Arial" w:cs="Arial" w:eastAsia="Arial" w:hAnsi="Arial"/>
                <w:color w:val="111827"/>
                <w:sz w:val="19"/>
                <w:szCs w:val="19"/>
              </w:rPr>
              <w:t xml:space="preserve">Rules run in sequence after every document commit — the pipeline completes in &lt; 1 second total</w:t>
            </w:r>
          </w:p>
          <w:p>
            <w:pPr>
              <w:pStyle w:val="ListParagraph"/>
              <w:numPr>
                <w:ilvl w:val="0"/>
                <w:numId w:val="2"/>
              </w:numPr>
              <w:spacing w:after="35" w:before="35"/>
            </w:pPr>
            <w:r>
              <w:rPr>
                <w:rFonts w:ascii="Arial" w:cs="Arial" w:eastAsia="Arial" w:hAnsi="Arial"/>
                <w:color w:val="111827"/>
                <w:sz w:val="19"/>
                <w:szCs w:val="19"/>
              </w:rPr>
              <w:t xml:space="preserve">Rule findings are stored as typed alert records, not just log messages — queryable and trackable</w:t>
            </w:r>
          </w:p>
          <w:p>
            <w:pPr>
              <w:pStyle w:val="ListParagraph"/>
              <w:numPr>
                <w:ilvl w:val="0"/>
                <w:numId w:val="2"/>
              </w:numPr>
              <w:spacing w:after="35" w:before="35"/>
            </w:pPr>
            <w:r>
              <w:rPr>
                <w:rFonts w:ascii="Arial" w:cs="Arial" w:eastAsia="Arial" w:hAnsi="Arial"/>
                <w:color w:val="111827"/>
                <w:sz w:val="19"/>
                <w:szCs w:val="19"/>
              </w:rPr>
              <w:t xml:space="preserve">Each finding includes: rule ID, triggering data, exact formula or condition, confidence level, recommended action</w:t>
            </w:r>
          </w:p>
          <w:p>
            <w:pPr>
              <w:pStyle w:val="ListParagraph"/>
              <w:numPr>
                <w:ilvl w:val="0"/>
                <w:numId w:val="2"/>
              </w:numPr>
              <w:spacing w:after="35" w:before="35"/>
            </w:pPr>
            <w:r>
              <w:rPr>
                <w:rFonts w:ascii="Arial" w:cs="Arial" w:eastAsia="Arial" w:hAnsi="Arial"/>
                <w:color w:val="111827"/>
                <w:sz w:val="19"/>
                <w:szCs w:val="19"/>
              </w:rPr>
              <w:t xml:space="preserve">Rules read from PostgreSQL and SQLite — they never call external APIs or AI</w:t>
            </w:r>
          </w:p>
          <w:p>
            <w:pPr>
              <w:pStyle w:val="ListParagraph"/>
              <w:numPr>
                <w:ilvl w:val="0"/>
                <w:numId w:val="2"/>
              </w:numPr>
              <w:spacing w:after="35" w:before="35"/>
            </w:pPr>
            <w:r>
              <w:rPr>
                <w:rFonts w:ascii="Arial" w:cs="Arial" w:eastAsia="Arial" w:hAnsi="Arial"/>
                <w:color w:val="111827"/>
                <w:sz w:val="19"/>
                <w:szCs w:val="19"/>
              </w:rPr>
              <w:t xml:space="preserve">New rules can be added without modifying existing rules — open/closed principle</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7.2 Rule Definitions</w:t>
      </w:r>
    </w:p>
    <w:p>
      <w:pPr>
        <w:pStyle w:val="Heading3"/>
        <w:spacing w:after="120" w:before="260"/>
      </w:pPr>
      <w:r>
        <w:rPr>
          <w:rFonts w:ascii="Arial" w:cs="Arial" w:eastAsia="Arial" w:hAnsi="Arial"/>
          <w:b/>
          <w:bCs/>
          <w:color w:val="374151"/>
          <w:sz w:val="24"/>
          <w:szCs w:val="24"/>
        </w:rPr>
        <w:t xml:space="preserve">RULE-01: Deadline Calculator</w:t>
      </w:r>
    </w:p>
    <w:p>
      <w:pPr>
        <w:spacing w:after="90" w:before="60"/>
        <w:jc w:val="both"/>
      </w:pPr>
      <w:r>
        <w:rPr>
          <w:rFonts w:ascii="Arial" w:cs="Arial" w:eastAsia="Arial" w:hAnsi="Arial"/>
          <w:color w:val="111827"/>
          <w:sz w:val="21"/>
          <w:szCs w:val="21"/>
        </w:rPr>
        <w:t xml:space="preserve">Trigger: Any time a case status changes or a new day begins (nightly cron). Input: filed_date, current_date, status. Logic: days_elapsed = current_date - filed_date. If status in [submitted, pending] and days_elapsed &gt;= 30: generate OVERDUE alert. If days_elapsed === 25: generate WARNING alert. Output: Alert record with exact day count and penalty-start date.</w:t>
      </w:r>
    </w:p>
    <w:p>
      <w:pPr>
        <w:spacing w:after="6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RULE-02: S.20 Penalty Calculator</w:t>
      </w:r>
    </w:p>
    <w:p>
      <w:pPr>
        <w:spacing w:after="90" w:before="60"/>
        <w:jc w:val="both"/>
      </w:pPr>
      <w:r>
        <w:rPr>
          <w:rFonts w:ascii="Arial" w:cs="Arial" w:eastAsia="Arial" w:hAnsi="Arial"/>
          <w:color w:val="111827"/>
          <w:sz w:val="21"/>
          <w:szCs w:val="21"/>
        </w:rPr>
        <w:t xml:space="preserve">Trigger: Case marked overdue. Input: filed_date, days_elapsed. Logic: penalty_days = days_elapsed - 30. daily_penalty = 250. total_penalty = MIN(penalty_days × 250, 25000). max_reached_date = filed_date + 30 + 100 days (Rs.25,000 ÷ Rs.250). Output: Exact penalty amount, accrual timeline, and draft penalty complaint template reference.</w:t>
      </w:r>
    </w:p>
    <w:p>
      <w:pPr>
        <w:spacing w:after="6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RULE-03: Contradiction Detector</w:t>
      </w:r>
    </w:p>
    <w:p>
      <w:pPr>
        <w:spacing w:after="90" w:before="60"/>
        <w:jc w:val="both"/>
      </w:pPr>
      <w:r>
        <w:rPr>
          <w:rFonts w:ascii="Arial" w:cs="Arial" w:eastAsia="Arial" w:hAnsi="Arial"/>
          <w:color w:val="111827"/>
          <w:sz w:val="21"/>
          <w:szCs w:val="21"/>
        </w:rPr>
        <w:t xml:space="preserve">Trigger: New fact committed to database. Input: New fact record + all existing facts for same case (and linked cases). Logic: For financial facts: SELECT all facts WHERE fact_type='financial_amount' AND case_id=this_case AND amount_category=this_category. If any existing fact has different amount for same category: create contradiction record. For statement facts: exact-match comparison against prior official statements on same subject. For date facts: chronological validity check (payment_date &lt; contract_date = contradiction). Output: Contradiction record with severity, both source fact IDs, plain-language description.</w:t>
      </w:r>
    </w:p>
    <w:p>
      <w:pPr>
        <w:spacing w:after="6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RULE-04: Financial Reconciliation Engine</w:t>
      </w:r>
    </w:p>
    <w:p>
      <w:pPr>
        <w:spacing w:after="90" w:before="60"/>
        <w:jc w:val="both"/>
      </w:pPr>
      <w:r>
        <w:rPr>
          <w:rFonts w:ascii="Arial" w:cs="Arial" w:eastAsia="Arial" w:hAnsi="Arial"/>
          <w:color w:val="111827"/>
          <w:sz w:val="21"/>
          <w:szCs w:val="21"/>
        </w:rPr>
        <w:t xml:space="preserve">Trigger: Any financial fact committed. Input: All financial facts for the case grouped by category. Logic: For each financial category pair that should reconcile (e.g., budget_allocation vs total_payments_released): compute difference. If difference &gt; 0: generate FINANCIAL_DISCREPANCY alert with exact variance amount and percentage. Maintain running financial summary per case. Output: Alert with variance amount, both source amounts, source document IDs.</w:t>
      </w:r>
    </w:p>
    <w:p>
      <w:pPr>
        <w:spacing w:after="6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RULE-05: Missing Document Detector</w:t>
      </w:r>
    </w:p>
    <w:p>
      <w:pPr>
        <w:spacing w:after="90" w:before="60"/>
        <w:jc w:val="both"/>
      </w:pPr>
      <w:r>
        <w:rPr>
          <w:rFonts w:ascii="Arial" w:cs="Arial" w:eastAsia="Arial" w:hAnsi="Arial"/>
          <w:color w:val="111827"/>
          <w:sz w:val="21"/>
          <w:szCs w:val="21"/>
        </w:rPr>
        <w:t xml:space="preserve">Trigger: RTI response document committed. Input: Document type + linked case category. Logic: Query SQLite mandatory_documents table for response_type. For each mandatory document type: check if document of that type exists in case_documents. If missing: generate MISSING_DOCUMENT alert. Example: procurement RTI response must include evaluation scores, tender notice, bidder list. If absent: flag each individually. Output: Alert per missing document type with legal basis for its requirement.</w:t>
      </w:r>
    </w:p>
    <w:p>
      <w:pPr>
        <w:spacing w:after="6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RULE-06: Timeline Anomaly Detector</w:t>
      </w:r>
    </w:p>
    <w:p>
      <w:pPr>
        <w:spacing w:after="90" w:before="60"/>
        <w:jc w:val="both"/>
      </w:pPr>
      <w:r>
        <w:rPr>
          <w:rFonts w:ascii="Arial" w:cs="Arial" w:eastAsia="Arial" w:hAnsi="Arial"/>
          <w:color w:val="111827"/>
          <w:sz w:val="21"/>
          <w:szCs w:val="21"/>
        </w:rPr>
        <w:t xml:space="preserve">Trigger: Any date fact committed. Input: All date facts for the case + process_timelines reference table from SQLite. Logic: For each detected process sequence (tender_floated → tender_awarded, contract_signed → work_commenced, work_commenced → work_completed): compute actual duration. Compare against SQLite minimum duration for that process type. If actual &lt; minimum: generate TIMELINE_ANOMALY alert. Output: Alert with actual vs minimum duration, process type, legal/technical basis for minimum.</w:t>
      </w:r>
    </w:p>
    <w:p>
      <w:pPr>
        <w:spacing w:after="6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RULE-07: Corruption Probability Scorer</w:t>
      </w:r>
    </w:p>
    <w:p>
      <w:pPr>
        <w:spacing w:after="90" w:before="60"/>
        <w:jc w:val="both"/>
      </w:pPr>
      <w:r>
        <w:rPr>
          <w:rFonts w:ascii="Arial" w:cs="Arial" w:eastAsia="Arial" w:hAnsi="Arial"/>
          <w:color w:val="111827"/>
          <w:sz w:val="21"/>
          <w:szCs w:val="21"/>
        </w:rPr>
        <w:t xml:space="preserve">Trigger: After rules 01-06 complete. Input: All alert counts and types for the case. Logic: Weighted formula — illegal_rejections × 15 + contradictions × 20 + financial_discrepancies × 25 + timeline_anomalies × 15 + missing_documents × 10 + high_risk_entity_connections × 10 + overdue_days_score + prior_pattern_match × 20. Cap at 100. Update rti_cases.corruption_score. Output: Updated score with component breakdown stored in JSONB metadata field.</w:t>
      </w:r>
    </w:p>
    <w:p>
      <w:pPr>
        <w:spacing w:after="6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RULE-08: Entity Risk Scorer</w:t>
      </w:r>
    </w:p>
    <w:p>
      <w:pPr>
        <w:spacing w:after="90" w:before="60"/>
        <w:jc w:val="both"/>
      </w:pPr>
      <w:r>
        <w:rPr>
          <w:rFonts w:ascii="Arial" w:cs="Arial" w:eastAsia="Arial" w:hAnsi="Arial"/>
          <w:color w:val="111827"/>
          <w:sz w:val="21"/>
          <w:szCs w:val="21"/>
        </w:rPr>
        <w:t xml:space="preserve">Trigger: New case_entity or entity_relationship edge created. Input: Entity's connected cases and their findings. Logic: Count RTIs with contradictions involving entity + RTIs with financial discrepancies involving entity + RTIs where entity is PIO with overdue response + times entity appears across high-corruption-score cases. Normalise to 0-100. Update entities.risk_score. Output: Updated risk score and connection_count.</w:t>
      </w:r>
    </w:p>
    <w:p>
      <w:pPr>
        <w:spacing w:after="6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RULE-09: Evasion Pattern Classifier</w:t>
      </w:r>
    </w:p>
    <w:p>
      <w:pPr>
        <w:spacing w:after="90" w:before="60"/>
        <w:jc w:val="both"/>
      </w:pPr>
      <w:r>
        <w:rPr>
          <w:rFonts w:ascii="Arial" w:cs="Arial" w:eastAsia="Arial" w:hAnsi="Arial"/>
          <w:color w:val="111827"/>
          <w:sz w:val="21"/>
          <w:szCs w:val="21"/>
        </w:rPr>
        <w:t xml:space="preserve">Trigger: RTI response committed with evaded questions noted. Input: Legal sections cited, evasion type text, department. Logic: Match against SQLite evasion_patterns library. Classify each evasion as: likely_valid / likely_invalid / procedural / structural. For likely_invalid: generate INVALID_EXEMPTION alert with legal counter-argument from SQLite. Update department's evasion fingerprint (JSON column on departments table). Output: Evasion classification per question with legal assessment.</w:t>
      </w:r>
    </w:p>
    <w:p>
      <w:pPr>
        <w:spacing w:after="0" w:before="0"/>
      </w:pPr>
      <w:r>
        <w:br w:type="page"/>
      </w:r>
    </w:p>
    <w:p>
      <w:pPr>
        <w:pStyle w:val="Heading1"/>
        <w:pBdr>
          <w:bottom w:val="single" w:color="1E40AF" w:sz="12" w:space="2"/>
        </w:pBdr>
        <w:spacing w:after="200" w:before="480"/>
      </w:pPr>
      <w:r>
        <w:rPr>
          <w:rFonts w:ascii="Arial" w:cs="Arial" w:eastAsia="Arial" w:hAnsi="Arial"/>
          <w:b/>
          <w:bCs/>
          <w:color w:val="0F2044"/>
          <w:sz w:val="36"/>
          <w:szCs w:val="36"/>
        </w:rPr>
        <w:t xml:space="preserve">8. API Design</w:t>
      </w:r>
    </w:p>
    <w:p>
      <w:pPr>
        <w:pStyle w:val="Heading2"/>
        <w:spacing w:after="160" w:before="360"/>
      </w:pPr>
      <w:r>
        <w:rPr>
          <w:rFonts w:ascii="Arial" w:cs="Arial" w:eastAsia="Arial" w:hAnsi="Arial"/>
          <w:b/>
          <w:bCs/>
          <w:color w:val="1E40AF"/>
          <w:sz w:val="28"/>
          <w:szCs w:val="28"/>
        </w:rPr>
        <w:t xml:space="preserve">8.1 API Architecture</w:t>
      </w:r>
    </w:p>
    <w:p>
      <w:pPr>
        <w:spacing w:after="90" w:before="60"/>
        <w:jc w:val="both"/>
      </w:pPr>
      <w:r>
        <w:rPr>
          <w:rFonts w:ascii="Arial" w:cs="Arial" w:eastAsia="Arial" w:hAnsi="Arial"/>
          <w:color w:val="111827"/>
          <w:sz w:val="21"/>
          <w:szCs w:val="21"/>
        </w:rPr>
        <w:t xml:space="preserve">RESTful API served by Express on Node.js. All endpoints require JWT authentication except /auth/* and /public/*. Rate limiting applied per user. API versioned at /api/v1/. All responses follow a consistent envelope: { success: boolean, data: any, error?: string, meta?: object }.</w:t>
      </w:r>
    </w:p>
    <w:p>
      <w:pPr>
        <w:spacing w:after="8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8.2 Core API Endpoints</w:t>
      </w:r>
    </w:p>
    <w:p>
      <w:pPr>
        <w:pStyle w:val="Heading3"/>
        <w:spacing w:after="120" w:before="260"/>
      </w:pPr>
      <w:r>
        <w:rPr>
          <w:rFonts w:ascii="Arial" w:cs="Arial" w:eastAsia="Arial" w:hAnsi="Arial"/>
          <w:b/>
          <w:bCs/>
          <w:color w:val="374151"/>
          <w:sz w:val="24"/>
          <w:szCs w:val="24"/>
        </w:rPr>
        <w:t xml:space="preserve">8.2.1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226"/>
        <w:gridCol w:w="1400"/>
        <w:gridCol w:w="1400"/>
      </w:tblGrid>
      <w:tr>
        <w:trPr>
          <w:tblHeader/>
        </w:trPr>
        <w:tc>
          <w:tcPr>
            <w:tcW w:type="dxa" w:w="10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Method</w:t>
            </w:r>
          </w:p>
        </w:tc>
        <w:tc>
          <w:tcPr>
            <w:tcW w:type="dxa" w:w="20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Endpoint</w:t>
            </w:r>
          </w:p>
        </w:tc>
        <w:tc>
          <w:tcPr>
            <w:tcW w:type="dxa" w:w="3226"/>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Description</w:t>
            </w:r>
          </w:p>
        </w:tc>
        <w:tc>
          <w:tcPr>
            <w:tcW w:type="dxa" w:w="14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Auth</w:t>
            </w:r>
          </w:p>
        </w:tc>
        <w:tc>
          <w:tcPr>
            <w:tcW w:type="dxa" w:w="14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Rate Limit</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/api/v1/auth/login</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Authenticate user, return JWT access + refresh tokens</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None</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10/min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/api/v1/auth/refresh</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Exchange refresh token for new access token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Refresh 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20/min</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/api/v1/auth/logout</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Invalidate refresh token</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100/min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/api/v1/auth/2fa/verify</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Verify TOTP 2FA code</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5/min</w:t>
            </w:r>
          </w:p>
        </w:tc>
      </w:tr>
    </w:tbl>
    <w:p>
      <w:pPr>
        <w:spacing w:after="8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8.2.2 RTI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226"/>
        <w:gridCol w:w="1400"/>
        <w:gridCol w:w="1400"/>
      </w:tblGrid>
      <w:tr>
        <w:trPr>
          <w:tblHeader/>
        </w:trPr>
        <w:tc>
          <w:tcPr>
            <w:tcW w:type="dxa" w:w="10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Method</w:t>
            </w:r>
          </w:p>
        </w:tc>
        <w:tc>
          <w:tcPr>
            <w:tcW w:type="dxa" w:w="20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Endpoint</w:t>
            </w:r>
          </w:p>
        </w:tc>
        <w:tc>
          <w:tcPr>
            <w:tcW w:type="dxa" w:w="3226"/>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Description</w:t>
            </w:r>
          </w:p>
        </w:tc>
        <w:tc>
          <w:tcPr>
            <w:tcW w:type="dxa" w:w="14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Auth</w:t>
            </w:r>
          </w:p>
        </w:tc>
        <w:tc>
          <w:tcPr>
            <w:tcW w:type="dxa" w:w="14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Rate Limit</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/api/v1/cases</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List cases with filter, sort, pagination. Supports status, priority, tag, date range filters</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100/min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/api/v1/cases</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Create new RTI case. Triggers entity extraction and rule engine baseline run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30/min</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/api/v1/cases/:id</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Get full case details with linked entities, documents, contradictions, alerts, timeline</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200/min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5B21B6"/>
                <w:sz w:val="16"/>
                <w:szCs w:val="16"/>
              </w:rPr>
              <w:t xml:space="preserve">PATCH</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/api/v1/cases/:id</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Update case metadata or status. Status changes trigger rule engine re-run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50/min</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6"/>
                <w:szCs w:val="16"/>
              </w:rPr>
              <w:t xml:space="preserve">DELETE</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/api/v1/cases/:id</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Soft-delete case (audit trail preserved). Admin only</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JWT+Admin</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10/min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/api/v1/cases/:id/graph</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Get entity relationship graph for case (2-hop traversal)</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50/min</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/api/v1/cases/:id/timeline</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Get chronological event timeline for case</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100/min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/api/v1/cases/:id/score</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Get corruption probability score with component breakdown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100/min</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/api/v1/cases/:id/link</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Create case-to-case link with relationship type</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30/min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/api/v1/cases/:id/evidence-package</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Generate evidence package PDF — async, returns job ID</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5/min</w:t>
            </w:r>
          </w:p>
        </w:tc>
      </w:tr>
    </w:tbl>
    <w:p>
      <w:pPr>
        <w:spacing w:after="8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8.2.3 Documents &amp; Knowledge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226"/>
        <w:gridCol w:w="1400"/>
        <w:gridCol w:w="1400"/>
      </w:tblGrid>
      <w:tr>
        <w:trPr>
          <w:tblHeader/>
        </w:trPr>
        <w:tc>
          <w:tcPr>
            <w:tcW w:type="dxa" w:w="10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Method</w:t>
            </w:r>
          </w:p>
        </w:tc>
        <w:tc>
          <w:tcPr>
            <w:tcW w:type="dxa" w:w="20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Endpoint</w:t>
            </w:r>
          </w:p>
        </w:tc>
        <w:tc>
          <w:tcPr>
            <w:tcW w:type="dxa" w:w="3226"/>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Description</w:t>
            </w:r>
          </w:p>
        </w:tc>
        <w:tc>
          <w:tcPr>
            <w:tcW w:type="dxa" w:w="14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Auth</w:t>
            </w:r>
          </w:p>
        </w:tc>
        <w:tc>
          <w:tcPr>
            <w:tcW w:type="dxa" w:w="14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Rate Limit</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/api/v1/documents/upload</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Upload file to S3. Returns S3 key + SHA-256 hash. Does NOT commit knowledge yet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20/min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/api/v1/documents</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Commit structured knowledge entry (with or without file). Triggers full rule engine pipeline</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30/min</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/api/v1/documents/:id</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Get document metadata and entered knowledge</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200/min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/api/v1/documents/:id/download</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Generate signed S3 URL (1 hour validity) for file download</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50/min</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/api/v1/documents/:id/verify</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Verify file SHA-256 hash against stored hash — integrity check</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20/min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/api/v1/cases/:id/documents</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List all documents for a case with metadata</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100/min</w:t>
            </w:r>
          </w:p>
        </w:tc>
      </w:tr>
    </w:tbl>
    <w:p>
      <w:pPr>
        <w:spacing w:after="8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8.2.4 AI Assistant (On-Demand)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226"/>
        <w:gridCol w:w="1400"/>
        <w:gridCol w:w="1400"/>
      </w:tblGrid>
      <w:tr>
        <w:trPr>
          <w:tblHeader/>
        </w:trPr>
        <w:tc>
          <w:tcPr>
            <w:tcW w:type="dxa" w:w="10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Method</w:t>
            </w:r>
          </w:p>
        </w:tc>
        <w:tc>
          <w:tcPr>
            <w:tcW w:type="dxa" w:w="20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Endpoint</w:t>
            </w:r>
          </w:p>
        </w:tc>
        <w:tc>
          <w:tcPr>
            <w:tcW w:type="dxa" w:w="3226"/>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Description</w:t>
            </w:r>
          </w:p>
        </w:tc>
        <w:tc>
          <w:tcPr>
            <w:tcW w:type="dxa" w:w="14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Auth</w:t>
            </w:r>
          </w:p>
        </w:tc>
        <w:tc>
          <w:tcPr>
            <w:tcW w:type="dxa" w:w="14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Rate Limit</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/api/v1/ai/chat</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Interactive chat. System assembles DB context, calls Claude API, returns response. Never auto-writes to DB</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20/min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/api/v1/ai/draft-application</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Draft RTI application. Input: department, subject, specific questions wanted</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10/min</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/api/v1/ai/draft-appeal</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Draft first/second appeal. Input: case_id, appeal_type. System injects case facts, evasion patterns, legal sections</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10/min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/api/v1/ai/summarise-doc</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Summarise entered document knowledge. Input: document_id. Returns structured summary for review</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20/min</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/api/v1/ai/assess-exemption</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Assess legal validity of PIO exemption. Input: section, information_type, case context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20/min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/api/v1/ai/investigation-narrative</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Generate cross-case narrative. Input: entity or topic. Returns finding summary for human review</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5/min</w:t>
            </w:r>
          </w:p>
        </w:tc>
      </w:tr>
    </w:tbl>
    <w:p>
      <w:pPr>
        <w:spacing w:after="8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8.2.5 Internet Lookups (User-Confirmed)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226"/>
        <w:gridCol w:w="1400"/>
        <w:gridCol w:w="1400"/>
      </w:tblGrid>
      <w:tr>
        <w:trPr>
          <w:tblHeader/>
        </w:trPr>
        <w:tc>
          <w:tcPr>
            <w:tcW w:type="dxa" w:w="10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Method</w:t>
            </w:r>
          </w:p>
        </w:tc>
        <w:tc>
          <w:tcPr>
            <w:tcW w:type="dxa" w:w="20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Endpoint</w:t>
            </w:r>
          </w:p>
        </w:tc>
        <w:tc>
          <w:tcPr>
            <w:tcW w:type="dxa" w:w="3226"/>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Description</w:t>
            </w:r>
          </w:p>
        </w:tc>
        <w:tc>
          <w:tcPr>
            <w:tcW w:type="dxa" w:w="14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Auth</w:t>
            </w:r>
          </w:p>
        </w:tc>
        <w:tc>
          <w:tcPr>
            <w:tcW w:type="dxa" w:w="14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Rate Limit</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/api/v1/lookup/preview</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Preview what data will be fetched before any external request. Returns metadata only</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30/min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/api/v1/lookup/execute</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Execute approved lookup. Requires confirmation token from preview. Returns fetched data for review</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10/min</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E40AF"/>
                <w:sz w:val="16"/>
                <w:szCs w:val="16"/>
              </w:rPr>
              <w:t xml:space="preserve">POST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/api/v1/lookup/commit</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Commit selected facts from lookup result to entity/case. Requires explicit field selection</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20/min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/api/v1/lookup/log</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Audit log of all lookups: URL, user, timestamp, data retrieved, decision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JWT+Admin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30/min</w:t>
            </w:r>
          </w:p>
        </w:tc>
      </w:tr>
    </w:tbl>
    <w:p>
      <w:pPr>
        <w:spacing w:after="80" w:before="0"/>
      </w:pPr>
      <w:r>
        <w:rPr>
          <w:rFonts w:ascii="Arial" w:cs="Arial" w:eastAsia="Arial" w:hAnsi="Arial"/>
        </w:rPr>
        <w:t xml:space="preserve"/>
      </w:r>
    </w:p>
    <w:p>
      <w:pPr>
        <w:pStyle w:val="Heading3"/>
        <w:spacing w:after="120" w:before="260"/>
      </w:pPr>
      <w:r>
        <w:rPr>
          <w:rFonts w:ascii="Arial" w:cs="Arial" w:eastAsia="Arial" w:hAnsi="Arial"/>
          <w:b/>
          <w:bCs/>
          <w:color w:val="374151"/>
          <w:sz w:val="24"/>
          <w:szCs w:val="24"/>
        </w:rPr>
        <w:t xml:space="preserve">8.2.6 Intelligence &amp;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226"/>
        <w:gridCol w:w="1400"/>
        <w:gridCol w:w="1400"/>
      </w:tblGrid>
      <w:tr>
        <w:trPr>
          <w:tblHeader/>
        </w:trPr>
        <w:tc>
          <w:tcPr>
            <w:tcW w:type="dxa" w:w="10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Method</w:t>
            </w:r>
          </w:p>
        </w:tc>
        <w:tc>
          <w:tcPr>
            <w:tcW w:type="dxa" w:w="20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Endpoint</w:t>
            </w:r>
          </w:p>
        </w:tc>
        <w:tc>
          <w:tcPr>
            <w:tcW w:type="dxa" w:w="3226"/>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Description</w:t>
            </w:r>
          </w:p>
        </w:tc>
        <w:tc>
          <w:tcPr>
            <w:tcW w:type="dxa" w:w="14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Auth</w:t>
            </w:r>
          </w:p>
        </w:tc>
        <w:tc>
          <w:tcPr>
            <w:tcW w:type="dxa" w:w="1400"/>
            <w:tcBorders>
              <w:top w:val="single" w:color="FFFFFF" w:sz="4"/>
              <w:left w:val="single" w:color="FFFFFF" w:sz="4"/>
              <w:bottom w:val="single" w:color="FFFFFF" w:sz="4"/>
              <w:right w:val="single" w:color="FFFFFF" w:sz="4"/>
            </w:tcBorders>
            <w:shd w:fill="5B21B6"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Rate Limit</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/api/v1/alerts</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List all alerts with filter by type, severity, status, case</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100/min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5B21B6"/>
                <w:sz w:val="16"/>
                <w:szCs w:val="16"/>
              </w:rPr>
              <w:t xml:space="preserve">PATCH</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/api/v1/alerts/:id</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Update alert status: unreviewed/acknowledged/actioned/dismissed</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50/min</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/api/v1/contradictions</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List all contradictions with filter. Includes cross-case contradictions</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50/min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5B21B6"/>
                <w:sz w:val="16"/>
                <w:szCs w:val="16"/>
              </w:rPr>
              <w:t xml:space="preserve">PATCH</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/api/v1/contradictions/:id</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Update contradiction status and review decision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50/min</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/api/v1/entities</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List entities with filter by type, risk score, name search</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100/min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/api/v1/entities/:id/network</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Entity network graph (N-hop traversal via recursive CTE)</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30/min</w:t>
            </w:r>
          </w:p>
        </w:tc>
      </w:tr>
      <w:tr>
        <w:tc>
          <w:tcPr>
            <w:tcW w:type="dxa" w:w="1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/api/v1/analytics/dashboard</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Dashboard stats: case counts, compliance rates, score distributions</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30/min</w:t>
            </w:r>
          </w:p>
        </w:tc>
      </w:tr>
      <w:tr>
        <w:tc>
          <w:tcPr>
            <w:tcW w:type="dxa" w:w="1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15803D"/>
                <w:sz w:val="16"/>
                <w:szCs w:val="16"/>
              </w:rPr>
              <w:t xml:space="preserve">GET</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color w:val="0F2044"/>
                <w:sz w:val="16"/>
                <w:szCs w:val="16"/>
              </w:rPr>
              <w:t xml:space="preserve">/api/v1/analytics/departments</w:t>
            </w:r>
          </w:p>
        </w:tc>
        <w:tc>
          <w:tcPr>
            <w:tcW w:type="dxa" w:w="3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Department compliance scorecard aggregation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0F766E"/>
                <w:sz w:val="16"/>
                <w:szCs w:val="16"/>
              </w:rPr>
              <w:t xml:space="preserve">JWT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color w:val="374151"/>
                <w:sz w:val="16"/>
                <w:szCs w:val="16"/>
              </w:rPr>
              <w:t xml:space="preserve">20/min</w:t>
            </w:r>
          </w:p>
        </w:tc>
      </w:tr>
    </w:tbl>
    <w:p>
      <w:pPr>
        <w:spacing w:after="0" w:before="0"/>
      </w:pPr>
      <w:r>
        <w:br w:type="page"/>
      </w:r>
    </w:p>
    <w:p>
      <w:pPr>
        <w:pStyle w:val="Heading1"/>
        <w:pBdr>
          <w:bottom w:val="single" w:color="1E40AF" w:sz="12" w:space="2"/>
        </w:pBdr>
        <w:spacing w:after="200" w:before="480"/>
      </w:pPr>
      <w:r>
        <w:rPr>
          <w:rFonts w:ascii="Arial" w:cs="Arial" w:eastAsia="Arial" w:hAnsi="Arial"/>
          <w:b/>
          <w:bCs/>
          <w:color w:val="0F2044"/>
          <w:sz w:val="36"/>
          <w:szCs w:val="36"/>
        </w:rPr>
        <w:t xml:space="preserve">9. Security Architecture</w:t>
      </w:r>
    </w:p>
    <w:p>
      <w:pPr>
        <w:pStyle w:val="Heading2"/>
        <w:spacing w:after="160" w:before="360"/>
      </w:pPr>
      <w:r>
        <w:rPr>
          <w:rFonts w:ascii="Arial" w:cs="Arial" w:eastAsia="Arial" w:hAnsi="Arial"/>
          <w:b/>
          <w:bCs/>
          <w:color w:val="1E40AF"/>
          <w:sz w:val="28"/>
          <w:szCs w:val="28"/>
        </w:rPr>
        <w:t xml:space="preserve">9.1 Authentication &amp; Authorisation</w:t>
      </w:r>
    </w:p>
    <w:p>
      <w:pPr>
        <w:spacing w:after="90" w:before="60"/>
        <w:jc w:val="both"/>
      </w:pPr>
      <w:r>
        <w:rPr>
          <w:rFonts w:ascii="Arial" w:cs="Arial" w:eastAsia="Arial" w:hAnsi="Arial"/>
          <w:color w:val="111827"/>
          <w:sz w:val="21"/>
          <w:szCs w:val="21"/>
        </w:rPr>
        <w:t xml:space="preserve">RTI Watch uses a two-token JWT system. The access token (15-minute expiry) is used for all API calls. The refresh token (30-day expiry, stored in httpOnly cookie) is used to obtain new access tokens. Refresh tokens are stored in the database and individually revocable — meaning a specific user's session can be terminated instantly without affecting other users.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Access Token Lifetime</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15 minutes — short lifetime limits exposure if intercepted</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Refresh Token Lifetime</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30 days — stored httpOnly cookie, database-tracked for revocation</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Password Hashing</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bcrypt with cost factor 12 — ~400ms hash time, resistant to brute force</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2FA</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TOTP (Time-based One-Time Password) via authenticator app — mandatory for Investigator and Admin roles</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Session Storage</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No server-side sessions — stateless JWT only. Redis not used for sessions.</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Token Revocation</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Refresh token table in PostgreSQL — server-side blocklist for immediate revocation</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Failed Login Lockout</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5 failed attempts triggers 15-minute account lockout — logged for audit</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9.2 Role-Based Access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Role</w:t>
            </w:r>
          </w:p>
        </w:tc>
        <w:tc>
          <w:tcPr>
            <w:tcW w:type="dxa" w:w="7426"/>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Permissions</w:t>
            </w:r>
          </w:p>
        </w:tc>
      </w:tr>
      <w:tr>
        <w:tc>
          <w:tcPr>
            <w:tcW w:type="dxa" w:w="16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admin</w:t>
            </w:r>
          </w:p>
        </w:tc>
        <w:tc>
          <w:tcPr>
            <w:tcW w:type="dxa" w:w="74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Full system access including user management, audit log, all cases, security configuration</w:t>
            </w:r>
          </w:p>
        </w:tc>
      </w:tr>
      <w:tr>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investigator</w:t>
            </w:r>
          </w:p>
        </w:tc>
        <w:tc>
          <w:tcPr>
            <w:tcW w:type="dxa" w:w="74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Full case and document access, AI features, internet lookups, all intelligence features</w:t>
            </w:r>
          </w:p>
        </w:tc>
      </w:tr>
      <w:tr>
        <w:tc>
          <w:tcPr>
            <w:tcW w:type="dxa" w:w="16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analyst</w:t>
            </w:r>
          </w:p>
        </w:tc>
        <w:tc>
          <w:tcPr>
            <w:tcW w:type="dxa" w:w="74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Read-only on cases, documents, intelligence. Can enter documents and run rules. Cannot delete.</w:t>
            </w:r>
          </w:p>
        </w:tc>
      </w:tr>
      <w:tr>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legal</w:t>
            </w:r>
          </w:p>
        </w:tc>
        <w:tc>
          <w:tcPr>
            <w:tcW w:type="dxa" w:w="74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Read-only on case details and documents. Can download evidence packages. Cannot see investigation notes.</w:t>
            </w:r>
          </w:p>
        </w:tc>
      </w:tr>
      <w:tr>
        <w:tc>
          <w:tcPr>
            <w:tcW w:type="dxa" w:w="16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journalist</w:t>
            </w:r>
          </w:p>
        </w:tc>
        <w:tc>
          <w:tcPr>
            <w:tcW w:type="dxa" w:w="74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Read-only on public-approved findings only. Access via journalist portal — never main app.</w:t>
            </w:r>
          </w:p>
        </w:tc>
      </w:tr>
      <w:tr>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public</w:t>
            </w:r>
          </w:p>
        </w:tc>
        <w:tc>
          <w:tcPr>
            <w:tcW w:type="dxa" w:w="74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Unauthenticated. Access to public dashboard and tip submission only.</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9.3 Data Security</w:t>
      </w:r>
    </w:p>
    <w:p>
      <w:pPr>
        <w:pStyle w:val="ListParagraph"/>
        <w:numPr>
          <w:ilvl w:val="0"/>
          <w:numId w:val="2"/>
        </w:numPr>
        <w:spacing w:after="40" w:before="40"/>
      </w:pPr>
      <w:r>
        <w:rPr>
          <w:rFonts w:ascii="Arial" w:cs="Arial" w:eastAsia="Arial" w:hAnsi="Arial"/>
          <w:color w:val="111827"/>
          <w:sz w:val="20"/>
          <w:szCs w:val="20"/>
        </w:rPr>
        <w:t xml:space="preserve">All PostgreSQL data encrypted at rest using PostgreSQL Transparent Data Encryption or volume-level encryption (LUKS on self-hosted, AWS EBS encryption on cloud)</w:t>
      </w:r>
    </w:p>
    <w:p>
      <w:pPr>
        <w:pStyle w:val="ListParagraph"/>
        <w:numPr>
          <w:ilvl w:val="0"/>
          <w:numId w:val="2"/>
        </w:numPr>
        <w:spacing w:after="40" w:before="40"/>
      </w:pPr>
      <w:r>
        <w:rPr>
          <w:rFonts w:ascii="Arial" w:cs="Arial" w:eastAsia="Arial" w:hAnsi="Arial"/>
          <w:color w:val="111827"/>
          <w:sz w:val="20"/>
          <w:szCs w:val="20"/>
        </w:rPr>
        <w:t xml:space="preserve">S3 bucket: Server-Side Encryption with AES-256. Bucket policy denies all public access. Access only via signed URLs generated by application.</w:t>
      </w:r>
    </w:p>
    <w:p>
      <w:pPr>
        <w:pStyle w:val="ListParagraph"/>
        <w:numPr>
          <w:ilvl w:val="0"/>
          <w:numId w:val="2"/>
        </w:numPr>
        <w:spacing w:after="40" w:before="40"/>
      </w:pPr>
      <w:r>
        <w:rPr>
          <w:rFonts w:ascii="Arial" w:cs="Arial" w:eastAsia="Arial" w:hAnsi="Arial"/>
          <w:color w:val="111827"/>
          <w:sz w:val="20"/>
          <w:szCs w:val="20"/>
        </w:rPr>
        <w:t xml:space="preserve">All API communications over TLS 1.3. HSTS header enforced with 1-year max-age.</w:t>
      </w:r>
    </w:p>
    <w:p>
      <w:pPr>
        <w:pStyle w:val="ListParagraph"/>
        <w:numPr>
          <w:ilvl w:val="0"/>
          <w:numId w:val="2"/>
        </w:numPr>
        <w:spacing w:after="40" w:before="40"/>
      </w:pPr>
      <w:r>
        <w:rPr>
          <w:rFonts w:ascii="Arial" w:cs="Arial" w:eastAsia="Arial" w:hAnsi="Arial"/>
          <w:color w:val="111827"/>
          <w:sz w:val="20"/>
          <w:szCs w:val="20"/>
        </w:rPr>
        <w:t xml:space="preserve">SHA-256 hash of every uploaded file stored at upload time. Verifiable on any future download to prove file integrity.</w:t>
      </w:r>
    </w:p>
    <w:p>
      <w:pPr>
        <w:pStyle w:val="ListParagraph"/>
        <w:numPr>
          <w:ilvl w:val="0"/>
          <w:numId w:val="2"/>
        </w:numPr>
        <w:spacing w:after="40" w:before="40"/>
      </w:pPr>
      <w:r>
        <w:rPr>
          <w:rFonts w:ascii="Arial" w:cs="Arial" w:eastAsia="Arial" w:hAnsi="Arial"/>
          <w:color w:val="111827"/>
          <w:sz w:val="20"/>
          <w:szCs w:val="20"/>
        </w:rPr>
        <w:t xml:space="preserve">Sensitive fields (PIO personal details, tip content) encrypted at application layer before database storage using AES-256-GCM with application-managed key.</w:t>
      </w:r>
    </w:p>
    <w:p>
      <w:pPr>
        <w:pStyle w:val="ListParagraph"/>
        <w:numPr>
          <w:ilvl w:val="0"/>
          <w:numId w:val="2"/>
        </w:numPr>
        <w:spacing w:after="40" w:before="40"/>
      </w:pPr>
      <w:r>
        <w:rPr>
          <w:rFonts w:ascii="Arial" w:cs="Arial" w:eastAsia="Arial" w:hAnsi="Arial"/>
          <w:color w:val="111827"/>
          <w:sz w:val="20"/>
          <w:szCs w:val="20"/>
        </w:rPr>
        <w:t xml:space="preserve">Database connection string, API keys, and secrets stored in environment variables — never in code or version control.</w:t>
      </w:r>
    </w:p>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9.4 Audit Trail</w:t>
      </w:r>
    </w:p>
    <w:p>
      <w:pPr>
        <w:spacing w:after="90" w:before="60"/>
        <w:jc w:val="both"/>
      </w:pPr>
      <w:r>
        <w:rPr>
          <w:rFonts w:ascii="Arial" w:cs="Arial" w:eastAsia="Arial" w:hAnsi="Arial"/>
          <w:color w:val="111827"/>
          <w:sz w:val="21"/>
          <w:szCs w:val="21"/>
        </w:rPr>
        <w:t xml:space="preserve">Every action in the system is recorded in an immutable audit log table. Immutability is enforced by: no UPDATE or DELETE permissions granted to the application database user on the audit_log table. Only INSERT is permitted. Log entries cannot be modified after creation.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rPr>
          <w:tblHeader/>
        </w:trPr>
        <w:tc>
          <w:tcPr>
            <w:tcW w:type="dxa" w:w="16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Column</w:t>
            </w:r>
          </w:p>
        </w:tc>
        <w:tc>
          <w:tcPr>
            <w:tcW w:type="dxa" w:w="22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Type</w:t>
            </w:r>
          </w:p>
        </w:tc>
        <w:tc>
          <w:tcPr>
            <w:tcW w:type="dxa" w:w="5226"/>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Purpose</w:t>
            </w:r>
          </w:p>
        </w:tc>
      </w:tr>
      <w:tr>
        <w:tc>
          <w:tcPr>
            <w:tcW w:type="dxa" w:w="16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id</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PRIMARY KEY</w:t>
            </w:r>
          </w:p>
        </w:tc>
        <w:tc>
          <w:tcPr>
            <w:tcW w:type="dxa" w:w="5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Auto-generated</w:t>
            </w:r>
          </w:p>
        </w:tc>
      </w:tr>
      <w:tr>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event_type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VARCHAR(50)</w:t>
            </w:r>
          </w:p>
        </w:tc>
        <w:tc>
          <w:tcPr>
            <w:tcW w:type="dxa" w:w="5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login/logout/case_create/doc_upload/knowledge_commit/ai_call/lookup_execute/lookup_commit/alert_update/export/admin_action</w:t>
            </w:r>
          </w:p>
        </w:tc>
      </w:tr>
      <w:tr>
        <w:tc>
          <w:tcPr>
            <w:tcW w:type="dxa" w:w="16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user_id</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users</w:t>
            </w:r>
          </w:p>
        </w:tc>
        <w:tc>
          <w:tcPr>
            <w:tcW w:type="dxa" w:w="5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Acting user (null for public events)</w:t>
            </w:r>
          </w:p>
        </w:tc>
      </w:tr>
      <w:tr>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case_id</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UUID REFERENCES rti_cases</w:t>
            </w:r>
          </w:p>
        </w:tc>
        <w:tc>
          <w:tcPr>
            <w:tcW w:type="dxa" w:w="5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Related case if applicable</w:t>
            </w:r>
          </w:p>
        </w:tc>
      </w:tr>
      <w:tr>
        <w:tc>
          <w:tcPr>
            <w:tcW w:type="dxa" w:w="16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description</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TEXT</w:t>
            </w:r>
          </w:p>
        </w:tc>
        <w:tc>
          <w:tcPr>
            <w:tcW w:type="dxa" w:w="5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Human-readable description of the action</w:t>
            </w:r>
          </w:p>
        </w:tc>
      </w:tr>
      <w:tr>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input_data</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JSONB</w:t>
            </w:r>
          </w:p>
        </w:tc>
        <w:tc>
          <w:tcPr>
            <w:tcW w:type="dxa" w:w="5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Request parameters and input — for reproducibility</w:t>
            </w:r>
          </w:p>
        </w:tc>
      </w:tr>
      <w:tr>
        <w:tc>
          <w:tcPr>
            <w:tcW w:type="dxa" w:w="16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result</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VARCHAR(20)</w:t>
            </w:r>
          </w:p>
        </w:tc>
        <w:tc>
          <w:tcPr>
            <w:tcW w:type="dxa" w:w="5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success/failure/rejected</w:t>
            </w:r>
          </w:p>
        </w:tc>
      </w:tr>
      <w:tr>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ip_address</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INET</w:t>
            </w:r>
          </w:p>
        </w:tc>
        <w:tc>
          <w:tcPr>
            <w:tcW w:type="dxa" w:w="5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Client IP address</w:t>
            </w:r>
          </w:p>
        </w:tc>
      </w:tr>
      <w:tr>
        <w:tc>
          <w:tcPr>
            <w:tcW w:type="dxa" w:w="16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user_agent</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TEXT</w:t>
            </w:r>
          </w:p>
        </w:tc>
        <w:tc>
          <w:tcPr>
            <w:tcW w:type="dxa" w:w="52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Browser/client identifier</w:t>
            </w:r>
          </w:p>
        </w:tc>
      </w:tr>
      <w:tr>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occurred_at</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TIMESTAMPTZ DEFAULT NOW()</w:t>
            </w:r>
          </w:p>
        </w:tc>
        <w:tc>
          <w:tcPr>
            <w:tcW w:type="dxa" w:w="5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Immutable timestamp</w:t>
            </w:r>
          </w:p>
        </w:tc>
      </w:tr>
    </w:tbl>
    <w:p>
      <w:pPr>
        <w:spacing w:after="0" w:before="0"/>
      </w:pPr>
      <w:r>
        <w:br w:type="page"/>
      </w:r>
    </w:p>
    <w:p>
      <w:pPr>
        <w:pStyle w:val="Heading1"/>
        <w:pBdr>
          <w:bottom w:val="single" w:color="1E40AF" w:sz="12" w:space="2"/>
        </w:pBdr>
        <w:spacing w:after="200" w:before="480"/>
      </w:pPr>
      <w:r>
        <w:rPr>
          <w:rFonts w:ascii="Arial" w:cs="Arial" w:eastAsia="Arial" w:hAnsi="Arial"/>
          <w:b/>
          <w:bCs/>
          <w:color w:val="0F2044"/>
          <w:sz w:val="36"/>
          <w:szCs w:val="36"/>
        </w:rPr>
        <w:t xml:space="preserve">10. Deployment Architecture</w:t>
      </w:r>
    </w:p>
    <w:p>
      <w:pPr>
        <w:pStyle w:val="Heading2"/>
        <w:spacing w:after="160" w:before="360"/>
      </w:pPr>
      <w:r>
        <w:rPr>
          <w:rFonts w:ascii="Arial" w:cs="Arial" w:eastAsia="Arial" w:hAnsi="Arial"/>
          <w:b/>
          <w:bCs/>
          <w:color w:val="1E40AF"/>
          <w:sz w:val="28"/>
          <w:szCs w:val="28"/>
        </w:rPr>
        <w:t xml:space="preserve">10.1 Target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766E" w:val="clear"/>
            <w:tcMar>
              <w:top w:type="dxa" w:w="200"/>
              <w:left w:type="dxa" w:w="300"/>
              <w:bottom w:type="dxa" w:w="200"/>
              <w:right w:type="dxa" w:w="300"/>
            </w:tcMar>
          </w:tcPr>
          <w:p>
            <w:pPr>
              <w:spacing w:after="60" w:before="0"/>
            </w:pPr>
            <w:r>
              <w:rPr>
                <w:rFonts w:ascii="Arial" w:cs="Arial" w:eastAsia="Arial" w:hAnsi="Arial"/>
                <w:b/>
                <w:bCs/>
                <w:color w:val="FFFFFF"/>
                <w:sz w:val="26"/>
                <w:szCs w:val="26"/>
              </w:rPr>
              <w:t xml:space="preserve">Minimum Production Specification</w:t>
            </w:r>
          </w:p>
          <w:p>
            <w:pPr>
              <w:spacing w:after="0" w:before="0"/>
            </w:pPr>
            <w:r>
              <w:rPr>
                <w:rFonts w:ascii="Arial" w:cs="Arial" w:eastAsia="Arial" w:hAnsi="Arial"/>
                <w:color w:val="99F6E4"/>
                <w:sz w:val="19"/>
                <w:szCs w:val="19"/>
              </w:rPr>
              <w:t xml:space="preserve">8 GB RAM  |  4 CPU Cores  |  400 GB NVMe SSD  |  Ubuntu Server 24.04 LTS  |  100 Mbps Network</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RAM Budget Breakdown</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PostgreSQL: 1.5-2.5 GB | SQLite (in-process): 50-100 MB | Redis: 150-200 MB | Node.js API: 400-600 MB | Nginx + PM2: 80 MB | Ubuntu OS: 1.2 GB | Available for FS cache: 2.5-3.5 GB</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CPU Budget</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Node.js API: 1 core | PostgreSQL: 2 cores (graph queries benefit from parallelism) | Redis/Nginx/System: shared 1 core. 4 cores is comfortable.</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Storage Breakdown</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PostgreSQL data + WAL: 50-100 GB | SQLite reference DBs: 200 MB | Redis AOF: 2-5 GB | Node.js app + logs: 20 GB | Docker images: 10 GB | OS: 15 GB | Buffer: 250 GB</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Network</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100 Mbps adequate. On-demand lookups fetch 100KB-20MB per lookup in bursts. S3 uploads scale with file size. No continuous monitoring bandwidth.</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Cloud Provider Options</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Hetzner Cloud CX52 (€42/month: 8 vCPU, 32 GB) or AX42 (€48/month: 12 vCPU ARM64, 32 GB) — best value. DigitalOcean Premium (€96/month: 8 vCPU, 32 GB). Hetzner recommended for cost-performance ratio.</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Self-Hosted Option</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Any machine meeting spec: Intel i5/i7 (4+ cores), 16 GB RAM recommended for comfort, 500 GB SSD. Standard broadband with port forwarding and DDNS or static IP.</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10.2 Docker Compose Architecture</w:t>
      </w:r>
    </w:p>
    <w:p>
      <w:pPr>
        <w:spacing w:after="90" w:before="60"/>
        <w:jc w:val="both"/>
      </w:pPr>
      <w:r>
        <w:rPr>
          <w:rFonts w:ascii="Arial" w:cs="Arial" w:eastAsia="Arial" w:hAnsi="Arial"/>
          <w:color w:val="111827"/>
          <w:sz w:val="21"/>
          <w:szCs w:val="21"/>
        </w:rPr>
        <w:t xml:space="preserve">All services run as Docker containers managed by Docker Compose. This ensures service isolation, reproducible builds, simplified backup, and straightforward migration between hosting providers.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F766E" w:sz="12"/>
              <w:bottom w:val="none" w:color="FFFFFF" w:sz="0"/>
              <w:right w:val="none" w:color="FFFFFF" w:sz="0"/>
            </w:tcBorders>
            <w:shd w:fill="F0FDF9" w:val="clear"/>
            <w:tcMar>
              <w:top w:type="dxa" w:w="160"/>
              <w:left w:type="dxa" w:w="200"/>
              <w:bottom w:type="dxa" w:w="160"/>
              <w:right w:type="dxa" w:w="200"/>
            </w:tcMar>
          </w:tcPr>
          <w:p>
            <w:pPr>
              <w:spacing w:after="15" w:before="15"/>
            </w:pPr>
            <w:r>
              <w:rPr>
                <w:rFonts w:ascii="Courier New" w:cs="Courier New" w:eastAsia="Courier New" w:hAnsi="Courier New"/>
                <w:color w:val="0F2044"/>
                <w:sz w:val="16"/>
                <w:szCs w:val="16"/>
              </w:rPr>
              <w:t xml:space="preserve">services:</w:t>
            </w:r>
          </w:p>
          <w:p>
            <w:pPr>
              <w:spacing w:after="15" w:before="15"/>
            </w:pPr>
            <w:r>
              <w:rPr>
                <w:rFonts w:ascii="Courier New" w:cs="Courier New" w:eastAsia="Courier New" w:hAnsi="Courier New"/>
                <w:color w:val="0F2044"/>
                <w:sz w:val="16"/>
                <w:szCs w:val="16"/>
              </w:rPr>
              <w:t xml:space="preserve">  nginx:         # Reverse proxy + TLS termination | Image: nginx:1.25-alpine</w:t>
            </w:r>
          </w:p>
          <w:p>
            <w:pPr>
              <w:spacing w:after="15" w:before="15"/>
            </w:pPr>
            <w:r>
              <w:rPr>
                <w:rFonts w:ascii="Courier New" w:cs="Courier New" w:eastAsia="Courier New" w:hAnsi="Courier New"/>
                <w:color w:val="0F2044"/>
                <w:sz w:val="16"/>
                <w:szCs w:val="16"/>
              </w:rPr>
              <w:t xml:space="preserve">  api:           # Node.js Express application | Image: rti-watch-api:latest</w:t>
            </w:r>
          </w:p>
          <w:p>
            <w:pPr>
              <w:spacing w:after="15" w:before="15"/>
            </w:pPr>
            <w:r>
              <w:rPr>
                <w:rFonts w:ascii="Courier New" w:cs="Courier New" w:eastAsia="Courier New" w:hAnsi="Courier New"/>
                <w:color w:val="0F2044"/>
                <w:sz w:val="16"/>
                <w:szCs w:val="16"/>
              </w:rPr>
              <w:t xml:space="preserve">  worker:        # BullMQ job processor | Image: rti-watch-api:latest (different CMD)</w:t>
            </w:r>
          </w:p>
          <w:p>
            <w:pPr>
              <w:spacing w:after="15" w:before="15"/>
            </w:pPr>
            <w:r>
              <w:rPr>
                <w:rFonts w:ascii="Courier New" w:cs="Courier New" w:eastAsia="Courier New" w:hAnsi="Courier New"/>
                <w:color w:val="0F2044"/>
                <w:sz w:val="16"/>
                <w:szCs w:val="16"/>
              </w:rPr>
              <w:t xml:space="preserve">  postgres:      # Primary database | Image: postgres:16-alpine</w:t>
            </w:r>
          </w:p>
          <w:p>
            <w:pPr>
              <w:spacing w:after="15" w:before="15"/>
            </w:pPr>
            <w:r>
              <w:rPr>
                <w:rFonts w:ascii="Courier New" w:cs="Courier New" w:eastAsia="Courier New" w:hAnsi="Courier New"/>
                <w:color w:val="0F2044"/>
                <w:sz w:val="16"/>
                <w:szCs w:val="16"/>
              </w:rPr>
              <w:t xml:space="preserve">  redis:         # Job queue only | Image: redis:7-alpine</w:t>
            </w:r>
          </w:p>
          <w:p>
            <w:pPr>
              <w:spacing w:after="15" w:before="15"/>
            </w:pPr>
            <w:r>
              <w:rPr>
                <w:rFonts w:ascii="Courier New" w:cs="Courier New" w:eastAsia="Courier New" w:hAnsi="Courier New"/>
                <w:color w:val="0F2044"/>
                <w:sz w:val="16"/>
                <w:szCs w:val="16"/>
              </w:rPr>
              <w:t xml:space="preserve">  playwright:    # Headless browser for JS-rendered lookups | Image: playwright:latest</w:t>
            </w:r>
          </w:p>
          <w:p>
            <w:pPr>
              <w:spacing w:after="15" w:before="15"/>
            </w:pPr>
            <w:r>
              <w:rPr>
                <w:rFonts w:ascii="Courier New" w:cs="Courier New" w:eastAsia="Courier New" w:hAnsi="Courier New"/>
                <w:color w:val="0F2044"/>
                <w:sz w:val="16"/>
                <w:szCs w:val="16"/>
              </w:rPr>
              <w:t xml:space="preserve">                 # Memory limit: 512 MB | Only runs on-demand</w:t>
            </w:r>
          </w:p>
          <w:p>
            <w:pPr>
              <w:spacing w:after="15" w:before="15"/>
            </w:pPr>
            <w:r>
              <w:rPr>
                <w:rFonts w:ascii="Courier New" w:cs="Courier New" w:eastAsia="Courier New" w:hAnsi="Courier New"/>
                <w:color w:val="0F2044"/>
                <w:sz w:val="16"/>
                <w:szCs w:val="16"/>
              </w:rPr>
              <w:t xml:space="preserve"/>
            </w:r>
          </w:p>
          <w:p>
            <w:pPr>
              <w:spacing w:after="15" w:before="15"/>
            </w:pPr>
            <w:r>
              <w:rPr>
                <w:rFonts w:ascii="Courier New" w:cs="Courier New" w:eastAsia="Courier New" w:hAnsi="Courier New"/>
                <w:color w:val="0F2044"/>
                <w:sz w:val="16"/>
                <w:szCs w:val="16"/>
              </w:rPr>
              <w:t xml:space="preserve">volumes:</w:t>
            </w:r>
          </w:p>
          <w:p>
            <w:pPr>
              <w:spacing w:after="15" w:before="15"/>
            </w:pPr>
            <w:r>
              <w:rPr>
                <w:rFonts w:ascii="Courier New" w:cs="Courier New" w:eastAsia="Courier New" w:hAnsi="Courier New"/>
                <w:color w:val="0F2044"/>
                <w:sz w:val="16"/>
                <w:szCs w:val="16"/>
              </w:rPr>
              <w:t xml:space="preserve">  postgres_data: # PostgreSQL data directory</w:t>
            </w:r>
          </w:p>
          <w:p>
            <w:pPr>
              <w:spacing w:after="15" w:before="15"/>
            </w:pPr>
            <w:r>
              <w:rPr>
                <w:rFonts w:ascii="Courier New" w:cs="Courier New" w:eastAsia="Courier New" w:hAnsi="Courier New"/>
                <w:color w:val="0F2044"/>
                <w:sz w:val="16"/>
                <w:szCs w:val="16"/>
              </w:rPr>
              <w:t xml:space="preserve">  redis_data:    # Redis AOF persistence</w:t>
            </w:r>
          </w:p>
          <w:p>
            <w:pPr>
              <w:spacing w:after="15" w:before="15"/>
            </w:pPr>
            <w:r>
              <w:rPr>
                <w:rFonts w:ascii="Courier New" w:cs="Courier New" w:eastAsia="Courier New" w:hAnsi="Courier New"/>
                <w:color w:val="0F2044"/>
                <w:sz w:val="16"/>
                <w:szCs w:val="16"/>
              </w:rPr>
              <w:t xml:space="preserve">  sqlite_data:   # SQLite database files</w:t>
            </w:r>
          </w:p>
          <w:p>
            <w:pPr>
              <w:spacing w:after="15" w:before="15"/>
            </w:pPr>
            <w:r>
              <w:rPr>
                <w:rFonts w:ascii="Courier New" w:cs="Courier New" w:eastAsia="Courier New" w:hAnsi="Courier New"/>
                <w:color w:val="0F2044"/>
                <w:sz w:val="16"/>
                <w:szCs w:val="16"/>
              </w:rPr>
              <w:t xml:space="preserve">  nginx_certs:   # SSL certificates (Certbot managed)</w:t>
            </w:r>
          </w:p>
          <w:p>
            <w:pPr>
              <w:spacing w:after="15" w:before="15"/>
            </w:pPr>
            <w:r>
              <w:rPr>
                <w:rFonts w:ascii="Courier New" w:cs="Courier New" w:eastAsia="Courier New" w:hAnsi="Courier New"/>
                <w:color w:val="0F2044"/>
                <w:sz w:val="16"/>
                <w:szCs w:val="16"/>
              </w:rPr>
              <w:t xml:space="preserve">  app_logs:      # Application log files</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10.3 Environment Configuration</w:t>
      </w:r>
    </w:p>
    <w:p>
      <w:pPr>
        <w:spacing w:after="90" w:before="60"/>
        <w:jc w:val="both"/>
      </w:pPr>
      <w:r>
        <w:rPr>
          <w:rFonts w:ascii="Arial" w:cs="Arial" w:eastAsia="Arial" w:hAnsi="Arial"/>
          <w:color w:val="111827"/>
          <w:sz w:val="21"/>
          <w:szCs w:val="21"/>
        </w:rPr>
        <w:t xml:space="preserve">All secrets and configuration are managed through environment variables loaded from a .env file on the host machine (never committed to version control). Docker Compose passes these to containers at startup.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Variable</w:t>
            </w:r>
          </w:p>
        </w:tc>
        <w:tc>
          <w:tcPr>
            <w:tcW w:type="dxa" w:w="24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Example Value</w:t>
            </w:r>
          </w:p>
        </w:tc>
        <w:tc>
          <w:tcPr>
            <w:tcW w:type="dxa" w:w="4626"/>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7"/>
                <w:szCs w:val="17"/>
              </w:rPr>
              <w:t xml:space="preserve">Purpose</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NODE_ENV</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production</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Application environment</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PORT</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3001</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API server port</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DATABASE_URL</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postgresql://user:pass@postgres:5432/rti_watch</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PostgreSQL connection string</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REDIS_URL</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redis://redis:6379</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Redis connection string</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JWT_SECRET</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64+ char random string</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JWT signing secret — rotate every 90 days</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ANTHROPIC_API_KEY</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sk-ant-...</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Claude API key — stored encrypted in .env</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AWS_ACCESS_KEY_ID</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S3 access — IAM user with S3 PutObject/GetObject only</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AWS_SECRET_ACCESS_KEY</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S3 secret</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S3_BUCKET_NAME</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rti-watch-evidence-prod</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Evidence archive bucket name</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S3_BACKUP_BUCKET</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rti-watch-backups-prod</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Backup storage bucket</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SMTP_HOST</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smtp.example.com</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Email server for alerts</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SMTP_FROM</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alerts@rti-watch.in</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From address for alert emails</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ENCRYPTION_KEY</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32-byte hex</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Application-layer encryption key for sensitive fields</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TOTP_ISSUER</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RTI Watch</w:t>
            </w:r>
          </w:p>
        </w:tc>
        <w:tc>
          <w:tcPr>
            <w:tcW w:type="dxa" w:w="4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2FA app display name</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Courier New" w:cs="Courier New" w:eastAsia="Courier New" w:hAnsi="Courier New"/>
                <w:b/>
                <w:bCs/>
                <w:color w:val="1E40AF"/>
                <w:sz w:val="17"/>
                <w:szCs w:val="17"/>
              </w:rPr>
              <w:t xml:space="preserve">ALLOWED_ORIGINS</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https://rti-watch.in</w:t>
            </w:r>
          </w:p>
        </w:tc>
        <w:tc>
          <w:tcPr>
            <w:tcW w:type="dxa" w:w="4626"/>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7"/>
                <w:szCs w:val="17"/>
              </w:rPr>
              <w:t xml:space="preserve">CORS allowed origins</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10.4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PostgreSQL Backup</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Daily pg_dump to compressed SQL file. Uploaded to S3 backup bucket. 90-day retention. WAL archiving for point-in-time recovery.</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SQLite Backup</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Daily file copy to S3 backup bucket. SQLite files are single files — trivial to back up.</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Redis Backup</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AOF persistence provides crash recovery. AOF file backed up to S3 daily.</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S3 Evidence Files</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Versioning enabled on evidence bucket — protects against accidental deletion. Already replicated by AWS across AZs.</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Recovery Time (RTO)</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PostgreSQL restore from pg_dump: 30-60 minutes. Redis restore: 5 minutes. SQLite restore: 1 minute. Target RTO: &lt; 2 hours.</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Recovery Point (RPO)</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Maximum 24 hours data loss with daily backups. WAL archiving reduces this to minutes for PostgreSQL.</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Backup Encryption</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All backup files encrypted with AES-256 before S3 upload using application encryption key.</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Backup Verification</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Weekly automated restore test to staging environment — confirms backups are restorable.</w:t>
            </w:r>
          </w:p>
        </w:tc>
      </w:tr>
    </w:tbl>
    <w:p>
      <w:pPr>
        <w:spacing w:after="0" w:before="0"/>
      </w:pPr>
      <w:r>
        <w:br w:type="page"/>
      </w:r>
    </w:p>
    <w:p>
      <w:pPr>
        <w:pStyle w:val="Heading1"/>
        <w:pBdr>
          <w:bottom w:val="single" w:color="1E40AF" w:sz="12" w:space="2"/>
        </w:pBdr>
        <w:spacing w:after="200" w:before="480"/>
      </w:pPr>
      <w:r>
        <w:rPr>
          <w:rFonts w:ascii="Arial" w:cs="Arial" w:eastAsia="Arial" w:hAnsi="Arial"/>
          <w:b/>
          <w:bCs/>
          <w:color w:val="0F2044"/>
          <w:sz w:val="36"/>
          <w:szCs w:val="36"/>
        </w:rPr>
        <w:t xml:space="preserve">11. Project Plan</w:t>
      </w:r>
    </w:p>
    <w:p>
      <w:pPr>
        <w:pStyle w:val="Heading2"/>
        <w:spacing w:after="160" w:before="360"/>
      </w:pPr>
      <w:r>
        <w:rPr>
          <w:rFonts w:ascii="Arial" w:cs="Arial" w:eastAsia="Arial" w:hAnsi="Arial"/>
          <w:b/>
          <w:bCs/>
          <w:color w:val="1E40AF"/>
          <w:sz w:val="28"/>
          <w:szCs w:val="28"/>
        </w:rPr>
        <w:t xml:space="preserve">11.1 Development Methodology</w:t>
      </w:r>
    </w:p>
    <w:p>
      <w:pPr>
        <w:spacing w:after="90" w:before="60"/>
        <w:jc w:val="both"/>
      </w:pPr>
      <w:r>
        <w:rPr>
          <w:rFonts w:ascii="Arial" w:cs="Arial" w:eastAsia="Arial" w:hAnsi="Arial"/>
          <w:color w:val="111827"/>
          <w:sz w:val="21"/>
          <w:szCs w:val="21"/>
        </w:rPr>
        <w:t xml:space="preserve">Iterative delivery in two-week sprints. Each phase produces working, testable software — not design documents. The approach is: build the thinnest end-to-end slice first (Phase 1 delivers a working RTI case with document entry), then add intelligence layers on top of a solid foundation. No big-bang integration at the end.</w:t>
      </w:r>
    </w:p>
    <w:p>
      <w:pPr>
        <w:spacing w:after="8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11.2 Phase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1600"/>
        <w:gridCol w:w="1400"/>
        <w:gridCol w:w="1200"/>
        <w:gridCol w:w="4146"/>
      </w:tblGrid>
      <w:tr>
        <w:trPr>
          <w:tblHeader/>
        </w:trPr>
        <w:tc>
          <w:tcPr>
            <w:tcW w:type="dxa" w:w="68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w:t>
            </w:r>
          </w:p>
        </w:tc>
        <w:tc>
          <w:tcPr>
            <w:tcW w:type="dxa" w:w="16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Phase</w:t>
            </w:r>
          </w:p>
        </w:tc>
        <w:tc>
          <w:tcPr>
            <w:tcW w:type="dxa" w:w="14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Duration</w:t>
            </w:r>
          </w:p>
        </w:tc>
        <w:tc>
          <w:tcPr>
            <w:tcW w:type="dxa" w:w="12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Priority</w:t>
            </w:r>
          </w:p>
        </w:tc>
        <w:tc>
          <w:tcPr>
            <w:tcW w:type="dxa" w:w="4146"/>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Key Deliverables</w:t>
            </w:r>
          </w:p>
        </w:tc>
      </w:tr>
      <w:tr>
        <w:tc>
          <w:tcPr>
            <w:tcW w:type="dxa" w:w="68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b/>
                <w:bCs/>
                <w:color w:val="1E40AF"/>
                <w:sz w:val="18"/>
                <w:szCs w:val="18"/>
              </w:rPr>
              <w:t xml:space="preserve">P0</w:t>
            </w:r>
          </w:p>
        </w:tc>
        <w:tc>
          <w:tcPr>
            <w:tcW w:type="dxa" w:w="16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Environment &amp; Infrastructure</w:t>
            </w:r>
          </w:p>
        </w:tc>
        <w:tc>
          <w:tcPr>
            <w:tcW w:type="dxa" w:w="14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2 weeks</w:t>
            </w:r>
          </w:p>
        </w:tc>
        <w:tc>
          <w:tcPr>
            <w:tcW w:type="dxa" w:w="12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8"/>
                <w:szCs w:val="18"/>
              </w:rPr>
              <w:t xml:space="preserve">Critical</w:t>
            </w:r>
          </w:p>
        </w:tc>
        <w:tc>
          <w:tcPr>
            <w:tcW w:type="dxa" w:w="4146"/>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GitHub repository, Docker Compose setup, PostgreSQL + SQLite + Redis containers, AWS S3 bucket and IAM, Nginx with self-signed SSL, CI/CD pipeline (GitHub Actions), development environment for all team members, .env secret management</w:t>
            </w:r>
          </w:p>
        </w:tc>
      </w:tr>
      <w:tr>
        <w:tc>
          <w:tcPr>
            <w:tcW w:type="dxa" w:w="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1E40AF"/>
                <w:sz w:val="18"/>
                <w:szCs w:val="18"/>
              </w:rPr>
              <w:t xml:space="preserve">P1</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Core Foundation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6 weeks</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8"/>
                <w:szCs w:val="18"/>
              </w:rPr>
              <w:t xml:space="preserve">Critical</w:t>
            </w:r>
          </w:p>
        </w:tc>
        <w:tc>
          <w:tcPr>
            <w:tcW w:type="dxa" w:w="414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JWT authentication with 2FA, user management, RTI case CRUD with all metadata, 16-status lifecycle workflow, S3 file upload with SHA-256 hashing, manual knowledge entry forms (all 10 document types), basic entity creation, PostgreSQL schema with all core tables and indexes</w:t>
            </w:r>
          </w:p>
        </w:tc>
      </w:tr>
      <w:tr>
        <w:tc>
          <w:tcPr>
            <w:tcW w:type="dxa" w:w="68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b/>
                <w:bCs/>
                <w:color w:val="1E40AF"/>
                <w:sz w:val="18"/>
                <w:szCs w:val="18"/>
              </w:rPr>
              <w:t xml:space="preserve">P2</w:t>
            </w:r>
          </w:p>
        </w:tc>
        <w:tc>
          <w:tcPr>
            <w:tcW w:type="dxa" w:w="16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Rule Engine &amp; Intelligence</w:t>
            </w:r>
          </w:p>
        </w:tc>
        <w:tc>
          <w:tcPr>
            <w:tcW w:type="dxa" w:w="14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5 weeks</w:t>
            </w:r>
          </w:p>
        </w:tc>
        <w:tc>
          <w:tcPr>
            <w:tcW w:type="dxa" w:w="12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8"/>
                <w:szCs w:val="18"/>
              </w:rPr>
              <w:t xml:space="preserve">Critical</w:t>
            </w:r>
          </w:p>
        </w:tc>
        <w:tc>
          <w:tcPr>
            <w:tcW w:type="dxa" w:w="4146"/>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All 9 rule engine functions (deadline, penalty, contradiction, reconciliation, missing doc, timeline, scoring, entity risk, evasion), alert generation and management, contradiction detection pipeline, corruption probability scoring, BullMQ job queue for async rules</w:t>
            </w:r>
          </w:p>
        </w:tc>
      </w:tr>
      <w:tr>
        <w:tc>
          <w:tcPr>
            <w:tcW w:type="dxa" w:w="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1E40AF"/>
                <w:sz w:val="18"/>
                <w:szCs w:val="18"/>
              </w:rPr>
              <w:t xml:space="preserve">P3</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Knowledge Graph</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4 weeks</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8"/>
                <w:szCs w:val="18"/>
              </w:rPr>
              <w:t xml:space="preserve">Critical</w:t>
            </w:r>
          </w:p>
        </w:tc>
        <w:tc>
          <w:tcPr>
            <w:tcW w:type="dxa" w:w="414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Entity relationship tables and recursive CTE graph queries, entity network visualisation, case-to-case linking, fuzzy entity name matching, full-text search (tsvector), SQLite reference database with RTI Act, timeline library, evasion patterns</w:t>
            </w:r>
          </w:p>
        </w:tc>
      </w:tr>
      <w:tr>
        <w:tc>
          <w:tcPr>
            <w:tcW w:type="dxa" w:w="68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b/>
                <w:bCs/>
                <w:color w:val="1E40AF"/>
                <w:sz w:val="18"/>
                <w:szCs w:val="18"/>
              </w:rPr>
              <w:t xml:space="preserve">P4</w:t>
            </w:r>
          </w:p>
        </w:tc>
        <w:tc>
          <w:tcPr>
            <w:tcW w:type="dxa" w:w="16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AI Assistant Integration</w:t>
            </w:r>
          </w:p>
        </w:tc>
        <w:tc>
          <w:tcPr>
            <w:tcW w:type="dxa" w:w="14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4 weeks</w:t>
            </w:r>
          </w:p>
        </w:tc>
        <w:tc>
          <w:tcPr>
            <w:tcW w:type="dxa" w:w="12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High</w:t>
            </w:r>
          </w:p>
        </w:tc>
        <w:tc>
          <w:tcPr>
            <w:tcW w:type="dxa" w:w="4146"/>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Claude API integration, context assembly layer (structured DB query before every AI call), RTI application drafting, appeal drafting (first/second/SIC), document summarisation, legal exemption assessment, human review workflow for all AI outputs</w:t>
            </w:r>
          </w:p>
        </w:tc>
      </w:tr>
      <w:tr>
        <w:tc>
          <w:tcPr>
            <w:tcW w:type="dxa" w:w="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1E40AF"/>
                <w:sz w:val="18"/>
                <w:szCs w:val="18"/>
              </w:rPr>
              <w:t xml:space="preserve">P5</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Internet Lookup System</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3 weeks</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High</w:t>
            </w:r>
          </w:p>
        </w:tc>
        <w:tc>
          <w:tcPr>
            <w:tcW w:type="dxa" w:w="414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On-demand lookup framework with preview/execute/commit workflow, MCA21 integration, Kerala e-Procurement integration, E-Courts integration, CAG website retrieval, audit log for all lookups, Playwright container for JS-rendered pages</w:t>
            </w:r>
          </w:p>
        </w:tc>
      </w:tr>
      <w:tr>
        <w:tc>
          <w:tcPr>
            <w:tcW w:type="dxa" w:w="68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b/>
                <w:bCs/>
                <w:color w:val="1E40AF"/>
                <w:sz w:val="18"/>
                <w:szCs w:val="18"/>
              </w:rPr>
              <w:t xml:space="preserve">P6</w:t>
            </w:r>
          </w:p>
        </w:tc>
        <w:tc>
          <w:tcPr>
            <w:tcW w:type="dxa" w:w="16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Legal Action Engine</w:t>
            </w:r>
          </w:p>
        </w:tc>
        <w:tc>
          <w:tcPr>
            <w:tcW w:type="dxa" w:w="14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3 weeks</w:t>
            </w:r>
          </w:p>
        </w:tc>
        <w:tc>
          <w:tcPr>
            <w:tcW w:type="dxa" w:w="12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High</w:t>
            </w:r>
          </w:p>
        </w:tc>
        <w:tc>
          <w:tcPr>
            <w:tcW w:type="dxa" w:w="4146"/>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S.20 penalty calculator, all legal document templates (appeal, SIC complaint, contempt, evidence package), compliance deadline tracking, PDF generation via Puppeteer, SIC hearing alert system</w:t>
            </w:r>
          </w:p>
        </w:tc>
      </w:tr>
      <w:tr>
        <w:tc>
          <w:tcPr>
            <w:tcW w:type="dxa" w:w="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1E40AF"/>
                <w:sz w:val="18"/>
                <w:szCs w:val="18"/>
              </w:rPr>
              <w:t xml:space="preserve">P7</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Language Support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3 weeks</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High</w:t>
            </w:r>
          </w:p>
        </w:tc>
        <w:tc>
          <w:tcPr>
            <w:tcW w:type="dxa" w:w="414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i18next Malayalam/English implementation, RTI text display in source language, per-user language preference, all UI strings in translation files, Malayalam entity name storage</w:t>
            </w:r>
          </w:p>
        </w:tc>
      </w:tr>
      <w:tr>
        <w:tc>
          <w:tcPr>
            <w:tcW w:type="dxa" w:w="68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b/>
                <w:bCs/>
                <w:color w:val="1E40AF"/>
                <w:sz w:val="18"/>
                <w:szCs w:val="18"/>
              </w:rPr>
              <w:t xml:space="preserve">P8</w:t>
            </w:r>
          </w:p>
        </w:tc>
        <w:tc>
          <w:tcPr>
            <w:tcW w:type="dxa" w:w="16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Analytics &amp; Reporting</w:t>
            </w:r>
          </w:p>
        </w:tc>
        <w:tc>
          <w:tcPr>
            <w:tcW w:type="dxa" w:w="14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3 weeks</w:t>
            </w:r>
          </w:p>
        </w:tc>
        <w:tc>
          <w:tcPr>
            <w:tcW w:type="dxa" w:w="12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jc w:val="center"/>
            </w:pPr>
            <w:r>
              <w:rPr>
                <w:rFonts w:ascii="Arial" w:cs="Arial" w:eastAsia="Arial" w:hAnsi="Arial"/>
                <w:b/>
                <w:bCs/>
                <w:color w:val="0F766E"/>
                <w:sz w:val="18"/>
                <w:szCs w:val="18"/>
              </w:rPr>
              <w:t xml:space="preserve">Medium</w:t>
            </w:r>
          </w:p>
        </w:tc>
        <w:tc>
          <w:tcPr>
            <w:tcW w:type="dxa" w:w="4146"/>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Investigation dashboard, department compliance scorecards, PIO officer profiles, financial summary visualisations, filing trend charts, evidence package PDF export, CSV export for data portability</w:t>
            </w:r>
          </w:p>
        </w:tc>
      </w:tr>
      <w:tr>
        <w:tc>
          <w:tcPr>
            <w:tcW w:type="dxa" w:w="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1E40AF"/>
                <w:sz w:val="18"/>
                <w:szCs w:val="18"/>
              </w:rPr>
              <w:t xml:space="preserve">P9</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Public Systems</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4 weeks</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0F766E"/>
                <w:sz w:val="18"/>
                <w:szCs w:val="18"/>
              </w:rPr>
              <w:t xml:space="preserve">Medium</w:t>
            </w:r>
          </w:p>
        </w:tc>
        <w:tc>
          <w:tcPr>
            <w:tcW w:type="dxa" w:w="414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Public accountability dashboard (separate frontend), department scorecards public view, citizen tip submission portal, tip review and verification workflow, journalist portal with verified access</w:t>
            </w:r>
          </w:p>
        </w:tc>
      </w:tr>
      <w:tr>
        <w:tc>
          <w:tcPr>
            <w:tcW w:type="dxa" w:w="68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b/>
                <w:bCs/>
                <w:color w:val="1E40AF"/>
                <w:sz w:val="18"/>
                <w:szCs w:val="18"/>
              </w:rPr>
              <w:t xml:space="preserve">P10</w:t>
            </w:r>
          </w:p>
        </w:tc>
        <w:tc>
          <w:tcPr>
            <w:tcW w:type="dxa" w:w="16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Security Hardening</w:t>
            </w:r>
          </w:p>
        </w:tc>
        <w:tc>
          <w:tcPr>
            <w:tcW w:type="dxa" w:w="14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3 weeks</w:t>
            </w:r>
          </w:p>
        </w:tc>
        <w:tc>
          <w:tcPr>
            <w:tcW w:type="dxa" w:w="12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8"/>
                <w:szCs w:val="18"/>
              </w:rPr>
              <w:t xml:space="preserve">Critical</w:t>
            </w:r>
          </w:p>
        </w:tc>
        <w:tc>
          <w:tcPr>
            <w:tcW w:type="dxa" w:w="4146"/>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Penetration testing, dependency vulnerability audit, case compartmentalisation, comprehensive audit log review, rate limiting tuning, HTTPS enforcement, backup verification, security documentation</w:t>
            </w:r>
          </w:p>
        </w:tc>
      </w:tr>
      <w:tr>
        <w:tc>
          <w:tcPr>
            <w:tcW w:type="dxa" w:w="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1E40AF"/>
                <w:sz w:val="18"/>
                <w:szCs w:val="18"/>
              </w:rPr>
              <w:t xml:space="preserve">P11</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UAT &amp; Refinement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3 weeks</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High</w:t>
            </w:r>
          </w:p>
        </w:tc>
        <w:tc>
          <w:tcPr>
            <w:tcW w:type="dxa" w:w="414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Full team user acceptance testing, Malayalam UI validation with native speakers, legal document review by RTI counsel, performance testing under load, bug fixing and UX refinement</w:t>
            </w:r>
          </w:p>
        </w:tc>
      </w:tr>
      <w:tr>
        <w:tc>
          <w:tcPr>
            <w:tcW w:type="dxa" w:w="68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b/>
                <w:bCs/>
                <w:color w:val="1E40AF"/>
                <w:sz w:val="18"/>
                <w:szCs w:val="18"/>
              </w:rPr>
              <w:t xml:space="preserve">P12</w:t>
            </w:r>
          </w:p>
        </w:tc>
        <w:tc>
          <w:tcPr>
            <w:tcW w:type="dxa" w:w="16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Production Launch</w:t>
            </w:r>
          </w:p>
        </w:tc>
        <w:tc>
          <w:tcPr>
            <w:tcW w:type="dxa" w:w="14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2 weeks</w:t>
            </w:r>
          </w:p>
        </w:tc>
        <w:tc>
          <w:tcPr>
            <w:tcW w:type="dxa" w:w="1200"/>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8"/>
                <w:szCs w:val="18"/>
              </w:rPr>
              <w:t xml:space="preserve">Critical</w:t>
            </w:r>
          </w:p>
        </w:tc>
        <w:tc>
          <w:tcPr>
            <w:tcW w:type="dxa" w:w="4146"/>
            <w:tcBorders>
              <w:top w:val="single" w:color="D1D5DB" w:sz="4"/>
              <w:left w:val="single" w:color="D1D5DB" w:sz="4"/>
              <w:bottom w:val="single" w:color="D1D5DB" w:sz="4"/>
              <w:right w:val="single" w:color="D1D5DB" w:sz="4"/>
            </w:tcBorders>
            <w:shd w:fill="E8EDF5"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Production server provisioning, SSL certificate, DNS configuration, production data migration, monitoring setup, team training, go-live checklist, incident response procedure</w:t>
            </w:r>
          </w:p>
        </w:tc>
      </w:tr>
      <w:tr>
        <w:tc>
          <w:tcPr>
            <w:tcW w:type="dxa" w:w="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1E40AF"/>
                <w:sz w:val="18"/>
                <w:szCs w:val="18"/>
              </w:rPr>
              <w:t xml:space="preserve">P13</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8"/>
                <w:szCs w:val="18"/>
              </w:rPr>
              <w:t xml:space="preserve">Post-Launch Iteration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Ongoing</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0F766E"/>
                <w:sz w:val="18"/>
                <w:szCs w:val="18"/>
              </w:rPr>
              <w:t xml:space="preserve">Medium</w:t>
            </w:r>
          </w:p>
        </w:tc>
        <w:tc>
          <w:tcPr>
            <w:tcW w:type="dxa" w:w="414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7"/>
                <w:szCs w:val="17"/>
              </w:rPr>
              <w:t xml:space="preserve">Federated network module, mobile app (React Native), journalist portal enhancements, AI model improvements based on real case outcomes, new rule engine additions from team learning</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11.3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P0-P1 (Foundation ready)</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8 weeks — Working RTI management with document entry</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P2-P3 (Intelligence live)</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+9 weeks (17 total) — Rule engine + knowledge graph operational</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P4-P6 (AI + Legal + Internet)</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+10 weeks (27 total) — Full AI assistant and legal automation</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P7-P9 (Language + Public)</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+10 weeks (37 total) — Malayalam support and public portal</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P10-P12 (Security + Launch)</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+8 weeks (45 total) — Production-ready and live</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MVP (P0-P4)</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21 weeks — Core investigation tool fully operational</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Full Production</w:t>
            </w:r>
          </w:p>
        </w:tc>
        <w:tc>
          <w:tcPr>
            <w:tcW w:type="dxa" w:w="66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45 weeks — Complete platform including public portal</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Note</w:t>
            </w:r>
          </w:p>
        </w:tc>
        <w:tc>
          <w:tcPr>
            <w:tcW w:type="dxa" w:w="66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Timelines assume 1-2 developers working full-time. Part-time development doubles estimates.</w:t>
            </w:r>
          </w:p>
        </w:tc>
      </w:tr>
    </w:tbl>
    <w:p>
      <w:pPr>
        <w:spacing w:after="0" w:before="0"/>
      </w:pPr>
      <w:r>
        <w:br w:type="page"/>
      </w:r>
    </w:p>
    <w:p>
      <w:pPr>
        <w:pStyle w:val="Heading1"/>
        <w:pBdr>
          <w:bottom w:val="single" w:color="1E40AF" w:sz="12" w:space="2"/>
        </w:pBdr>
        <w:spacing w:after="200" w:before="480"/>
      </w:pPr>
      <w:r>
        <w:rPr>
          <w:rFonts w:ascii="Arial" w:cs="Arial" w:eastAsia="Arial" w:hAnsi="Arial"/>
          <w:b/>
          <w:bCs/>
          <w:color w:val="0F2044"/>
          <w:sz w:val="36"/>
          <w:szCs w:val="36"/>
        </w:rP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Risk</w:t>
            </w:r>
          </w:p>
        </w:tc>
        <w:tc>
          <w:tcPr>
            <w:tcW w:type="dxa" w:w="12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Likelihood</w:t>
            </w:r>
          </w:p>
        </w:tc>
        <w:tc>
          <w:tcPr>
            <w:tcW w:type="dxa" w:w="120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Impact</w:t>
            </w:r>
          </w:p>
        </w:tc>
        <w:tc>
          <w:tcPr>
            <w:tcW w:type="dxa" w:w="4760"/>
            <w:tcBorders>
              <w:top w:val="single" w:color="FFFFFF" w:sz="4"/>
              <w:left w:val="single" w:color="FFFFFF" w:sz="4"/>
              <w:bottom w:val="single" w:color="FFFFFF" w:sz="4"/>
              <w:right w:val="single" w:color="FFFFFF" w:sz="4"/>
            </w:tcBorders>
            <w:shd w:fill="0F2044"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18"/>
                <w:szCs w:val="18"/>
              </w:rPr>
              <w:t xml:space="preserve">Mitigation</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111827"/>
                <w:sz w:val="18"/>
                <w:szCs w:val="18"/>
              </w:rPr>
              <w:t xml:space="preserve">Inconsistent document entry discipline — team doesn't enter documents promptly or completely</w:t>
            </w:r>
          </w:p>
        </w:tc>
        <w:tc>
          <w:tcPr>
            <w:tcW w:type="dxa" w:w="1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8"/>
                <w:szCs w:val="18"/>
              </w:rPr>
              <w:t xml:space="preserve">High</w:t>
            </w:r>
          </w:p>
        </w:tc>
        <w:tc>
          <w:tcPr>
            <w:tcW w:type="dxa" w:w="1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8"/>
                <w:szCs w:val="18"/>
              </w:rPr>
              <w:t xml:space="preserve">High</w:t>
            </w:r>
          </w:p>
        </w:tc>
        <w:tc>
          <w:tcPr>
            <w:tcW w:type="dxa" w:w="47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Team protocol: designated entry shifts, peer review before commit, weekly knowledge quality audit, gamified completeness score per team member</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111827"/>
                <w:sz w:val="18"/>
                <w:szCs w:val="18"/>
              </w:rPr>
              <w:t xml:space="preserve">AI false positive — incorrect corruption indicator published</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Medium</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8"/>
                <w:szCs w:val="18"/>
              </w:rPr>
              <w:t xml:space="preserve">High</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All AI outputs clearly labelled as 'hypothesis'; mandatory human review; two-team-member sign-off before any public use; confidence levels displayed</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111827"/>
                <w:sz w:val="18"/>
                <w:szCs w:val="18"/>
              </w:rPr>
              <w:t xml:space="preserve">PostgreSQL performance degradation at high entity/fact volume</w:t>
            </w:r>
          </w:p>
        </w:tc>
        <w:tc>
          <w:tcPr>
            <w:tcW w:type="dxa" w:w="1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0F766E"/>
                <w:sz w:val="18"/>
                <w:szCs w:val="18"/>
              </w:rPr>
              <w:t xml:space="preserve">Low</w:t>
            </w:r>
          </w:p>
        </w:tc>
        <w:tc>
          <w:tcPr>
            <w:tcW w:type="dxa" w:w="1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Medium</w:t>
            </w:r>
          </w:p>
        </w:tc>
        <w:tc>
          <w:tcPr>
            <w:tcW w:type="dxa" w:w="47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Graph query optimisation review at 50,000 nodes; query explain-plan monitoring; index strategy reviewed quarterly; upgrade path to dedicated DB server documented</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111827"/>
                <w:sz w:val="18"/>
                <w:szCs w:val="18"/>
              </w:rPr>
              <w:t xml:space="preserve">Claude API unavailability or pricing change</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Medium</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Medium</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Graceful degradation — all rule-based intelligence continues; AI features show 'unavailable' message; fallback prompt templates enable manual drafting</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111827"/>
                <w:sz w:val="18"/>
                <w:szCs w:val="18"/>
              </w:rPr>
              <w:t xml:space="preserve">AWS S3 cost overrun</w:t>
            </w:r>
          </w:p>
        </w:tc>
        <w:tc>
          <w:tcPr>
            <w:tcW w:type="dxa" w:w="1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0F766E"/>
                <w:sz w:val="18"/>
                <w:szCs w:val="18"/>
              </w:rPr>
              <w:t xml:space="preserve">Low</w:t>
            </w:r>
          </w:p>
        </w:tc>
        <w:tc>
          <w:tcPr>
            <w:tcW w:type="dxa" w:w="1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0F766E"/>
                <w:sz w:val="18"/>
                <w:szCs w:val="18"/>
              </w:rPr>
              <w:t xml:space="preserve">Low</w:t>
            </w:r>
          </w:p>
        </w:tc>
        <w:tc>
          <w:tcPr>
            <w:tcW w:type="dxa" w:w="47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S3 Intelligent-Tiering for files &gt;30 days; monthly cost alerting at 80% of budget; Backblaze B2 as cost-saving alternative documented</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111827"/>
                <w:sz w:val="18"/>
                <w:szCs w:val="18"/>
              </w:rPr>
              <w:t xml:space="preserve">Team member with database access leaves organisation</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Medium</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8"/>
                <w:szCs w:val="18"/>
              </w:rPr>
              <w:t xml:space="preserve">High</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Individual JWT tokens (not shared); access revocation procedure documented and tested quarterly; access review every 3 months; offboarding checklist</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111827"/>
                <w:sz w:val="18"/>
                <w:szCs w:val="18"/>
              </w:rPr>
              <w:t xml:space="preserve">Government legal action challenging platform operation</w:t>
            </w:r>
          </w:p>
        </w:tc>
        <w:tc>
          <w:tcPr>
            <w:tcW w:type="dxa" w:w="1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0F766E"/>
                <w:sz w:val="18"/>
                <w:szCs w:val="18"/>
              </w:rPr>
              <w:t xml:space="preserve">Low</w:t>
            </w:r>
          </w:p>
        </w:tc>
        <w:tc>
          <w:tcPr>
            <w:tcW w:type="dxa" w:w="1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8"/>
                <w:szCs w:val="18"/>
              </w:rPr>
              <w:t xml:space="preserve">High</w:t>
            </w:r>
          </w:p>
        </w:tc>
        <w:tc>
          <w:tcPr>
            <w:tcW w:type="dxa" w:w="47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Legal counsel review of all published findings; no publication without official document citation; platform operates within RTI Act rights; legal opinion on file</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111827"/>
                <w:sz w:val="18"/>
                <w:szCs w:val="18"/>
              </w:rPr>
              <w:t xml:space="preserve">Whistleblower identity accidentally exposed</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0F766E"/>
                <w:sz w:val="18"/>
                <w:szCs w:val="18"/>
              </w:rPr>
              <w:t xml:space="preserve">Very Low</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0F766E"/>
                <w:sz w:val="18"/>
                <w:szCs w:val="18"/>
              </w:rPr>
              <w:t xml:space="preserve">Critical</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Tip system collects zero identifying information by default; optional contact method stored separately with restricted access; security review of tip pipeline before launch</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111827"/>
                <w:sz w:val="18"/>
                <w:szCs w:val="18"/>
              </w:rPr>
              <w:t xml:space="preserve">Knowledge graph data corruption from incorrect entry</w:t>
            </w:r>
          </w:p>
        </w:tc>
        <w:tc>
          <w:tcPr>
            <w:tcW w:type="dxa" w:w="1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Medium</w:t>
            </w:r>
          </w:p>
        </w:tc>
        <w:tc>
          <w:tcPr>
            <w:tcW w:type="dxa" w:w="1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Medium</w:t>
            </w:r>
          </w:p>
        </w:tc>
        <w:tc>
          <w:tcPr>
            <w:tcW w:type="dxa" w:w="47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Human review step before knowledge commit; fact provenance preserved with source document; audit log for all entries; rollback procedure for recent batch entries documented</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111827"/>
                <w:sz w:val="18"/>
                <w:szCs w:val="18"/>
              </w:rPr>
              <w:t xml:space="preserve">Playwright memory leak — out of memory on lookup</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Medium</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0F766E"/>
                <w:sz w:val="18"/>
                <w:szCs w:val="18"/>
              </w:rPr>
              <w:t xml:space="preserve">Low</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Playwright runs in memory-limited Docker container (512 MB hard limit); container auto-restarts; lookup queue rate-limited to 1 concurrent; memory monitoring alert</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111827"/>
                <w:sz w:val="18"/>
                <w:szCs w:val="18"/>
              </w:rPr>
              <w:t xml:space="preserve">SQLite write contention under concurrent users</w:t>
            </w:r>
          </w:p>
        </w:tc>
        <w:tc>
          <w:tcPr>
            <w:tcW w:type="dxa" w:w="1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0F766E"/>
                <w:sz w:val="18"/>
                <w:szCs w:val="18"/>
              </w:rPr>
              <w:t xml:space="preserve">Low</w:t>
            </w:r>
          </w:p>
        </w:tc>
        <w:tc>
          <w:tcPr>
            <w:tcW w:type="dxa" w:w="12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Medium</w:t>
            </w:r>
          </w:p>
        </w:tc>
        <w:tc>
          <w:tcPr>
            <w:tcW w:type="dxa" w:w="47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SQLite used only for static reference data (reads only in production); no concurrent writes; WAL mode enabled; upgrade to PostgreSQL for this data if write contention observed</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111827"/>
                <w:sz w:val="18"/>
                <w:szCs w:val="18"/>
              </w:rPr>
              <w:t xml:space="preserve">Developer leaves with key system knowledge</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92400E"/>
                <w:sz w:val="18"/>
                <w:szCs w:val="18"/>
              </w:rPr>
              <w:t xml:space="preserve">Medium</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jc w:val="center"/>
            </w:pPr>
            <w:r>
              <w:rPr>
                <w:rFonts w:ascii="Arial" w:cs="Arial" w:eastAsia="Arial" w:hAnsi="Arial"/>
                <w:b/>
                <w:bCs/>
                <w:color w:val="B91C1C"/>
                <w:sz w:val="18"/>
                <w:szCs w:val="18"/>
              </w:rPr>
              <w:t xml:space="preserve">High</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111827"/>
                <w:sz w:val="18"/>
                <w:szCs w:val="18"/>
              </w:rPr>
              <w:t xml:space="preserve">Architecture documented in this SRS; all code commented; README per service; pair programming for complex features; knowledge transfer sessions quarterly</w:t>
            </w:r>
          </w:p>
        </w:tc>
      </w:tr>
    </w:tbl>
    <w:p>
      <w:pPr>
        <w:spacing w:after="0" w:before="0"/>
      </w:pPr>
      <w:r>
        <w:br w:type="page"/>
      </w:r>
    </w:p>
    <w:p>
      <w:pPr>
        <w:pStyle w:val="Heading1"/>
        <w:pBdr>
          <w:bottom w:val="single" w:color="1E40AF" w:sz="12" w:space="2"/>
        </w:pBdr>
        <w:spacing w:after="200" w:before="480"/>
      </w:pPr>
      <w:r>
        <w:rPr>
          <w:rFonts w:ascii="Arial" w:cs="Arial" w:eastAsia="Arial" w:hAnsi="Arial"/>
          <w:b/>
          <w:bCs/>
          <w:color w:val="0F2044"/>
          <w:sz w:val="36"/>
          <w:szCs w:val="36"/>
        </w:rPr>
        <w:t xml:space="preserve">13. Glossary &amp; Reference</w:t>
      </w:r>
    </w:p>
    <w:p>
      <w:pPr>
        <w:pStyle w:val="Heading2"/>
        <w:spacing w:after="160" w:before="360"/>
      </w:pPr>
      <w:r>
        <w:rPr>
          <w:rFonts w:ascii="Arial" w:cs="Arial" w:eastAsia="Arial" w:hAnsi="Arial"/>
          <w:b/>
          <w:bCs/>
          <w:color w:val="1E40AF"/>
          <w:sz w:val="28"/>
          <w:szCs w:val="28"/>
        </w:rPr>
        <w:t xml:space="preserve">13.1 Technical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AES-256</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Advanced Encryption Standard with 256-bit key. Used for data encryption at rest and in transit.</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AOF</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Append-Only File — Redis persistence mode that logs every write operation for crash recovery.</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bcrypt</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Password hashing algorithm with configurable cost factor. Resistant to brute-force attacks.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BullMQ</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Node.js background job queue library built on Redis. Used for async AI calls and alert processing.</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CTE</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Common Table Expression — SQL feature enabling recursive graph traversal in PostgreSQL.</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Docker Compose</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Tool for defining and running multi-container Docker applications via YAML configuration.</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HSTS</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HTTP Strict Transport Security — forces all connections to use HTTPS.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i18next</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Internationalisation framework for React applications. Handles Malayalam/English language toggle.</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JSONB</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PostgreSQL binary JSON column type. Supports indexing and querying of JSON fields.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JWT</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JSON Web Token — compact, self-contained token for stateless authentication.</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Knex.js</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SQL query builder for Node.js. Used for database migrations and parameterised queries.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MoSCoW</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Requirements prioritisation: Must Have / Should Have / Could Have / Won't Have.</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NVMe SSD</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Non-Volatile Memory Express Solid State Drive. Required for PostgreSQL performance.</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pg_dump</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PostgreSQL backup utility. Creates portable SQL dump of database contents.</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Playwright</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Browser automation library. Used for fetching JavaScript-rendered government portal pages.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Puppeteer</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Headless Chrome library. Used for PDF generation of evidence packages.</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Recursive CTE</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SQL pattern for graph traversal. Enables finding connected entities at N hops in PostgreSQL.</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Redis</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In-memory data store. Used exclusively for BullMQ job queue in this architecture.</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SHA-256</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Cryptographic hash function. Generates unique 64-character fingerprint for file integrity verification.</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SQLite</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Embedded relational database. No server process. Used for static reference data reads.</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TOTP</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Time-based One-Time Password. Industry standard for two-factor authentication (Google Authenticator compatible).</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tsvector</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PostgreSQL full-text search data type. Enables fast keyword search across all document content.</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WAL</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Write-Ahead Logging — PostgreSQL feature enabling point-in-time recovery and backup.</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Zod</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TypeScript-first schema validation library. Used for all API request validation.</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13.2 RTI Act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S.6</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Filing RTI application — citizen's right to request information from public authority</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S.7</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30-day response deadline — PIO must respond within 30 days (48 hours for life/liberty matters)</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S.8</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Exemptions from disclosure — PIO must justify any exemption; public interest override available</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S.8(1)(a)</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National security / sovereignty — rarely applicable to state government RTIs</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S.8(1)(d)</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Commercial confidence — frequently misapplied to public procurement. Supreme Court: public money expenditure cannot be commercial confidence</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S.8(1)(e)</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Fiduciary relationship — applies only where government genuinely holds information in trust for third party</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S.8(1)(j)</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Personal information — only valid where disclosure has no public interest justification</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S.11</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Third party information — requires PIO to notify third party before disclosure; cannot be used to blanket-refuse</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S.19(1)</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First appeal — must be filed within 30 days of response / non-response. To first appellate authority.</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S.19(3)</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Second appeal — to State/Central Information Commission. No time limit if first appeal ignored.</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S.20</w:t>
            </w:r>
          </w:p>
        </w:tc>
        <w:tc>
          <w:tcPr>
            <w:tcW w:type="dxa" w:w="72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Penalty provisions — Rs.250/day on PIO for non-compliance, max Rs.25,000. Commission-imposed.</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S.20(2)</w:t>
            </w:r>
          </w:p>
        </w:tc>
        <w:tc>
          <w:tcPr>
            <w:tcW w:type="dxa" w:w="72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Disciplinary action — Information Commission can recommend disciplinary proceedings against errant PIO</w:t>
            </w:r>
          </w:p>
        </w:tc>
      </w:tr>
    </w:tbl>
    <w:p>
      <w:pPr>
        <w:spacing w:after="100" w:before="0"/>
      </w:pPr>
      <w:r>
        <w:rPr>
          <w:rFonts w:ascii="Arial" w:cs="Arial" w:eastAsia="Arial" w:hAnsi="Arial"/>
        </w:rPr>
        <w:t xml:space="preserve"/>
      </w:r>
    </w:p>
    <w:p>
      <w:pPr>
        <w:pStyle w:val="Heading2"/>
        <w:spacing w:after="160" w:before="360"/>
      </w:pPr>
      <w:r>
        <w:rPr>
          <w:rFonts w:ascii="Arial" w:cs="Arial" w:eastAsia="Arial" w:hAnsi="Arial"/>
          <w:b/>
          <w:bCs/>
          <w:color w:val="1E40AF"/>
          <w:sz w:val="28"/>
          <w:szCs w:val="28"/>
        </w:rPr>
        <w:t xml:space="preserve">13.3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Document Title</w:t>
            </w:r>
          </w:p>
        </w:tc>
        <w:tc>
          <w:tcPr>
            <w:tcW w:type="dxa" w:w="70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RTI Watch — SRS &amp; System Architecture v3.0</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Version</w:t>
            </w:r>
          </w:p>
        </w:tc>
        <w:tc>
          <w:tcPr>
            <w:tcW w:type="dxa" w:w="7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3.0 — Final for Development</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Architecture</w:t>
            </w:r>
          </w:p>
        </w:tc>
        <w:tc>
          <w:tcPr>
            <w:tcW w:type="dxa" w:w="70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V3 — Optimised AI / Smart Architecture (Recommended Track)</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Status</w:t>
            </w:r>
          </w:p>
        </w:tc>
        <w:tc>
          <w:tcPr>
            <w:tcW w:type="dxa" w:w="7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Approved for Development</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Created</w:t>
            </w:r>
          </w:p>
        </w:tc>
        <w:tc>
          <w:tcPr>
            <w:tcW w:type="dxa" w:w="70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May 2026</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Next Review</w:t>
            </w:r>
          </w:p>
        </w:tc>
        <w:tc>
          <w:tcPr>
            <w:tcW w:type="dxa" w:w="7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After Phase 1 completion (Week 8) — update with implementation learnings</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Owner</w:t>
            </w:r>
          </w:p>
        </w:tc>
        <w:tc>
          <w:tcPr>
            <w:tcW w:type="dxa" w:w="70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RTI Watch Investigation Team, Kerala</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Distribution</w:t>
            </w:r>
          </w:p>
        </w:tc>
        <w:tc>
          <w:tcPr>
            <w:tcW w:type="dxa" w:w="7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Internal team only — Confidential</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Supersedes</w:t>
            </w:r>
          </w:p>
        </w:tc>
        <w:tc>
          <w:tcPr>
            <w:tcW w:type="dxa" w:w="7026"/>
            <w:tcBorders>
              <w:top w:val="single" w:color="D1D5DB" w:sz="4"/>
              <w:left w:val="single" w:color="D1D5DB" w:sz="4"/>
              <w:bottom w:val="single" w:color="D1D5DB" w:sz="4"/>
              <w:right w:val="single" w:color="D1D5DB" w:sz="4"/>
            </w:tcBorders>
            <w:shd w:fill="F8FA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RTI Watch SRS v1.0 (V1 architecture), RTI Watch Version Comparison document</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374151"/>
                <w:sz w:val="19"/>
                <w:szCs w:val="19"/>
              </w:rPr>
              <w:t xml:space="preserve">Storage</w:t>
            </w:r>
          </w:p>
        </w:tc>
        <w:tc>
          <w:tcPr>
            <w:tcW w:type="dxa" w:w="7026"/>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0" w:before="0"/>
            </w:pPr>
            <w:r>
              <w:rPr>
                <w:rFonts w:ascii="Arial" w:cs="Arial" w:eastAsia="Arial" w:hAnsi="Arial"/>
                <w:b w:val="false"/>
                <w:bCs w:val="false"/>
                <w:color w:val="111827"/>
                <w:sz w:val="19"/>
                <w:szCs w:val="19"/>
              </w:rPr>
              <w:t xml:space="preserve">Version-controlled in project repository. Printed copies uncontrolled.</w:t>
            </w:r>
          </w:p>
        </w:tc>
      </w:tr>
    </w:tbl>
    <w:p>
      <w:pPr>
        <w:spacing w:after="20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2044" w:val="clear"/>
            <w:tcMar>
              <w:top w:type="dxa" w:w="400"/>
              <w:left w:type="dxa" w:w="500"/>
              <w:bottom w:type="dxa" w:w="400"/>
              <w:right w:type="dxa" w:w="500"/>
            </w:tcMar>
          </w:tcPr>
          <w:p>
            <w:pPr>
              <w:spacing w:after="80" w:before="0"/>
              <w:jc w:val="center"/>
            </w:pPr>
            <w:r>
              <w:rPr>
                <w:rFonts w:ascii="Arial" w:cs="Arial" w:eastAsia="Arial" w:hAnsi="Arial"/>
                <w:b/>
                <w:bCs/>
                <w:color w:val="FFFFFF"/>
                <w:sz w:val="48"/>
                <w:szCs w:val="48"/>
              </w:rPr>
              <w:t xml:space="preserve">RTI WATCH</w:t>
            </w:r>
          </w:p>
          <w:p>
            <w:pPr>
              <w:spacing w:after="80" w:before="0"/>
              <w:jc w:val="center"/>
            </w:pPr>
            <w:r>
              <w:rPr>
                <w:rFonts w:ascii="Arial" w:cs="Arial" w:eastAsia="Arial" w:hAnsi="Arial"/>
                <w:i/>
                <w:iCs/>
                <w:color w:val="93C5FD"/>
                <w:sz w:val="22"/>
                <w:szCs w:val="22"/>
              </w:rPr>
              <w:t xml:space="preserve">Built for accountability. Designed to persist.</w:t>
            </w:r>
          </w:p>
          <w:p>
            <w:pPr>
              <w:spacing w:after="0" w:before="0"/>
              <w:jc w:val="center"/>
            </w:pPr>
            <w:r>
              <w:rPr>
                <w:rFonts w:ascii="Arial" w:cs="Arial" w:eastAsia="Arial" w:hAnsi="Arial"/>
                <w:color w:val="60A5FA"/>
                <w:sz w:val="18"/>
                <w:szCs w:val="18"/>
              </w:rPr>
              <w:t xml:space="preserve">Kerala Government Accountability Investigation Platform  —  V3.0 Architecture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4" w:space="1"/>
      </w:pBdr>
      <w:spacing w:after="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single" w:color="FFFFFF" w:sz="4"/>
            <w:left w:val="single" w:color="FFFFFF" w:sz="4"/>
            <w:bottom w:val="single" w:color="FFFFFF" w:sz="4"/>
            <w:right w:val="single" w:color="FFFFFF" w:sz="4"/>
          </w:tcBorders>
          <w:shd w:fill="FFFFFF" w:val="clear"/>
          <w:tcMar>
            <w:top w:type="dxa" w:w="100"/>
            <w:left w:type="dxa" w:w="160"/>
            <w:bottom w:type="dxa" w:w="100"/>
            <w:right w:type="dxa" w:w="160"/>
          </w:tcMar>
          <w:vAlign w:val="top"/>
        </w:tcPr>
        <w:p>
          <w:pPr>
            <w:spacing w:after="0" w:before="0"/>
          </w:pPr>
          <w:r>
            <w:rPr>
              <w:rFonts w:ascii="Arial" w:cs="Arial" w:eastAsia="Arial" w:hAnsi="Arial"/>
              <w:color w:val="6B7280"/>
              <w:sz w:val="16"/>
              <w:szCs w:val="16"/>
            </w:rPr>
            <w:t xml:space="preserve">Kerala Government Accountability Platform  —  Internal Confidential</w:t>
          </w:r>
        </w:p>
      </w:tc>
      <w:tc>
        <w:tcPr>
          <w:tcW w:type="dxa" w:w="3026"/>
          <w:tcBorders>
            <w:top w:val="single" w:color="FFFFFF" w:sz="4"/>
            <w:left w:val="single" w:color="FFFFFF" w:sz="4"/>
            <w:bottom w:val="single" w:color="FFFFFF" w:sz="4"/>
            <w:right w:val="single" w:color="FFFFFF" w:sz="4"/>
          </w:tcBorders>
          <w:shd w:fill="FFFFFF" w:val="clear"/>
          <w:tcMar>
            <w:top w:type="dxa" w:w="100"/>
            <w:left w:type="dxa" w:w="160"/>
            <w:bottom w:type="dxa" w:w="100"/>
            <w:right w:type="dxa" w:w="160"/>
          </w:tcMar>
          <w:vAlign w:val="top"/>
        </w:tcPr>
        <w:p>
          <w:pPr>
            <w:spacing w:after="0" w:before="0"/>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single" w:color="FFFFFF" w:sz="4"/>
            <w:left w:val="single" w:color="FFFFFF" w:sz="4"/>
            <w:bottom w:val="single" w:color="FFFFFF" w:sz="4"/>
            <w:right w:val="single" w:color="FFFFFF" w:sz="4"/>
          </w:tcBorders>
          <w:shd w:fill="FFFFFF" w:val="clear"/>
          <w:tcMar>
            <w:top w:type="dxa" w:w="100"/>
            <w:left w:type="dxa" w:w="160"/>
            <w:bottom w:type="dxa" w:w="100"/>
            <w:right w:type="dxa" w:w="160"/>
          </w:tcMar>
          <w:vAlign w:val="top"/>
        </w:tcPr>
        <w:p>
          <w:pPr>
            <w:spacing w:after="0" w:before="0"/>
          </w:pPr>
          <w:r>
            <w:rPr>
              <w:rFonts w:ascii="Arial" w:cs="Arial" w:eastAsia="Arial" w:hAnsi="Arial"/>
              <w:b/>
              <w:bCs/>
              <w:color w:val="0F2044"/>
              <w:sz w:val="17"/>
              <w:szCs w:val="17"/>
            </w:rPr>
            <w:t xml:space="preserve">RTI WATCH  —  SRS &amp; Architecture v3.0</w:t>
          </w:r>
        </w:p>
      </w:tc>
      <w:tc>
        <w:tcPr>
          <w:tcW w:type="dxa" w:w="3026"/>
          <w:tcBorders>
            <w:top w:val="single" w:color="FFFFFF" w:sz="4"/>
            <w:left w:val="single" w:color="FFFFFF" w:sz="4"/>
            <w:bottom w:val="single" w:color="FFFFFF" w:sz="4"/>
            <w:right w:val="single" w:color="FFFFFF" w:sz="4"/>
          </w:tcBorders>
          <w:shd w:fill="FFFFFF" w:val="clear"/>
          <w:tcMar>
            <w:top w:type="dxa" w:w="100"/>
            <w:left w:type="dxa" w:w="160"/>
            <w:bottom w:type="dxa" w:w="100"/>
            <w:right w:type="dxa" w:w="160"/>
          </w:tcMar>
          <w:vAlign w:val="top"/>
        </w:tcPr>
        <w:p>
          <w:pPr>
            <w:spacing w:after="0" w:before="0"/>
            <w:jc w:val="right"/>
          </w:pPr>
          <w:r>
            <w:rPr>
              <w:rFonts w:ascii="Arial" w:cs="Arial" w:eastAsia="Arial" w:hAnsi="Arial"/>
              <w:color w:val="6B7280"/>
              <w:sz w:val="16"/>
              <w:szCs w:val="16"/>
            </w:rPr>
            <w:t xml:space="preserve">V3 Optimised Architecture  |  Confidential</w:t>
          </w:r>
        </w:p>
      </w:tc>
    </w:tr>
  </w:tbl>
  <w:p>
    <w:pPr>
      <w:pBdr>
        <w:bottom w:val="single" w:color="1E40AF" w:sz="6" w:space="1"/>
      </w:pBdr>
      <w:spacing w:after="0" w:before="60"/>
    </w:pPr>
    <w:r>
      <w:rPr>
        <w:rFonts w:ascii="Arial" w:cs="Arial" w:eastAsia="Arial" w:hAnsi="Aria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2044"/>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2026-05-22T14:42:57.339Z</dcterms:created>
  <dcterms:modified xsi:type="dcterms:W3CDTF">2026-05-22T14:42:57.351Z</dcterms:modified>
</cp:coreProperties>
</file>

<file path=docProps/custom.xml><?xml version="1.0" encoding="utf-8"?>
<Properties xmlns="http://schemas.openxmlformats.org/officeDocument/2006/custom-properties" xmlns:vt="http://schemas.openxmlformats.org/officeDocument/2006/docPropsVTypes"/>
</file>