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rial" w:hAnsi="Arial" w:eastAsia="Nirmala UI" w:cs="Nirmala UI"/>
          <w:b/>
          <w:color w:val="1F6977"/>
          <w:sz w:val="26"/>
        </w:rPr>
        <w:t>English Version</w:t>
      </w:r>
    </w:p>
    <w:p>
      <w:pPr>
        <w:spacing w:after="40"/>
      </w:pPr>
      <w:r>
        <w:rPr>
          <w:rFonts w:ascii="Arial" w:hAnsi="Arial" w:eastAsia="Nirmala UI" w:cs="Nirmala UI"/>
          <w:b/>
          <w:color w:val="1F6977"/>
          <w:sz w:val="18"/>
        </w:rPr>
        <w:t>VIRMS V2 - decision review</w:t>
      </w:r>
    </w:p>
    <w:p>
      <w:pPr>
        <w:pStyle w:val="Title"/>
        <w:spacing w:after="100"/>
      </w:pPr>
      <w:r>
        <w:rPr>
          <w:rFonts w:ascii="Arial" w:hAnsi="Arial" w:eastAsia="Nirmala UI" w:cs="Nirmala UI"/>
          <w:b/>
          <w:color w:val="123342"/>
          <w:sz w:val="48"/>
        </w:rPr>
        <w:t>Financial Structure at a Glance</w:t>
      </w:r>
    </w:p>
    <w:p>
      <w:pPr>
        <w:spacing w:after="100" w:line="259" w:lineRule="auto"/>
      </w:pPr>
      <w:r>
        <w:rPr>
          <w:rFonts w:ascii="Arial" w:hAnsi="Arial" w:eastAsia="Nirmala UI" w:cs="Nirmala UI"/>
          <w:b w:val="0"/>
          <w:color w:val="395865"/>
          <w:sz w:val="22"/>
        </w:rPr>
        <w:t>A concise visual review for the person who defined the financial arrangements.</w:t>
      </w:r>
    </w:p>
    <w:tbl>
      <w:tblPr>
        <w:tblW w:type="auto" w:w="0"/>
        <w:tblLayout w:type="fixed"/>
        <w:tblLook w:firstColumn="1" w:firstRow="1" w:lastColumn="0" w:lastRow="0" w:noHBand="0" w:noVBand="1" w:val="04A0"/>
      </w:tblPr>
      <w:tblGrid>
        <w:gridCol w:w="10166"/>
      </w:tblGrid>
      <w:tr>
        <w:tc>
          <w:tcPr>
            <w:tcW w:type="dxa" w:w="10166"/>
            <w:vAlign w:val="center"/>
            <w:shd w:fill="F0F8F6"/>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How to read this: This is a derived visual summary of the current docs-final-v2 target, not a new agreement. Open decisions appear on the final page. If wording differs, the authoritative V2 documents govern.</w:t>
            </w:r>
          </w:p>
        </w:tc>
      </w:tr>
    </w:tbl>
    <w:p>
      <w:pPr>
        <w:spacing w:after="40"/>
      </w:pPr>
    </w:p>
    <w:p>
      <w:pPr>
        <w:pStyle w:val="Heading2"/>
        <w:spacing w:before="160" w:after="80"/>
      </w:pPr>
      <w:r>
        <w:rPr>
          <w:rFonts w:ascii="Arial" w:hAnsi="Arial" w:eastAsia="Nirmala UI" w:cs="Nirmala UI"/>
          <w:b/>
          <w:color w:val="123342"/>
          <w:sz w:val="28"/>
        </w:rPr>
        <w:t>1. Where do the relationships sit?</w:t>
      </w:r>
    </w:p>
    <w:tbl>
      <w:tblPr>
        <w:tblW w:type="auto" w:w="0"/>
        <w:tblLayout w:type="fixed"/>
        <w:tblLook w:firstColumn="1" w:firstRow="1" w:lastColumn="0" w:lastRow="0" w:noHBand="0" w:noVBand="1" w:val="04A0"/>
      </w:tblPr>
      <w:tblGrid>
        <w:gridCol w:w="2033"/>
        <w:gridCol w:w="2033"/>
        <w:gridCol w:w="2033"/>
        <w:gridCol w:w="2033"/>
        <w:gridCol w:w="2033"/>
      </w:tblGrid>
      <w:tr>
        <w:tc>
          <w:tcPr>
            <w:tcW w:type="dxa" w:w="2880"/>
            <w:vAlign w:val="center"/>
            <w:shd w:fill="EDF6FA"/>
            <w:tcMar>
              <w:top w:w="90" w:type="dxa"/>
              <w:start w:w="110" w:type="dxa"/>
              <w:bottom w:w="90" w:type="dxa"/>
              <w:end w:w="110" w:type="dxa"/>
            </w:tcMar>
          </w:tcPr>
          <w:p>
            <w:pPr>
              <w:spacing w:after="60"/>
            </w:pPr>
            <w:r/>
            <w:r>
              <w:rPr>
                <w:rFonts w:ascii="Arial" w:hAnsi="Arial" w:eastAsia="Nirmala UI" w:cs="Nirmala UI"/>
                <w:b/>
                <w:color w:val="154A5B"/>
                <w:sz w:val="19"/>
              </w:rPr>
              <w:t>PLATFORM</w:t>
            </w:r>
          </w:p>
          <w:p>
            <w:pPr>
              <w:spacing w:after="0" w:line="259" w:lineRule="auto"/>
            </w:pPr>
            <w:r>
              <w:rPr>
                <w:rFonts w:ascii="Arial" w:hAnsi="Arial" w:eastAsia="Nirmala UI" w:cs="Nirmala UI"/>
                <w:b w:val="0"/>
                <w:color w:val="142C38"/>
                <w:sz w:val="17"/>
              </w:rPr>
              <w:t>Companies, accounts and protected settings.</w:t>
            </w:r>
          </w:p>
        </w:tc>
        <w:tc>
          <w:tcPr>
            <w:tcW w:type="dxa" w:w="461"/>
          </w:tcPr>
          <w:p>
            <w:pPr>
              <w:jc w:val="center"/>
            </w:pPr>
            <w:r>
              <w:rPr>
                <w:rFonts w:ascii="Arial" w:hAnsi="Arial" w:eastAsia="Nirmala UI" w:cs="Nirmala UI"/>
                <w:b/>
                <w:color w:val="21827C"/>
                <w:sz w:val="26"/>
              </w:rPr>
              <w:t>→</w:t>
            </w:r>
          </w:p>
        </w:tc>
        <w:tc>
          <w:tcPr>
            <w:tcW w:type="dxa" w:w="2880"/>
            <w:vAlign w:val="center"/>
            <w:shd w:fill="EAF6F2"/>
            <w:tcMar>
              <w:top w:w="90" w:type="dxa"/>
              <w:start w:w="110" w:type="dxa"/>
              <w:bottom w:w="90" w:type="dxa"/>
              <w:end w:w="110" w:type="dxa"/>
            </w:tcMar>
          </w:tcPr>
          <w:p>
            <w:pPr>
              <w:spacing w:after="60"/>
            </w:pPr>
            <w:r/>
            <w:r>
              <w:rPr>
                <w:rFonts w:ascii="Arial" w:hAnsi="Arial" w:eastAsia="Nirmala UI" w:cs="Nirmala UI"/>
                <w:b/>
                <w:color w:val="154A5B"/>
                <w:sz w:val="19"/>
              </w:rPr>
              <w:t>COMPANY / TENANT</w:t>
            </w:r>
          </w:p>
          <w:p>
            <w:pPr>
              <w:spacing w:after="0" w:line="259" w:lineRule="auto"/>
            </w:pPr>
            <w:r>
              <w:rPr>
                <w:rFonts w:ascii="Arial" w:hAnsi="Arial" w:eastAsia="Nirmala UI" w:cs="Nirmala UI"/>
                <w:b w:val="0"/>
                <w:color w:val="142C38"/>
                <w:sz w:val="17"/>
              </w:rPr>
              <w:t>Hard data isolation boundary and one consolidated Company accounting scope.</w:t>
            </w:r>
          </w:p>
        </w:tc>
        <w:tc>
          <w:tcPr>
            <w:tcW w:type="dxa" w:w="461"/>
          </w:tcPr>
          <w:p>
            <w:pPr>
              <w:jc w:val="center"/>
            </w:pPr>
            <w:r>
              <w:rPr>
                <w:rFonts w:ascii="Arial" w:hAnsi="Arial" w:eastAsia="Nirmala UI" w:cs="Nirmala UI"/>
                <w:b/>
                <w:color w:val="21827C"/>
                <w:sz w:val="26"/>
              </w:rPr>
              <w:t>→</w:t>
            </w:r>
          </w:p>
        </w:tc>
        <w:tc>
          <w:tcPr>
            <w:tcW w:type="dxa" w:w="2880"/>
            <w:vAlign w:val="center"/>
            <w:shd w:fill="EDF6FA"/>
            <w:tcMar>
              <w:top w:w="90" w:type="dxa"/>
              <w:start w:w="110" w:type="dxa"/>
              <w:bottom w:w="90" w:type="dxa"/>
              <w:end w:w="110" w:type="dxa"/>
            </w:tcMar>
          </w:tcPr>
          <w:p>
            <w:pPr>
              <w:spacing w:after="60"/>
            </w:pPr>
            <w:r/>
            <w:r>
              <w:rPr>
                <w:rFonts w:ascii="Arial" w:hAnsi="Arial" w:eastAsia="Nirmala UI" w:cs="Nirmala UI"/>
                <w:b/>
                <w:color w:val="154A5B"/>
                <w:sz w:val="19"/>
              </w:rPr>
              <w:t>BRANCH / GARAGE</w:t>
            </w:r>
          </w:p>
          <w:p>
            <w:pPr>
              <w:spacing w:after="0" w:line="259" w:lineRule="auto"/>
            </w:pPr>
            <w:r>
              <w:rPr>
                <w:rFonts w:ascii="Arial" w:hAnsi="Arial" w:eastAsia="Nirmala UI" w:cs="Nirmala UI"/>
                <w:b w:val="0"/>
                <w:color w:val="142C38"/>
                <w:sz w:val="17"/>
              </w:rPr>
              <w:t>Operational location within the Company, not a second Tenant.</w:t>
            </w:r>
          </w:p>
        </w:tc>
      </w:tr>
    </w:tbl>
    <w:p>
      <w:pPr>
        <w:spacing w:after="40"/>
      </w:pPr>
    </w:p>
    <w:tbl>
      <w:tblPr>
        <w:tblW w:type="auto" w:w="0"/>
        <w:tblLayout w:type="fixed"/>
        <w:tblLook w:firstColumn="1" w:firstRow="1" w:lastColumn="0" w:lastRow="0" w:noHBand="0" w:noVBand="1" w:val="04A0"/>
      </w:tblPr>
      <w:tblGrid>
        <w:gridCol w:w="5083"/>
        <w:gridCol w:w="5083"/>
      </w:tblGrid>
      <w:tr>
        <w:tc>
          <w:tcPr>
            <w:tcW w:type="dxa" w:w="4709"/>
            <w:vAlign w:val="center"/>
            <w:shd w:fill="F8FBFB"/>
            <w:tcMar>
              <w:top w:w="110" w:type="dxa"/>
              <w:start w:w="110" w:type="dxa"/>
              <w:bottom w:w="110" w:type="dxa"/>
              <w:end w:w="110" w:type="dxa"/>
            </w:tcMar>
          </w:tcPr>
          <w:p>
            <w:pPr>
              <w:spacing w:after="60"/>
            </w:pPr>
            <w:r/>
            <w:r>
              <w:rPr>
                <w:rFonts w:ascii="Arial" w:hAnsi="Arial" w:eastAsia="Nirmala UI" w:cs="Nirmala UI"/>
                <w:b/>
                <w:color w:val="154A5B"/>
                <w:sz w:val="20"/>
              </w:rPr>
              <w:t>INVESTOR ↔ COMPANY</w:t>
            </w:r>
          </w:p>
          <w:p>
            <w:pPr>
              <w:spacing w:after="0" w:line="259" w:lineRule="auto"/>
            </w:pPr>
            <w:r>
              <w:rPr>
                <w:rFonts w:ascii="Arial" w:hAnsi="Arial" w:eastAsia="Nirmala UI" w:cs="Nirmala UI"/>
                <w:b w:val="0"/>
                <w:color w:val="142C38"/>
                <w:sz w:val="18"/>
              </w:rPr>
              <w:t>The Investor Fund is a Company-scoped position. Each funded Stock Vehicle has exactly one funding Investor. Approved Fund use is linked to that Vehicle and its costs; the Garage is not an intermediary, holder or recipient of Investor Funds.</w:t>
            </w:r>
          </w:p>
        </w:tc>
        <w:tc>
          <w:tcPr>
            <w:tcW w:type="dxa" w:w="4709"/>
            <w:vAlign w:val="center"/>
            <w:shd w:fill="F8FBFB"/>
            <w:tcMar>
              <w:top w:w="110" w:type="dxa"/>
              <w:start w:w="110" w:type="dxa"/>
              <w:bottom w:w="110" w:type="dxa"/>
              <w:end w:w="110" w:type="dxa"/>
            </w:tcMar>
          </w:tcPr>
          <w:p>
            <w:pPr>
              <w:spacing w:after="60"/>
            </w:pPr>
            <w:r/>
            <w:r>
              <w:rPr>
                <w:rFonts w:ascii="Arial" w:hAnsi="Arial" w:eastAsia="Nirmala UI" w:cs="Nirmala UI"/>
                <w:b/>
                <w:color w:val="154A5B"/>
                <w:sz w:val="20"/>
              </w:rPr>
              <w:t>OWNER ↔ COMPANY</w:t>
            </w:r>
          </w:p>
          <w:p>
            <w:pPr>
              <w:spacing w:after="0" w:line="259" w:lineRule="auto"/>
            </w:pPr>
            <w:r>
              <w:rPr>
                <w:rFonts w:ascii="Arial" w:hAnsi="Arial" w:eastAsia="Nirmala UI" w:cs="Nirmala UI"/>
                <w:b w:val="0"/>
                <w:color w:val="142C38"/>
                <w:sz w:val="18"/>
              </w:rPr>
              <w:t>Owner recipients participate through period-based distribution of confirmed Company-level distributable Profit, not a direct payout from each Vehicle deal.</w:t>
            </w:r>
          </w:p>
        </w:tc>
      </w:tr>
    </w:tbl>
    <w:p>
      <w:pPr>
        <w:spacing w:after="40"/>
      </w:pPr>
    </w:p>
    <w:p>
      <w:pPr>
        <w:pStyle w:val="Heading3"/>
        <w:spacing w:before="160" w:after="80"/>
      </w:pPr>
      <w:r>
        <w:rPr>
          <w:rFonts w:ascii="Arial" w:hAnsi="Arial" w:eastAsia="Nirmala UI" w:cs="Nirmala UI"/>
          <w:b/>
          <w:color w:val="1B4C5A"/>
          <w:sz w:val="22"/>
        </w:rPr>
        <w:t>Distinct financial positions</w:t>
      </w:r>
    </w:p>
    <w:tbl>
      <w:tblPr>
        <w:tblW w:type="auto" w:w="0"/>
        <w:tblLayout w:type="fixed"/>
        <w:tblLook w:firstColumn="1" w:firstRow="1" w:lastColumn="0" w:lastRow="0" w:noHBand="0" w:noVBand="1" w:val="04A0"/>
      </w:tblPr>
      <w:tblGrid>
        <w:gridCol w:w="3389"/>
        <w:gridCol w:w="3389"/>
        <w:gridCol w:w="3389"/>
      </w:tblGrid>
      <w:tr>
        <w:tc>
          <w:tcPr>
            <w:tcW w:type="dxa" w:w="3082"/>
            <w:vAlign w:val="center"/>
            <w:shd w:fill="EDF6FA"/>
            <w:tcMar>
              <w:top w:w="110" w:type="dxa"/>
              <w:start w:w="110" w:type="dxa"/>
              <w:bottom w:w="110" w:type="dxa"/>
              <w:end w:w="110" w:type="dxa"/>
            </w:tcMar>
          </w:tcPr>
          <w:p>
            <w:pPr>
              <w:spacing w:after="60"/>
            </w:pPr>
            <w:r/>
            <w:r>
              <w:rPr>
                <w:rFonts w:ascii="Arial" w:hAnsi="Arial" w:eastAsia="Nirmala UI" w:cs="Nirmala UI"/>
                <w:b/>
                <w:color w:val="154A5B"/>
                <w:sz w:val="20"/>
              </w:rPr>
              <w:t>Investor principal Fund</w:t>
            </w:r>
          </w:p>
          <w:p>
            <w:pPr>
              <w:spacing w:after="0" w:line="259" w:lineRule="auto"/>
            </w:pPr>
            <w:r>
              <w:rPr>
                <w:rFonts w:ascii="Arial" w:hAnsi="Arial" w:eastAsia="Nirmala UI" w:cs="Nirmala UI"/>
                <w:b w:val="0"/>
                <w:color w:val="142C38"/>
                <w:sz w:val="18"/>
              </w:rPr>
              <w:t>Auditable Company-level capital position: contribution, approved use, actual recovery, withdrawal and settlement. Available and committed/locked amounts remain distinct.</w:t>
            </w:r>
          </w:p>
        </w:tc>
        <w:tc>
          <w:tcPr>
            <w:tcW w:type="dxa" w:w="3082"/>
            <w:vAlign w:val="center"/>
            <w:shd w:fill="FFF8E8"/>
            <w:tcMar>
              <w:top w:w="110" w:type="dxa"/>
              <w:start w:w="110" w:type="dxa"/>
              <w:bottom w:w="110" w:type="dxa"/>
              <w:end w:w="110" w:type="dxa"/>
            </w:tcMar>
          </w:tcPr>
          <w:p>
            <w:pPr>
              <w:spacing w:after="60"/>
            </w:pPr>
            <w:r/>
            <w:r>
              <w:rPr>
                <w:rFonts w:ascii="Arial" w:hAnsi="Arial" w:eastAsia="Nirmala UI" w:cs="Nirmala UI"/>
                <w:b/>
                <w:color w:val="154A5B"/>
                <w:sz w:val="20"/>
              </w:rPr>
              <w:t>Company Running Capital</w:t>
            </w:r>
          </w:p>
          <w:p>
            <w:pPr>
              <w:spacing w:after="0" w:line="259" w:lineRule="auto"/>
            </w:pPr>
            <w:r>
              <w:rPr>
                <w:rFonts w:ascii="Arial" w:hAnsi="Arial" w:eastAsia="Nirmala UI" w:cs="Nirmala UI"/>
                <w:b w:val="0"/>
                <w:color w:val="142C38"/>
                <w:sz w:val="18"/>
              </w:rPr>
              <w:t>The Company's exact actual contribution to approved Vehicle cost. Separate from Investor principal; not interest, premium or extra return.</w:t>
            </w:r>
          </w:p>
        </w:tc>
        <w:tc>
          <w:tcPr>
            <w:tcW w:type="dxa" w:w="3082"/>
            <w:vAlign w:val="center"/>
            <w:shd w:fill="EAF6F2"/>
            <w:tcMar>
              <w:top w:w="110" w:type="dxa"/>
              <w:start w:w="110" w:type="dxa"/>
              <w:bottom w:w="110" w:type="dxa"/>
              <w:end w:w="110" w:type="dxa"/>
            </w:tcMar>
          </w:tcPr>
          <w:p>
            <w:pPr>
              <w:spacing w:after="60"/>
            </w:pPr>
            <w:r/>
            <w:r>
              <w:rPr>
                <w:rFonts w:ascii="Arial" w:hAnsi="Arial" w:eastAsia="Nirmala UI" w:cs="Nirmala UI"/>
                <w:b/>
                <w:color w:val="154A5B"/>
                <w:sz w:val="20"/>
              </w:rPr>
              <w:t>Company Accounting</w:t>
            </w:r>
          </w:p>
          <w:p>
            <w:pPr>
              <w:spacing w:after="0" w:line="259" w:lineRule="auto"/>
            </w:pPr>
            <w:r>
              <w:rPr>
                <w:rFonts w:ascii="Arial" w:hAnsi="Arial" w:eastAsia="Nirmala UI" w:cs="Nirmala UI"/>
                <w:b w:val="0"/>
                <w:color w:val="142C38"/>
                <w:sz w:val="18"/>
              </w:rPr>
              <w:t>Company Share, Garage Revenue, other income and expenses, and actual receipts/payments, linked to their source without counting an amount twice.</w:t>
            </w:r>
          </w:p>
        </w:tc>
      </w:tr>
    </w:tbl>
    <w:p>
      <w:pPr>
        <w:spacing w:after="40"/>
      </w:pPr>
    </w:p>
    <w:tbl>
      <w:tblPr>
        <w:tblW w:type="auto" w:w="0"/>
        <w:tblLayout w:type="fixed"/>
        <w:tblLook w:firstColumn="1" w:firstRow="1" w:lastColumn="0" w:lastRow="0" w:noHBand="0" w:noVBand="1" w:val="04A0"/>
      </w:tblPr>
      <w:tblGrid>
        <w:gridCol w:w="10166"/>
      </w:tblGrid>
      <w:tr>
        <w:tc>
          <w:tcPr>
            <w:tcW w:type="dxa" w:w="10166"/>
            <w:vAlign w:val="center"/>
            <w:shd w:fill="FFF8E9"/>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Review point: Investor Fund, Company Running Capital, Garage Revenue, Company result and Owner Distribution are distinct positions. The V2 documents do not define one combined balance called a single "pool" for all of them.</w:t>
            </w:r>
          </w:p>
        </w:tc>
      </w:tr>
    </w:tbl>
    <w:p>
      <w:pPr>
        <w:spacing w:after="40"/>
      </w:pPr>
    </w:p>
    <w:p>
      <w:pPr>
        <w:spacing w:after="100" w:line="259" w:lineRule="auto"/>
      </w:pPr>
      <w:r>
        <w:rPr>
          <w:rFonts w:ascii="Arial" w:hAnsi="Arial" w:eastAsia="Nirmala UI" w:cs="Nirmala UI"/>
          <w:b w:val="0"/>
          <w:color w:val="647A84"/>
          <w:sz w:val="16"/>
        </w:rPr>
        <w:t>Source: V2 01 - Platform, Investor Fund, Company result; V2 02 - Roles; V2 04 - Relationships; V2 09 - Accounting.</w:t>
      </w:r>
    </w:p>
    <w:p>
      <w:pPr>
        <w:pStyle w:val="Heading1"/>
        <w:spacing w:after="100" w:line="259" w:lineRule="auto"/>
      </w:pPr>
      <w:r>
        <w:rPr>
          <w:rFonts w:ascii="Arial" w:hAnsi="Arial" w:eastAsia="Nirmala UI" w:cs="Nirmala UI"/>
          <w:b/>
          <w:color w:val="123342"/>
          <w:sz w:val="34"/>
        </w:rPr>
        <w:t>Stock Vehicle: From Funding to Sale</w:t>
      </w:r>
    </w:p>
    <w:p>
      <w:pPr>
        <w:pStyle w:val="Heading2"/>
        <w:spacing w:before="160" w:after="80"/>
      </w:pPr>
      <w:r>
        <w:rPr>
          <w:rFonts w:ascii="Arial" w:hAnsi="Arial" w:eastAsia="Nirmala UI" w:cs="Nirmala UI"/>
          <w:b/>
          <w:color w:val="123342"/>
          <w:sz w:val="28"/>
        </w:rPr>
        <w:t>2. How a Vehicle is funded</w:t>
      </w:r>
    </w:p>
    <w:tbl>
      <w:tblPr>
        <w:tblW w:type="auto" w:w="0"/>
        <w:tblLayout w:type="fixed"/>
        <w:tblLook w:firstColumn="1" w:firstRow="1" w:lastColumn="0" w:lastRow="0" w:noHBand="0" w:noVBand="1" w:val="04A0"/>
      </w:tblPr>
      <w:tblGrid>
        <w:gridCol w:w="5083"/>
        <w:gridCol w:w="5083"/>
      </w:tblGrid>
      <w:tr>
        <w:tc>
          <w:tcPr>
            <w:tcW w:type="dxa" w:w="4709"/>
            <w:vAlign w:val="center"/>
            <w:shd w:fill="EDF6FA"/>
            <w:tcMar>
              <w:top w:w="110" w:type="dxa"/>
              <w:start w:w="110" w:type="dxa"/>
              <w:bottom w:w="110" w:type="dxa"/>
              <w:end w:w="110" w:type="dxa"/>
            </w:tcMar>
          </w:tcPr>
          <w:p>
            <w:pPr>
              <w:spacing w:after="60"/>
            </w:pPr>
            <w:r/>
            <w:r>
              <w:rPr>
                <w:rFonts w:ascii="Arial" w:hAnsi="Arial" w:eastAsia="Nirmala UI" w:cs="Nirmala UI"/>
                <w:b/>
                <w:color w:val="154A5B"/>
                <w:sz w:val="20"/>
              </w:rPr>
              <w:t>Investor Fund - Company-scoped position</w:t>
            </w:r>
          </w:p>
          <w:p>
            <w:pPr>
              <w:spacing w:after="0" w:line="259" w:lineRule="auto"/>
            </w:pPr>
            <w:r>
              <w:rPr>
                <w:rFonts w:ascii="Arial" w:hAnsi="Arial" w:eastAsia="Nirmala UI" w:cs="Nirmala UI"/>
                <w:b w:val="0"/>
                <w:color w:val="142C38"/>
                <w:sz w:val="18"/>
              </w:rPr>
              <w:t>An authorized funding action applies available Investor principal to approved cost of the linked Stock Vehicle. The Fund cannot be silently overdrawn. A Garage Job alone neither receives nor debits Investor Funds.</w:t>
            </w:r>
          </w:p>
        </w:tc>
        <w:tc>
          <w:tcPr>
            <w:tcW w:type="dxa" w:w="4709"/>
            <w:vAlign w:val="center"/>
            <w:shd w:fill="FFF8E8"/>
            <w:tcMar>
              <w:top w:w="110" w:type="dxa"/>
              <w:start w:w="110" w:type="dxa"/>
              <w:bottom w:w="110" w:type="dxa"/>
              <w:end w:w="110" w:type="dxa"/>
            </w:tcMar>
          </w:tcPr>
          <w:p>
            <w:pPr>
              <w:spacing w:after="60"/>
            </w:pPr>
            <w:r/>
            <w:r>
              <w:rPr>
                <w:rFonts w:ascii="Arial" w:hAnsi="Arial" w:eastAsia="Nirmala UI" w:cs="Nirmala UI"/>
                <w:b/>
                <w:color w:val="154A5B"/>
                <w:sz w:val="20"/>
              </w:rPr>
              <w:t>Actual Company Running Capital</w:t>
            </w:r>
          </w:p>
          <w:p>
            <w:pPr>
              <w:spacing w:after="0" w:line="259" w:lineRule="auto"/>
            </w:pPr>
            <w:r>
              <w:rPr>
                <w:rFonts w:ascii="Arial" w:hAnsi="Arial" w:eastAsia="Nirmala UI" w:cs="Nirmala UI"/>
                <w:b w:val="0"/>
                <w:color w:val="142C38"/>
                <w:sz w:val="18"/>
              </w:rPr>
              <w:t>The Company may actually cover approved Vehicle cost not funded by the Investor. This contribution is linked to the Vehicle separately.</w:t>
            </w:r>
          </w:p>
        </w:tc>
      </w:tr>
    </w:tbl>
    <w:p>
      <w:pPr>
        <w:spacing w:after="40"/>
      </w:pPr>
    </w:p>
    <w:tbl>
      <w:tblPr>
        <w:tblW w:type="auto" w:w="0"/>
        <w:tblLayout w:type="fixed"/>
        <w:tblLook w:firstColumn="1" w:firstRow="1" w:lastColumn="0" w:lastRow="0" w:noHBand="0" w:noVBand="1" w:val="04A0"/>
      </w:tblPr>
      <w:tblGrid>
        <w:gridCol w:w="2033"/>
        <w:gridCol w:w="2033"/>
        <w:gridCol w:w="2033"/>
        <w:gridCol w:w="2033"/>
        <w:gridCol w:w="2033"/>
      </w:tblGrid>
      <w:tr>
        <w:tc>
          <w:tcPr>
            <w:tcW w:type="dxa" w:w="2880"/>
            <w:vAlign w:val="center"/>
            <w:shd w:fill="EAF6F2"/>
            <w:tcMar>
              <w:top w:w="90" w:type="dxa"/>
              <w:start w:w="110" w:type="dxa"/>
              <w:bottom w:w="90" w:type="dxa"/>
              <w:end w:w="110" w:type="dxa"/>
            </w:tcMar>
          </w:tcPr>
          <w:p>
            <w:pPr>
              <w:spacing w:after="60"/>
            </w:pPr>
            <w:r/>
            <w:r>
              <w:rPr>
                <w:rFonts w:ascii="Arial" w:hAnsi="Arial" w:eastAsia="Nirmala UI" w:cs="Nirmala UI"/>
                <w:b/>
                <w:color w:val="154A5B"/>
                <w:sz w:val="19"/>
              </w:rPr>
              <w:t>ONE STOCK VEHICLE</w:t>
            </w:r>
          </w:p>
          <w:p>
            <w:pPr>
              <w:spacing w:after="0" w:line="259" w:lineRule="auto"/>
            </w:pPr>
            <w:r>
              <w:rPr>
                <w:rFonts w:ascii="Arial" w:hAnsi="Arial" w:eastAsia="Nirmala UI" w:cs="Nirmala UI"/>
                <w:b w:val="0"/>
                <w:color w:val="142C38"/>
                <w:sz w:val="17"/>
              </w:rPr>
              <w:t>One Company-wide identity; movement between Branches retains work and cost history.</w:t>
            </w:r>
          </w:p>
        </w:tc>
        <w:tc>
          <w:tcPr>
            <w:tcW w:type="dxa" w:w="461"/>
          </w:tcPr>
          <w:p>
            <w:pPr>
              <w:jc w:val="center"/>
            </w:pPr>
            <w:r>
              <w:rPr>
                <w:rFonts w:ascii="Arial" w:hAnsi="Arial" w:eastAsia="Nirmala UI" w:cs="Nirmala UI"/>
                <w:b/>
                <w:color w:val="21827C"/>
                <w:sz w:val="26"/>
              </w:rPr>
              <w:t>→</w:t>
            </w:r>
          </w:p>
        </w:tc>
        <w:tc>
          <w:tcPr>
            <w:tcW w:type="dxa" w:w="2880"/>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VALID TOTAL COST</w:t>
            </w:r>
          </w:p>
          <w:p>
            <w:pPr>
              <w:spacing w:after="0" w:line="259" w:lineRule="auto"/>
            </w:pPr>
            <w:r>
              <w:rPr>
                <w:rFonts w:ascii="Arial" w:hAnsi="Arial" w:eastAsia="Nirmala UI" w:cs="Nirmala UI"/>
                <w:b w:val="0"/>
                <w:color w:val="142C38"/>
                <w:sz w:val="17"/>
              </w:rPr>
              <w:t>Purchase plus approved work, parts, Labour and Job expenses. Each cost counts once.</w:t>
            </w:r>
          </w:p>
        </w:tc>
        <w:tc>
          <w:tcPr>
            <w:tcW w:type="dxa" w:w="461"/>
          </w:tcPr>
          <w:p>
            <w:pPr>
              <w:jc w:val="center"/>
            </w:pPr>
            <w:r>
              <w:rPr>
                <w:rFonts w:ascii="Arial" w:hAnsi="Arial" w:eastAsia="Nirmala UI" w:cs="Nirmala UI"/>
                <w:b/>
                <w:color w:val="21827C"/>
                <w:sz w:val="26"/>
              </w:rPr>
              <w:t>→</w:t>
            </w:r>
          </w:p>
        </w:tc>
        <w:tc>
          <w:tcPr>
            <w:tcW w:type="dxa" w:w="2880"/>
            <w:vAlign w:val="center"/>
            <w:shd w:fill="EDF6FA"/>
            <w:tcMar>
              <w:top w:w="90" w:type="dxa"/>
              <w:start w:w="110" w:type="dxa"/>
              <w:bottom w:w="90" w:type="dxa"/>
              <w:end w:w="110" w:type="dxa"/>
            </w:tcMar>
          </w:tcPr>
          <w:p>
            <w:pPr>
              <w:spacing w:after="60"/>
            </w:pPr>
            <w:r/>
            <w:r>
              <w:rPr>
                <w:rFonts w:ascii="Arial" w:hAnsi="Arial" w:eastAsia="Nirmala UI" w:cs="Nirmala UI"/>
                <w:b/>
                <w:color w:val="154A5B"/>
                <w:sz w:val="19"/>
              </w:rPr>
              <w:t>SALE</w:t>
            </w:r>
          </w:p>
          <w:p>
            <w:pPr>
              <w:spacing w:after="0" w:line="259" w:lineRule="auto"/>
            </w:pPr>
            <w:r>
              <w:rPr>
                <w:rFonts w:ascii="Arial" w:hAnsi="Arial" w:eastAsia="Nirmala UI" w:cs="Nirmala UI"/>
                <w:b w:val="0"/>
                <w:color w:val="142C38"/>
                <w:sz w:val="17"/>
              </w:rPr>
              <w:t>Agreed Sale Price, Sold status and Buyer collection status are separate facts.</w:t>
            </w:r>
          </w:p>
        </w:tc>
      </w:tr>
    </w:tbl>
    <w:p>
      <w:pPr>
        <w:spacing w:after="40"/>
      </w:pPr>
    </w:p>
    <w:p>
      <w:pPr>
        <w:pStyle w:val="Heading2"/>
        <w:spacing w:before="160" w:after="80"/>
      </w:pPr>
      <w:r>
        <w:rPr>
          <w:rFonts w:ascii="Arial" w:hAnsi="Arial" w:eastAsia="Nirmala UI" w:cs="Nirmala UI"/>
          <w:b/>
          <w:color w:val="123342"/>
          <w:sz w:val="28"/>
        </w:rPr>
        <w:t>3. Sale price versus actual cash</w:t>
      </w:r>
    </w:p>
    <w:tbl>
      <w:tblPr>
        <w:tblW w:type="auto" w:w="0"/>
        <w:tblLayout w:type="fixed"/>
        <w:tblLook w:firstColumn="1" w:firstRow="1" w:lastColumn="0" w:lastRow="0" w:noHBand="0" w:noVBand="1" w:val="04A0"/>
      </w:tblPr>
      <w:tblGrid>
        <w:gridCol w:w="2033"/>
        <w:gridCol w:w="2033"/>
        <w:gridCol w:w="2033"/>
        <w:gridCol w:w="2033"/>
        <w:gridCol w:w="2033"/>
      </w:tblGrid>
      <w:tr>
        <w:tc>
          <w:tcPr>
            <w:tcW w:type="dxa" w:w="2880"/>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Agreed Sale</w:t>
            </w:r>
          </w:p>
          <w:p>
            <w:pPr>
              <w:spacing w:after="0" w:line="259" w:lineRule="auto"/>
            </w:pPr>
            <w:r>
              <w:rPr>
                <w:rFonts w:ascii="Arial" w:hAnsi="Arial" w:eastAsia="Nirmala UI" w:cs="Nirmala UI"/>
                <w:b w:val="0"/>
                <w:color w:val="142C38"/>
                <w:sz w:val="17"/>
              </w:rPr>
              <w:t>Price and Buyer obligation.</w:t>
            </w:r>
          </w:p>
        </w:tc>
        <w:tc>
          <w:tcPr>
            <w:tcW w:type="dxa" w:w="461"/>
          </w:tcPr>
          <w:p>
            <w:pPr>
              <w:jc w:val="center"/>
            </w:pPr>
            <w:r>
              <w:rPr>
                <w:rFonts w:ascii="Arial" w:hAnsi="Arial" w:eastAsia="Nirmala UI" w:cs="Nirmala UI"/>
                <w:b/>
                <w:color w:val="21827C"/>
                <w:sz w:val="26"/>
              </w:rPr>
              <w:t>→</w:t>
            </w:r>
          </w:p>
        </w:tc>
        <w:tc>
          <w:tcPr>
            <w:tcW w:type="dxa" w:w="2880"/>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Actual Buyer Payments</w:t>
            </w:r>
          </w:p>
          <w:p>
            <w:pPr>
              <w:spacing w:after="0" w:line="259" w:lineRule="auto"/>
            </w:pPr>
            <w:r>
              <w:rPr>
                <w:rFonts w:ascii="Arial" w:hAnsi="Arial" w:eastAsia="Nirmala UI" w:cs="Nirmala UI"/>
                <w:b w:val="0"/>
                <w:color w:val="142C38"/>
                <w:sz w:val="17"/>
              </w:rPr>
              <w:t>Each confirmed receipt is its own event.</w:t>
            </w:r>
          </w:p>
        </w:tc>
        <w:tc>
          <w:tcPr>
            <w:tcW w:type="dxa" w:w="461"/>
          </w:tcPr>
          <w:p>
            <w:pPr>
              <w:jc w:val="center"/>
            </w:pPr>
            <w:r>
              <w:rPr>
                <w:rFonts w:ascii="Arial" w:hAnsi="Arial" w:eastAsia="Nirmala UI" w:cs="Nirmala UI"/>
                <w:b/>
                <w:color w:val="21827C"/>
                <w:sz w:val="26"/>
              </w:rPr>
              <w:t>→</w:t>
            </w:r>
          </w:p>
        </w:tc>
        <w:tc>
          <w:tcPr>
            <w:tcW w:type="dxa" w:w="2880"/>
            <w:vAlign w:val="center"/>
            <w:shd w:fill="FFF8E8"/>
            <w:tcMar>
              <w:top w:w="90" w:type="dxa"/>
              <w:start w:w="110" w:type="dxa"/>
              <w:bottom w:w="90" w:type="dxa"/>
              <w:end w:w="110" w:type="dxa"/>
            </w:tcMar>
          </w:tcPr>
          <w:p>
            <w:pPr>
              <w:spacing w:after="60"/>
            </w:pPr>
            <w:r/>
            <w:r>
              <w:rPr>
                <w:rFonts w:ascii="Arial" w:hAnsi="Arial" w:eastAsia="Nirmala UI" w:cs="Nirmala UI"/>
                <w:b/>
                <w:color w:val="154A5B"/>
                <w:sz w:val="19"/>
              </w:rPr>
              <w:t>Receivable / Refund</w:t>
            </w:r>
          </w:p>
          <w:p>
            <w:pPr>
              <w:spacing w:after="0" w:line="259" w:lineRule="auto"/>
            </w:pPr>
            <w:r>
              <w:rPr>
                <w:rFonts w:ascii="Arial" w:hAnsi="Arial" w:eastAsia="Nirmala UI" w:cs="Nirmala UI"/>
                <w:b w:val="0"/>
                <w:color w:val="142C38"/>
                <w:sz w:val="17"/>
              </w:rPr>
              <w:t>Amount still due and amount owed back remain separate.</w:t>
            </w:r>
          </w:p>
        </w:tc>
      </w:tr>
    </w:tbl>
    <w:p>
      <w:pPr>
        <w:spacing w:after="40"/>
      </w:pPr>
    </w:p>
    <w:p>
      <w:pPr>
        <w:spacing w:after="100" w:line="259" w:lineRule="auto"/>
      </w:pPr>
      <w:r>
        <w:rPr>
          <w:rFonts w:ascii="Arial" w:hAnsi="Arial" w:eastAsia="Nirmala UI" w:cs="Nirmala UI"/>
          <w:b w:val="0"/>
          <w:color w:val="5A717D"/>
          <w:sz w:val="17"/>
        </w:rPr>
        <w:t>A new Buyer Payment cannot exceed the current receivable; an actual refund cannot exceed the current Refund Payable. Corrections retain the original payment history.</w:t>
      </w:r>
    </w:p>
    <w:tbl>
      <w:tblPr>
        <w:tblW w:type="auto" w:w="0"/>
        <w:tblLayout w:type="fixed"/>
        <w:tblLook w:firstColumn="1" w:firstRow="1" w:lastColumn="0" w:lastRow="0" w:noHBand="0" w:noVBand="1" w:val="04A0"/>
      </w:tblPr>
      <w:tblGrid>
        <w:gridCol w:w="10166"/>
      </w:tblGrid>
      <w:tr>
        <w:tc>
          <w:tcPr>
            <w:tcW w:type="dxa" w:w="10166"/>
            <w:vAlign w:val="center"/>
            <w:shd w:fill="FFF8E9"/>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Final Vehicle settlement gate: The agreed Sale must be fully collected, and applicable refunds resolved. Sale confirmation, partial collection or a calculated gain alone does not finalize settlement.</w:t>
            </w:r>
          </w:p>
        </w:tc>
      </w:tr>
    </w:tbl>
    <w:p>
      <w:pPr>
        <w:spacing w:after="40"/>
      </w:pPr>
    </w:p>
    <w:p>
      <w:pPr>
        <w:pStyle w:val="Heading2"/>
        <w:spacing w:before="160" w:after="80"/>
      </w:pPr>
      <w:r>
        <w:rPr>
          <w:rFonts w:ascii="Arial" w:hAnsi="Arial" w:eastAsia="Nirmala UI" w:cs="Nirmala UI"/>
          <w:b/>
          <w:color w:val="123342"/>
          <w:sz w:val="28"/>
        </w:rPr>
        <w:t>4. Normal positive-result sequence</w:t>
      </w:r>
    </w:p>
    <w:tbl>
      <w:tblPr>
        <w:tblW w:type="auto" w:w="0"/>
        <w:tblLayout w:type="fixed"/>
        <w:tblLook w:firstColumn="1" w:firstRow="1" w:lastColumn="0" w:lastRow="0" w:noHBand="0" w:noVBand="1" w:val="04A0"/>
      </w:tblPr>
      <w:tblGrid>
        <w:gridCol w:w="2541"/>
        <w:gridCol w:w="2541"/>
        <w:gridCol w:w="2541"/>
        <w:gridCol w:w="2541"/>
      </w:tblGrid>
      <w:tr>
        <w:tc>
          <w:tcPr>
            <w:tcW w:type="dxa" w:w="2275"/>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Investor principal</w:t>
            </w:r>
          </w:p>
          <w:p>
            <w:pPr>
              <w:spacing w:after="0" w:line="259" w:lineRule="auto"/>
            </w:pPr>
            <w:r>
              <w:rPr>
                <w:rFonts w:ascii="Arial" w:hAnsi="Arial" w:eastAsia="Nirmala UI" w:cs="Nirmala UI"/>
                <w:b w:val="0"/>
                <w:color w:val="142C38"/>
                <w:sz w:val="17"/>
              </w:rPr>
              <w:t>Reconcile outstanding principal against actual collection.</w:t>
            </w:r>
          </w:p>
        </w:tc>
        <w:tc>
          <w:tcPr>
            <w:tcW w:type="dxa" w:w="2275"/>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Company capital</w:t>
            </w:r>
          </w:p>
          <w:p>
            <w:pPr>
              <w:spacing w:after="0" w:line="259" w:lineRule="auto"/>
            </w:pPr>
            <w:r>
              <w:rPr>
                <w:rFonts w:ascii="Arial" w:hAnsi="Arial" w:eastAsia="Nirmala UI" w:cs="Nirmala UI"/>
                <w:b w:val="0"/>
                <w:color w:val="142C38"/>
                <w:sz w:val="17"/>
              </w:rPr>
              <w:t>If contributed, recover/reconcile actual Running Capital as capital only.</w:t>
            </w:r>
          </w:p>
        </w:tc>
        <w:tc>
          <w:tcPr>
            <w:tcW w:type="dxa" w:w="2275"/>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Positive result</w:t>
            </w:r>
          </w:p>
          <w:p>
            <w:pPr>
              <w:spacing w:after="0" w:line="259" w:lineRule="auto"/>
            </w:pPr>
            <w:r>
              <w:rPr>
                <w:rFonts w:ascii="Arial" w:hAnsi="Arial" w:eastAsia="Nirmala UI" w:cs="Nirmala UI"/>
                <w:b w:val="0"/>
                <w:color w:val="142C38"/>
                <w:sz w:val="17"/>
              </w:rPr>
              <w:t>Determine the remaining approved positive economic result.</w:t>
            </w:r>
          </w:p>
        </w:tc>
        <w:tc>
          <w:tcPr>
            <w:tcW w:type="dxa" w:w="2275"/>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Shares</w:t>
            </w:r>
          </w:p>
          <w:p>
            <w:pPr>
              <w:spacing w:after="0" w:line="259" w:lineRule="auto"/>
            </w:pPr>
            <w:r>
              <w:rPr>
                <w:rFonts w:ascii="Arial" w:hAnsi="Arial" w:eastAsia="Nirmala UI" w:cs="Nirmala UI"/>
                <w:b w:val="0"/>
                <w:color w:val="142C38"/>
                <w:sz w:val="17"/>
              </w:rPr>
              <w:t>Apply the effective Investor agreement; Company Share is the remainder.</w:t>
            </w:r>
          </w:p>
        </w:tc>
      </w:tr>
    </w:tbl>
    <w:p>
      <w:pPr>
        <w:spacing w:after="40"/>
      </w:pPr>
    </w:p>
    <w:tbl>
      <w:tblPr>
        <w:tblW w:type="auto" w:w="0"/>
        <w:tblLayout w:type="fixed"/>
        <w:tblLook w:firstColumn="1" w:firstRow="1" w:lastColumn="0" w:lastRow="0" w:noHBand="0" w:noVBand="1" w:val="04A0"/>
      </w:tblPr>
      <w:tblGrid>
        <w:gridCol w:w="3389"/>
        <w:gridCol w:w="3389"/>
        <w:gridCol w:w="3389"/>
      </w:tblGrid>
      <w:tr>
        <w:tc>
          <w:tcPr>
            <w:tcW w:type="dxa" w:w="3096"/>
            <w:vAlign w:val="center"/>
            <w:shd w:fill="EDF6FA"/>
            <w:tcMar>
              <w:top w:w="90" w:type="dxa"/>
              <w:start w:w="110" w:type="dxa"/>
              <w:bottom w:w="90" w:type="dxa"/>
              <w:end w:w="110" w:type="dxa"/>
            </w:tcMar>
          </w:tcPr>
          <w:p>
            <w:pPr>
              <w:spacing w:after="60"/>
            </w:pPr>
            <w:r/>
            <w:r>
              <w:rPr>
                <w:rFonts w:ascii="Arial" w:hAnsi="Arial" w:eastAsia="Nirmala UI" w:cs="Nirmala UI"/>
                <w:b/>
                <w:color w:val="154A5B"/>
                <w:sz w:val="19"/>
              </w:rPr>
              <w:t>INVESTOR SHARE</w:t>
            </w:r>
          </w:p>
          <w:p>
            <w:pPr>
              <w:spacing w:after="0" w:line="259" w:lineRule="auto"/>
            </w:pPr>
            <w:r>
              <w:rPr>
                <w:rFonts w:ascii="Arial" w:hAnsi="Arial" w:eastAsia="Nirmala UI" w:cs="Nirmala UI"/>
                <w:b w:val="0"/>
                <w:color w:val="142C38"/>
                <w:sz w:val="17"/>
              </w:rPr>
              <w:t>Eligible Investor Profit position; actual payment is confirmed separately.</w:t>
            </w:r>
          </w:p>
        </w:tc>
        <w:tc>
          <w:tcPr>
            <w:tcW w:type="dxa" w:w="461"/>
          </w:tcPr>
          <w:p>
            <w:pPr>
              <w:jc w:val="center"/>
            </w:pPr>
            <w:r>
              <w:rPr>
                <w:rFonts w:ascii="Arial" w:hAnsi="Arial" w:eastAsia="Nirmala UI" w:cs="Nirmala UI"/>
                <w:b/>
                <w:color w:val="21827C"/>
                <w:sz w:val="26"/>
              </w:rPr>
              <w:t>+</w:t>
            </w:r>
          </w:p>
        </w:tc>
        <w:tc>
          <w:tcPr>
            <w:tcW w:type="dxa" w:w="3096"/>
            <w:vAlign w:val="center"/>
            <w:shd w:fill="EAF6F2"/>
            <w:tcMar>
              <w:top w:w="90" w:type="dxa"/>
              <w:start w:w="110" w:type="dxa"/>
              <w:bottom w:w="90" w:type="dxa"/>
              <w:end w:w="110" w:type="dxa"/>
            </w:tcMar>
          </w:tcPr>
          <w:p>
            <w:pPr>
              <w:spacing w:after="60"/>
            </w:pPr>
            <w:r/>
            <w:r>
              <w:rPr>
                <w:rFonts w:ascii="Arial" w:hAnsi="Arial" w:eastAsia="Nirmala UI" w:cs="Nirmala UI"/>
                <w:b/>
                <w:color w:val="154A5B"/>
                <w:sz w:val="19"/>
              </w:rPr>
              <w:t>COMPANY SHARE</w:t>
            </w:r>
          </w:p>
          <w:p>
            <w:pPr>
              <w:spacing w:after="0" w:line="259" w:lineRule="auto"/>
            </w:pPr>
            <w:r>
              <w:rPr>
                <w:rFonts w:ascii="Arial" w:hAnsi="Arial" w:eastAsia="Nirmala UI" w:cs="Nirmala UI"/>
                <w:b w:val="0"/>
                <w:color w:val="142C38"/>
                <w:sz w:val="17"/>
              </w:rPr>
              <w:t>The Company's share of the Vehicle result enters Company Accounting with source linkage; it is never a direct Owner deal payout.</w:t>
            </w:r>
          </w:p>
        </w:tc>
      </w:tr>
    </w:tbl>
    <w:p>
      <w:pPr>
        <w:spacing w:after="40"/>
      </w:pPr>
    </w:p>
    <w:p>
      <w:pPr>
        <w:spacing w:after="100" w:line="259" w:lineRule="auto"/>
      </w:pPr>
      <w:r>
        <w:rPr>
          <w:rFonts w:ascii="Arial" w:hAnsi="Arial" w:eastAsia="Nirmala UI" w:cs="Nirmala UI"/>
          <w:b w:val="0"/>
          <w:color w:val="5A717D"/>
          <w:sz w:val="17"/>
        </w:rPr>
        <w:t>The Investor positive-share rate follows the effective agreement. A 33% rate may be the current standard configuration, but is neither mandatory nor hard-coded. Capital recovery is not counted again as income or Profit.</w:t>
      </w:r>
    </w:p>
    <w:p>
      <w:pPr>
        <w:spacing w:after="100" w:line="259" w:lineRule="auto"/>
      </w:pPr>
      <w:r>
        <w:rPr>
          <w:rFonts w:ascii="Arial" w:hAnsi="Arial" w:eastAsia="Nirmala UI" w:cs="Nirmala UI"/>
          <w:b w:val="0"/>
          <w:color w:val="647A84"/>
          <w:sz w:val="16"/>
        </w:rPr>
        <w:t>Source: V2 01 - Vehicle, Investor Fund; V2 05 - sections 1-3; V2 09 - Positive Vehicle Company Share.</w:t>
      </w:r>
    </w:p>
    <w:p>
      <w:pPr>
        <w:pStyle w:val="Heading1"/>
        <w:spacing w:after="100" w:line="259" w:lineRule="auto"/>
      </w:pPr>
      <w:r>
        <w:rPr>
          <w:rFonts w:ascii="Arial" w:hAnsi="Arial" w:eastAsia="Nirmala UI" w:cs="Nirmala UI"/>
          <w:b/>
          <w:color w:val="123342"/>
          <w:sz w:val="34"/>
        </w:rPr>
        <w:t>Garage, Company Result, Owner Distribution</w:t>
      </w:r>
    </w:p>
    <w:p>
      <w:pPr>
        <w:pStyle w:val="Heading2"/>
        <w:spacing w:before="160" w:after="80"/>
      </w:pPr>
      <w:r>
        <w:rPr>
          <w:rFonts w:ascii="Arial" w:hAnsi="Arial" w:eastAsia="Nirmala UI" w:cs="Nirmala UI"/>
          <w:b/>
          <w:color w:val="123342"/>
          <w:sz w:val="28"/>
        </w:rPr>
        <w:t>5. Two Garage financial paths</w:t>
      </w:r>
    </w:p>
    <w:tbl>
      <w:tblPr>
        <w:tblW w:type="auto" w:w="0"/>
        <w:tblLayout w:type="fixed"/>
        <w:tblLook w:firstColumn="1" w:firstRow="1" w:lastColumn="0" w:lastRow="0" w:noHBand="0" w:noVBand="1" w:val="04A0"/>
      </w:tblPr>
      <w:tblGrid>
        <w:gridCol w:w="10166"/>
      </w:tblGrid>
      <w:tr>
        <w:tc>
          <w:tcPr>
            <w:tcW w:type="dxa" w:w="10166"/>
            <w:vAlign w:val="center"/>
            <w:shd w:fill="EAF2F4"/>
            <w:tcMar>
              <w:top w:w="90" w:type="dxa"/>
              <w:start w:w="110" w:type="dxa"/>
              <w:bottom w:w="90" w:type="dxa"/>
              <w:end w:w="110" w:type="dxa"/>
            </w:tcMar>
          </w:tcPr>
          <w:p>
            <w:pPr>
              <w:spacing w:after="0"/>
            </w:pPr>
            <w:r/>
            <w:r>
              <w:rPr>
                <w:rFonts w:ascii="Arial" w:hAnsi="Arial" w:eastAsia="Nirmala UI" w:cs="Nirmala UI"/>
                <w:b/>
                <w:color w:val="154A5B"/>
                <w:sz w:val="19"/>
              </w:rPr>
              <w:t>A - Funded Stock Vehicle work</w:t>
            </w:r>
          </w:p>
        </w:tc>
      </w:tr>
      <w:tr>
        <w:tc>
          <w:tcPr>
            <w:tcW w:type="dxa" w:w="10166"/>
            <w:vAlign w:val="center"/>
            <w:shd w:fill="FFFFFF"/>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Investor Fund → authorized funding action linked to Stock Vehicle and approved Vehicle cost. Separately: Stock Vehicle → Branch Garage Job → work/cost record once → Vehicle result. Investor Funds do not route through or belong to the Garage; a Job record alone is not a Fund debit.</w:t>
            </w:r>
          </w:p>
        </w:tc>
      </w:tr>
    </w:tbl>
    <w:p>
      <w:pPr>
        <w:spacing w:after="20"/>
      </w:pPr>
    </w:p>
    <w:tbl>
      <w:tblPr>
        <w:tblW w:type="auto" w:w="0"/>
        <w:tblLayout w:type="fixed"/>
        <w:tblLook w:firstColumn="1" w:firstRow="1" w:lastColumn="0" w:lastRow="0" w:noHBand="0" w:noVBand="1" w:val="04A0"/>
      </w:tblPr>
      <w:tblGrid>
        <w:gridCol w:w="10166"/>
      </w:tblGrid>
      <w:tr>
        <w:tc>
          <w:tcPr>
            <w:tcW w:type="dxa" w:w="10166"/>
            <w:vAlign w:val="center"/>
            <w:shd w:fill="EAF2F4"/>
            <w:tcMar>
              <w:top w:w="90" w:type="dxa"/>
              <w:start w:w="110" w:type="dxa"/>
              <w:bottom w:w="90" w:type="dxa"/>
              <w:end w:w="110" w:type="dxa"/>
            </w:tcMar>
          </w:tcPr>
          <w:p>
            <w:pPr>
              <w:spacing w:after="0"/>
            </w:pPr>
            <w:r/>
            <w:r>
              <w:rPr>
                <w:rFonts w:ascii="Arial" w:hAnsi="Arial" w:eastAsia="Nirmala UI" w:cs="Nirmala UI"/>
                <w:b/>
                <w:color w:val="154A5B"/>
                <w:sz w:val="19"/>
              </w:rPr>
              <w:t>B - External Customer Garage work</w:t>
            </w:r>
          </w:p>
        </w:tc>
      </w:tr>
      <w:tr>
        <w:tc>
          <w:tcPr>
            <w:tcW w:type="dxa" w:w="10166"/>
            <w:vAlign w:val="center"/>
            <w:shd w:fill="FFFFFF"/>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Customer Vehicle → Job/charge → actual receipt and remaining receivable → Garage Revenue → Company Accounting. This Vehicle needs no Investor; Garage can operate with the Investment module OFF.</w:t>
            </w:r>
          </w:p>
        </w:tc>
      </w:tr>
    </w:tbl>
    <w:p>
      <w:pPr>
        <w:spacing w:after="20"/>
      </w:pPr>
    </w:p>
    <w:p>
      <w:pPr>
        <w:spacing w:after="100" w:line="259" w:lineRule="auto"/>
      </w:pPr>
      <w:r>
        <w:rPr>
          <w:rFonts w:ascii="Arial" w:hAnsi="Arial" w:eastAsia="Nirmala UI" w:cs="Nirmala UI"/>
          <w:b w:val="0"/>
          <w:color w:val="5A717D"/>
          <w:sz w:val="17"/>
        </w:rPr>
        <w:t>Vehicle Labour cost and a manually confirmed payment to a worker are distinct events.</w:t>
      </w:r>
    </w:p>
    <w:p>
      <w:pPr>
        <w:pStyle w:val="Heading2"/>
        <w:spacing w:before="160" w:after="80"/>
      </w:pPr>
      <w:r>
        <w:rPr>
          <w:rFonts w:ascii="Arial" w:hAnsi="Arial" w:eastAsia="Nirmala UI" w:cs="Nirmala UI"/>
          <w:b/>
          <w:color w:val="123342"/>
          <w:sz w:val="28"/>
        </w:rPr>
        <w:t>6. Consolidated Company result</w:t>
      </w:r>
    </w:p>
    <w:tbl>
      <w:tblPr>
        <w:tblW w:type="auto" w:w="0"/>
        <w:tblLook w:firstColumn="1" w:firstRow="1" w:lastColumn="0" w:lastRow="0" w:noHBand="0" w:noVBand="1" w:val="04A0"/>
      </w:tblPr>
      <w:tblGrid>
        <w:gridCol w:w="10166"/>
      </w:tblGrid>
      <w:tr>
        <w:tc>
          <w:tcPr>
            <w:tcW w:type="dxa" w:w="10166"/>
            <w:vAlign w:val="center"/>
            <w:shd w:fill="ECF5F6"/>
            <w:tcMar>
              <w:top w:w="110" w:type="dxa"/>
              <w:start w:w="110" w:type="dxa"/>
              <w:bottom w:w="110" w:type="dxa"/>
              <w:end w:w="110" w:type="dxa"/>
            </w:tcMar>
          </w:tcPr>
          <w:p>
            <w:pPr>
              <w:spacing w:after="0"/>
              <w:jc w:val="center"/>
            </w:pPr>
            <w:r>
              <w:rPr>
                <w:rFonts w:ascii="Arial" w:hAnsi="Arial" w:eastAsia="Nirmala UI" w:cs="Nirmala UI"/>
                <w:b/>
                <w:color w:val="104F5A"/>
                <w:sz w:val="20"/>
              </w:rPr>
            </w:r>
          </w:p>
          <w:p>
            <w:pPr>
              <w:spacing w:after="0" w:line="259" w:lineRule="auto"/>
              <w:jc w:val="center"/>
            </w:pPr>
            <w:r>
              <w:rPr>
                <w:rFonts w:ascii="Arial" w:hAnsi="Arial" w:eastAsia="Nirmala UI" w:cs="Nirmala UI"/>
                <w:b/>
                <w:color w:val="104F5A"/>
                <w:sz w:val="20"/>
              </w:rPr>
              <w:t>Vehicle-business Company Share + Garage Revenue + Other Company Income - Company Expenses= Company Profit / Loss (conceptual result)</w:t>
            </w:r>
          </w:p>
        </w:tc>
      </w:tr>
    </w:tbl>
    <w:p>
      <w:pPr>
        <w:spacing w:after="40"/>
      </w:pPr>
    </w:p>
    <w:p>
      <w:pPr>
        <w:spacing w:after="100" w:line="259" w:lineRule="auto"/>
      </w:pPr>
      <w:r>
        <w:rPr>
          <w:rFonts w:ascii="Arial" w:hAnsi="Arial" w:eastAsia="Nirmala UI" w:cs="Nirmala UI"/>
          <w:b w:val="0"/>
          <w:color w:val="142C38"/>
          <w:sz w:val="18"/>
        </w:rPr>
        <w:t>One Company accounting boundary consolidates its Branches. A Branch source remains traceable. A receipt or cost visible in Investment, Garage and Accounting contributes to the economic result only once.</w:t>
      </w:r>
    </w:p>
    <w:p>
      <w:pPr>
        <w:pStyle w:val="Heading2"/>
        <w:spacing w:before="160" w:after="80"/>
      </w:pPr>
      <w:r>
        <w:rPr>
          <w:rFonts w:ascii="Arial" w:hAnsi="Arial" w:eastAsia="Nirmala UI" w:cs="Nirmala UI"/>
          <w:b/>
          <w:color w:val="123342"/>
          <w:sz w:val="28"/>
        </w:rPr>
        <w:t>7. Route to Owner recipients</w:t>
      </w:r>
    </w:p>
    <w:tbl>
      <w:tblPr>
        <w:tblW w:type="auto" w:w="0"/>
        <w:tblLayout w:type="fixed"/>
        <w:tblLook w:firstColumn="1" w:firstRow="1" w:lastColumn="0" w:lastRow="0" w:noHBand="0" w:noVBand="1" w:val="04A0"/>
      </w:tblPr>
      <w:tblGrid>
        <w:gridCol w:w="2033"/>
        <w:gridCol w:w="2033"/>
        <w:gridCol w:w="2033"/>
        <w:gridCol w:w="2033"/>
        <w:gridCol w:w="2033"/>
      </w:tblGrid>
      <w:tr>
        <w:tc>
          <w:tcPr>
            <w:tcW w:type="dxa" w:w="2880"/>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Company result</w:t>
            </w:r>
          </w:p>
          <w:p>
            <w:pPr>
              <w:spacing w:after="0" w:line="259" w:lineRule="auto"/>
            </w:pPr>
            <w:r>
              <w:rPr>
                <w:rFonts w:ascii="Arial" w:hAnsi="Arial" w:eastAsia="Nirmala UI" w:cs="Nirmala UI"/>
                <w:b w:val="0"/>
                <w:color w:val="142C38"/>
                <w:sz w:val="17"/>
              </w:rPr>
              <w:t>Source-linked consolidated position.</w:t>
            </w:r>
          </w:p>
        </w:tc>
        <w:tc>
          <w:tcPr>
            <w:tcW w:type="dxa" w:w="461"/>
          </w:tcPr>
          <w:p>
            <w:pPr>
              <w:jc w:val="center"/>
            </w:pPr>
            <w:r>
              <w:rPr>
                <w:rFonts w:ascii="Arial" w:hAnsi="Arial" w:eastAsia="Nirmala UI" w:cs="Nirmala UI"/>
                <w:b/>
                <w:color w:val="21827C"/>
                <w:sz w:val="26"/>
              </w:rPr>
              <w:t>→</w:t>
            </w:r>
          </w:p>
        </w:tc>
        <w:tc>
          <w:tcPr>
            <w:tcW w:type="dxa" w:w="2880"/>
            <w:vAlign w:val="center"/>
            <w:shd w:fill="FFF8E8"/>
            <w:tcMar>
              <w:top w:w="90" w:type="dxa"/>
              <w:start w:w="110" w:type="dxa"/>
              <w:bottom w:w="90" w:type="dxa"/>
              <w:end w:w="110" w:type="dxa"/>
            </w:tcMar>
          </w:tcPr>
          <w:p>
            <w:pPr>
              <w:spacing w:after="60"/>
            </w:pPr>
            <w:r/>
            <w:r>
              <w:rPr>
                <w:rFonts w:ascii="Arial" w:hAnsi="Arial" w:eastAsia="Nirmala UI" w:cs="Nirmala UI"/>
                <w:b/>
                <w:color w:val="154A5B"/>
                <w:sz w:val="19"/>
              </w:rPr>
              <w:t>Confirmed distributable Profit</w:t>
            </w:r>
          </w:p>
          <w:p>
            <w:pPr>
              <w:spacing w:after="0" w:line="259" w:lineRule="auto"/>
            </w:pPr>
            <w:r>
              <w:rPr>
                <w:rFonts w:ascii="Arial" w:hAnsi="Arial" w:eastAsia="Nirmala UI" w:cs="Nirmala UI"/>
                <w:b w:val="0"/>
                <w:color w:val="142C38"/>
                <w:sz w:val="17"/>
              </w:rPr>
              <w:t>Exact basis and period close remain open decisions.</w:t>
            </w:r>
          </w:p>
        </w:tc>
        <w:tc>
          <w:tcPr>
            <w:tcW w:type="dxa" w:w="461"/>
          </w:tcPr>
          <w:p>
            <w:pPr>
              <w:jc w:val="center"/>
            </w:pPr>
            <w:r>
              <w:rPr>
                <w:rFonts w:ascii="Arial" w:hAnsi="Arial" w:eastAsia="Nirmala UI" w:cs="Nirmala UI"/>
                <w:b/>
                <w:color w:val="21827C"/>
                <w:sz w:val="26"/>
              </w:rPr>
              <w:t>→</w:t>
            </w:r>
          </w:p>
        </w:tc>
        <w:tc>
          <w:tcPr>
            <w:tcW w:type="dxa" w:w="2880"/>
            <w:vAlign w:val="center"/>
            <w:shd w:fill="EAF6F2"/>
            <w:tcMar>
              <w:top w:w="90" w:type="dxa"/>
              <w:start w:w="110" w:type="dxa"/>
              <w:bottom w:w="90" w:type="dxa"/>
              <w:end w:w="110" w:type="dxa"/>
            </w:tcMar>
          </w:tcPr>
          <w:p>
            <w:pPr>
              <w:spacing w:after="60"/>
            </w:pPr>
            <w:r/>
            <w:r>
              <w:rPr>
                <w:rFonts w:ascii="Arial" w:hAnsi="Arial" w:eastAsia="Nirmala UI" w:cs="Nirmala UI"/>
                <w:b/>
                <w:color w:val="154A5B"/>
                <w:sz w:val="19"/>
              </w:rPr>
              <w:t>Owner Distribution</w:t>
            </w:r>
          </w:p>
          <w:p>
            <w:pPr>
              <w:spacing w:after="0" w:line="259" w:lineRule="auto"/>
            </w:pPr>
            <w:r>
              <w:rPr>
                <w:rFonts w:ascii="Arial" w:hAnsi="Arial" w:eastAsia="Nirmala UI" w:cs="Nirmala UI"/>
                <w:b w:val="0"/>
                <w:color w:val="142C38"/>
                <w:sz w:val="17"/>
              </w:rPr>
              <w:t>Company-level, Half-yearly or Annual.</w:t>
            </w:r>
          </w:p>
        </w:tc>
      </w:tr>
    </w:tbl>
    <w:p>
      <w:pPr>
        <w:spacing w:after="40"/>
      </w:pPr>
    </w:p>
    <w:tbl>
      <w:tblPr>
        <w:tblW w:type="auto" w:w="0"/>
        <w:tblLayout w:type="fixed"/>
        <w:tblLook w:firstColumn="1" w:firstRow="1" w:lastColumn="0" w:lastRow="0" w:noHBand="0" w:noVBand="1" w:val="04A0"/>
      </w:tblPr>
      <w:tblGrid>
        <w:gridCol w:w="5083"/>
        <w:gridCol w:w="5083"/>
      </w:tblGrid>
      <w:tr>
        <w:tc>
          <w:tcPr>
            <w:tcW w:type="dxa" w:w="4709"/>
            <w:vAlign w:val="center"/>
            <w:shd w:fill="EDF6FA"/>
            <w:tcMar>
              <w:top w:w="110" w:type="dxa"/>
              <w:start w:w="110" w:type="dxa"/>
              <w:bottom w:w="110" w:type="dxa"/>
              <w:end w:w="110" w:type="dxa"/>
            </w:tcMar>
          </w:tcPr>
          <w:p>
            <w:pPr>
              <w:spacing w:after="60"/>
            </w:pPr>
            <w:r/>
            <w:r>
              <w:rPr>
                <w:rFonts w:ascii="Arial" w:hAnsi="Arial" w:eastAsia="Nirmala UI" w:cs="Nirmala UI"/>
                <w:b/>
                <w:color w:val="154A5B"/>
                <w:sz w:val="20"/>
              </w:rPr>
              <w:t>Configured recipients</w:t>
            </w:r>
          </w:p>
          <w:p>
            <w:pPr>
              <w:spacing w:after="0" w:line="259" w:lineRule="auto"/>
            </w:pPr>
            <w:r>
              <w:rPr>
                <w:rFonts w:ascii="Arial" w:hAnsi="Arial" w:eastAsia="Nirmala UI" w:cs="Nirmala UI"/>
                <w:b w:val="0"/>
                <w:color w:val="142C38"/>
                <w:sz w:val="18"/>
              </w:rPr>
              <w:t>Protected effective Owner percentages split an approved positive pool exactly in INR paise using balanced reconciliation; allocations cannot be negative. The 48.5% / 51.5% standard is configurable, not mandatory.</w:t>
            </w:r>
          </w:p>
        </w:tc>
        <w:tc>
          <w:tcPr>
            <w:tcW w:type="dxa" w:w="4709"/>
            <w:vAlign w:val="center"/>
            <w:shd w:fill="EAF6F2"/>
            <w:tcMar>
              <w:top w:w="110" w:type="dxa"/>
              <w:start w:w="110" w:type="dxa"/>
              <w:bottom w:w="110" w:type="dxa"/>
              <w:end w:w="110" w:type="dxa"/>
            </w:tcMar>
          </w:tcPr>
          <w:p>
            <w:pPr>
              <w:spacing w:after="60"/>
            </w:pPr>
            <w:r/>
            <w:r>
              <w:rPr>
                <w:rFonts w:ascii="Arial" w:hAnsi="Arial" w:eastAsia="Nirmala UI" w:cs="Nirmala UI"/>
                <w:b/>
                <w:color w:val="154A5B"/>
                <w:sz w:val="20"/>
              </w:rPr>
              <w:t>Actual payments</w:t>
            </w:r>
          </w:p>
          <w:p>
            <w:pPr>
              <w:spacing w:after="0" w:line="259" w:lineRule="auto"/>
            </w:pPr>
            <w:r>
              <w:rPr>
                <w:rFonts w:ascii="Arial" w:hAnsi="Arial" w:eastAsia="Nirmala UI" w:cs="Nirmala UI"/>
                <w:b w:val="0"/>
                <w:color w:val="142C38"/>
                <w:sz w:val="18"/>
              </w:rPr>
              <w:t>An allocation suggestion or period end is not Paid. Each recipient payment needs authorized actual confirmation; a partial payment leaves an open payable.</w:t>
            </w:r>
          </w:p>
        </w:tc>
      </w:tr>
    </w:tbl>
    <w:p>
      <w:pPr>
        <w:spacing w:after="40"/>
      </w:pPr>
    </w:p>
    <w:tbl>
      <w:tblPr>
        <w:tblW w:type="auto" w:w="0"/>
        <w:tblLayout w:type="fixed"/>
        <w:tblLook w:firstColumn="1" w:firstRow="1" w:lastColumn="0" w:lastRow="0" w:noHBand="0" w:noVBand="1" w:val="04A0"/>
      </w:tblPr>
      <w:tblGrid>
        <w:gridCol w:w="10166"/>
      </w:tblGrid>
      <w:tr>
        <w:tc>
          <w:tcPr>
            <w:tcW w:type="dxa" w:w="10166"/>
            <w:vAlign w:val="center"/>
            <w:shd w:fill="FFF8E9"/>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BUSINESS DECISION REQUIRED: The exact amount distributable from Company result, income/expense recognition, period close and carryforward are not yet fully defined.</w:t>
            </w:r>
          </w:p>
        </w:tc>
      </w:tr>
    </w:tbl>
    <w:p>
      <w:pPr>
        <w:spacing w:after="40"/>
      </w:pPr>
    </w:p>
    <w:p>
      <w:pPr>
        <w:spacing w:after="100" w:line="259" w:lineRule="auto"/>
      </w:pPr>
      <w:r>
        <w:rPr>
          <w:rFonts w:ascii="Arial" w:hAnsi="Arial" w:eastAsia="Nirmala UI" w:cs="Nirmala UI"/>
          <w:b w:val="0"/>
          <w:color w:val="647A84"/>
          <w:sz w:val="16"/>
        </w:rPr>
        <w:t>Source: V2 01 - Company result; V2 03 - Module boundaries; V2 09 - Company result and Owner allocation; V2 10 - Garage.</w:t>
      </w:r>
    </w:p>
    <w:p>
      <w:pPr>
        <w:pStyle w:val="Heading1"/>
        <w:spacing w:after="100" w:line="259" w:lineRule="auto"/>
      </w:pPr>
      <w:r>
        <w:rPr>
          <w:rFonts w:ascii="Arial" w:hAnsi="Arial" w:eastAsia="Nirmala UI" w:cs="Nirmala UI"/>
          <w:b/>
          <w:color w:val="123342"/>
          <w:sz w:val="34"/>
        </w:rPr>
        <w:t>Four Distinct Investor Timelines</w:t>
      </w:r>
    </w:p>
    <w:tbl>
      <w:tblPr>
        <w:tblW w:type="auto" w:w="0"/>
        <w:tblLayout w:type="fixed"/>
        <w:tblLook w:firstColumn="1" w:firstRow="1" w:lastColumn="0" w:lastRow="0" w:noHBand="0" w:noVBand="1" w:val="04A0"/>
      </w:tblPr>
      <w:tblGrid>
        <w:gridCol w:w="10166"/>
      </w:tblGrid>
      <w:tr>
        <w:tc>
          <w:tcPr>
            <w:tcW w:type="dxa" w:w="10166"/>
            <w:vAlign w:val="center"/>
            <w:shd w:fill="EAF2F4"/>
            <w:tcMar>
              <w:top w:w="90" w:type="dxa"/>
              <w:start w:w="110" w:type="dxa"/>
              <w:bottom w:w="90" w:type="dxa"/>
              <w:end w:w="110" w:type="dxa"/>
            </w:tcMar>
          </w:tcPr>
          <w:p>
            <w:pPr>
              <w:spacing w:after="0"/>
            </w:pPr>
            <w:r/>
            <w:r>
              <w:rPr>
                <w:rFonts w:ascii="Arial" w:hAnsi="Arial" w:eastAsia="Nirmala UI" w:cs="Nirmala UI"/>
                <w:b/>
                <w:color w:val="154A5B"/>
                <w:sz w:val="19"/>
              </w:rPr>
              <w:t>1 - Funded Vehicle deal</w:t>
            </w:r>
          </w:p>
        </w:tc>
      </w:tr>
      <w:tr>
        <w:tc>
          <w:tcPr>
            <w:tcW w:type="dxa" w:w="10166"/>
            <w:vAlign w:val="center"/>
            <w:shd w:fill="FFFFFF"/>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Fund use → Sale → full Buyer collection and refund resolution → principal recovery → eligible deal Profit → actual confirmed payment. Ordinary eligible Profit may be paid while the Investor remains Active.</w:t>
            </w:r>
          </w:p>
        </w:tc>
      </w:tr>
    </w:tbl>
    <w:p>
      <w:pPr>
        <w:spacing w:after="20"/>
      </w:pPr>
    </w:p>
    <w:tbl>
      <w:tblPr>
        <w:tblW w:type="auto" w:w="0"/>
        <w:tblLayout w:type="fixed"/>
        <w:tblLook w:firstColumn="1" w:firstRow="1" w:lastColumn="0" w:lastRow="0" w:noHBand="0" w:noVBand="1" w:val="04A0"/>
      </w:tblPr>
      <w:tblGrid>
        <w:gridCol w:w="10166"/>
      </w:tblGrid>
      <w:tr>
        <w:tc>
          <w:tcPr>
            <w:tcW w:type="dxa" w:w="10166"/>
            <w:vAlign w:val="center"/>
            <w:shd w:fill="EAF2F4"/>
            <w:tcMar>
              <w:top w:w="90" w:type="dxa"/>
              <w:start w:w="110" w:type="dxa"/>
              <w:bottom w:w="90" w:type="dxa"/>
              <w:end w:w="110" w:type="dxa"/>
            </w:tcMar>
          </w:tcPr>
          <w:p>
            <w:pPr>
              <w:spacing w:after="0"/>
            </w:pPr>
            <w:r/>
            <w:r>
              <w:rPr>
                <w:rFonts w:ascii="Arial" w:hAnsi="Arial" w:eastAsia="Nirmala UI" w:cs="Nirmala UI"/>
                <w:b/>
                <w:color w:val="154A5B"/>
                <w:sz w:val="19"/>
              </w:rPr>
              <w:t>2 - Monthly Interim Payout</w:t>
            </w:r>
          </w:p>
        </w:tc>
      </w:tr>
      <w:tr>
        <w:tc>
          <w:tcPr>
            <w:tcW w:type="dxa" w:w="10166"/>
            <w:vAlign w:val="center"/>
            <w:shd w:fill="FFFFFF"/>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Each Investor has an effective monthly rate and cycle day. Due/Suggested is not Paid; actual payment is separately confirmed. This is an advance stream distinct from earned deal Profit. The precise eligible-principal base and withdrawal limits remain open.</w:t>
            </w:r>
          </w:p>
        </w:tc>
      </w:tr>
    </w:tbl>
    <w:p>
      <w:pPr>
        <w:spacing w:after="20"/>
      </w:pPr>
    </w:p>
    <w:tbl>
      <w:tblPr>
        <w:tblW w:type="auto" w:w="0"/>
        <w:tblLayout w:type="fixed"/>
        <w:tblLook w:firstColumn="1" w:firstRow="1" w:lastColumn="0" w:lastRow="0" w:noHBand="0" w:noVBand="1" w:val="04A0"/>
      </w:tblPr>
      <w:tblGrid>
        <w:gridCol w:w="10166"/>
      </w:tblGrid>
      <w:tr>
        <w:tc>
          <w:tcPr>
            <w:tcW w:type="dxa" w:w="10166"/>
            <w:vAlign w:val="center"/>
            <w:shd w:fill="EAF2F4"/>
            <w:tcMar>
              <w:top w:w="90" w:type="dxa"/>
              <w:start w:w="110" w:type="dxa"/>
              <w:bottom w:w="90" w:type="dxa"/>
              <w:end w:w="110" w:type="dxa"/>
            </w:tcMar>
          </w:tcPr>
          <w:p>
            <w:pPr>
              <w:spacing w:after="0"/>
            </w:pPr>
            <w:r/>
            <w:r>
              <w:rPr>
                <w:rFonts w:ascii="Arial" w:hAnsi="Arial" w:eastAsia="Nirmala UI" w:cs="Nirmala UI"/>
                <w:b/>
                <w:color w:val="154A5B"/>
                <w:sz w:val="19"/>
              </w:rPr>
              <w:t>3 - Six-month / Annual Investor reconciliation</w:t>
            </w:r>
          </w:p>
        </w:tc>
      </w:tr>
      <w:tr>
        <w:tc>
          <w:tcPr>
            <w:tcW w:type="dxa" w:w="10166"/>
            <w:vAlign w:val="center"/>
            <w:shd w:fill="FFFFFF"/>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Relevant earned Investor Profit ↔ confirmed Interim and ordinary Profit payments already made → one remaining payable or Company-recoverable position. Period end does not create payment or settlement automatically. Deal inclusion and the exact relationship between payout paths remain open.</w:t>
            </w:r>
          </w:p>
        </w:tc>
      </w:tr>
    </w:tbl>
    <w:p>
      <w:pPr>
        <w:spacing w:after="20"/>
      </w:pPr>
    </w:p>
    <w:tbl>
      <w:tblPr>
        <w:tblW w:type="auto" w:w="0"/>
        <w:tblLayout w:type="fixed"/>
        <w:tblLook w:firstColumn="1" w:firstRow="1" w:lastColumn="0" w:lastRow="0" w:noHBand="0" w:noVBand="1" w:val="04A0"/>
      </w:tblPr>
      <w:tblGrid>
        <w:gridCol w:w="10166"/>
      </w:tblGrid>
      <w:tr>
        <w:tc>
          <w:tcPr>
            <w:tcW w:type="dxa" w:w="10166"/>
            <w:vAlign w:val="center"/>
            <w:shd w:fill="EAF2F4"/>
            <w:tcMar>
              <w:top w:w="90" w:type="dxa"/>
              <w:start w:w="110" w:type="dxa"/>
              <w:bottom w:w="90" w:type="dxa"/>
              <w:end w:w="110" w:type="dxa"/>
            </w:tcMar>
          </w:tcPr>
          <w:p>
            <w:pPr>
              <w:spacing w:after="0"/>
            </w:pPr>
            <w:r/>
            <w:r>
              <w:rPr>
                <w:rFonts w:ascii="Arial" w:hAnsi="Arial" w:eastAsia="Nirmala UI" w:cs="Nirmala UI"/>
                <w:b/>
                <w:color w:val="154A5B"/>
                <w:sz w:val="19"/>
              </w:rPr>
              <w:t>4 - Exit and final Investor settlement</w:t>
            </w:r>
          </w:p>
        </w:tc>
      </w:tr>
      <w:tr>
        <w:tc>
          <w:tcPr>
            <w:tcW w:type="dxa" w:w="10166"/>
            <w:vAlign w:val="center"/>
            <w:shd w:fill="FFFFFF"/>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Terms acceptance and the normal three-month notice → Exit Requested → Settlement Pending → Closed. Resolve open Vehicles, Buyer balances/refunds, recoverables and corrections. Then settle remaining principal first, followed by remaining eligible Profit; never pay earlier Profit again.</w:t>
            </w:r>
          </w:p>
        </w:tc>
      </w:tr>
    </w:tbl>
    <w:p>
      <w:pPr>
        <w:spacing w:after="20"/>
      </w:pPr>
    </w:p>
    <w:tbl>
      <w:tblPr>
        <w:tblW w:type="auto" w:w="0"/>
        <w:tblLayout w:type="fixed"/>
        <w:tblLook w:firstColumn="1" w:firstRow="1" w:lastColumn="0" w:lastRow="0" w:noHBand="0" w:noVBand="1" w:val="04A0"/>
      </w:tblPr>
      <w:tblGrid>
        <w:gridCol w:w="10166"/>
      </w:tblGrid>
      <w:tr>
        <w:tc>
          <w:tcPr>
            <w:tcW w:type="dxa" w:w="10166"/>
            <w:vAlign w:val="center"/>
            <w:shd w:fill="F0F8F6"/>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Keep separate: Investor principal, earned Profit, Interim advance, Company Running Capital and recoverables are not one payable. A status change is not a cash movement; only actual confirmed events are Paid.</w:t>
            </w:r>
          </w:p>
        </w:tc>
      </w:tr>
    </w:tbl>
    <w:p>
      <w:pPr>
        <w:spacing w:after="40"/>
      </w:pPr>
    </w:p>
    <w:p>
      <w:pPr>
        <w:pStyle w:val="Heading3"/>
        <w:spacing w:before="160" w:after="80"/>
      </w:pPr>
      <w:r>
        <w:rPr>
          <w:rFonts w:ascii="Arial" w:hAnsi="Arial" w:eastAsia="Nirmala UI" w:cs="Nirmala UI"/>
          <w:b/>
          <w:color w:val="1B4C5A"/>
          <w:sz w:val="22"/>
        </w:rPr>
        <w:t>Relationship for the decision maker to confirm</w:t>
      </w:r>
    </w:p>
    <w:p>
      <w:pPr>
        <w:spacing w:after="100" w:line="259" w:lineRule="auto"/>
      </w:pPr>
      <w:r>
        <w:rPr>
          <w:rFonts w:ascii="Arial" w:hAnsi="Arial" w:eastAsia="Nirmala UI" w:cs="Nirmala UI"/>
          <w:b w:val="0"/>
          <w:color w:val="142C38"/>
          <w:sz w:val="18"/>
        </w:rPr>
        <w:t>Which principal is eligible for Monthly Interim? How should ordinary deal Profit already paid enter period reconciliation? Both remain open decisions. The documents require prevention of duplicate payment.</w:t>
      </w:r>
    </w:p>
    <w:p>
      <w:pPr>
        <w:spacing w:after="100" w:line="259" w:lineRule="auto"/>
      </w:pPr>
      <w:r>
        <w:rPr>
          <w:rFonts w:ascii="Arial" w:hAnsi="Arial" w:eastAsia="Nirmala UI" w:cs="Nirmala UI"/>
          <w:b w:val="0"/>
          <w:color w:val="647A84"/>
          <w:sz w:val="16"/>
        </w:rPr>
        <w:t>Source: V2 01 - Monthly cycle, Exit; V2 05 - Deal Profit, Interim, Reconciliation, Exit.</w:t>
      </w:r>
    </w:p>
    <w:p>
      <w:pPr>
        <w:pStyle w:val="Heading1"/>
        <w:spacing w:after="100" w:line="259" w:lineRule="auto"/>
      </w:pPr>
      <w:r>
        <w:rPr>
          <w:rFonts w:ascii="Arial" w:hAnsi="Arial" w:eastAsia="Nirmala UI" w:cs="Nirmala UI"/>
          <w:b/>
          <w:color w:val="123342"/>
          <w:sz w:val="34"/>
        </w:rPr>
        <w:t>Corrections, Loss and Decisions to Confirm</w:t>
      </w:r>
    </w:p>
    <w:tbl>
      <w:tblPr>
        <w:tblW w:type="auto" w:w="0"/>
        <w:tblLayout w:type="fixed"/>
        <w:tblLook w:firstColumn="1" w:firstRow="1" w:lastColumn="0" w:lastRow="0" w:noHBand="0" w:noVBand="1" w:val="04A0"/>
      </w:tblPr>
      <w:tblGrid>
        <w:gridCol w:w="3389"/>
        <w:gridCol w:w="3389"/>
        <w:gridCol w:w="3389"/>
      </w:tblGrid>
      <w:tr>
        <w:tc>
          <w:tcPr>
            <w:tcW w:type="dxa" w:w="3082"/>
            <w:vAlign w:val="center"/>
            <w:shd w:fill="FFF8E8"/>
            <w:tcMar>
              <w:top w:w="110" w:type="dxa"/>
              <w:start w:w="110" w:type="dxa"/>
              <w:bottom w:w="110" w:type="dxa"/>
              <w:end w:w="110" w:type="dxa"/>
            </w:tcMar>
          </w:tcPr>
          <w:p>
            <w:pPr>
              <w:spacing w:after="60"/>
            </w:pPr>
            <w:r/>
            <w:r>
              <w:rPr>
                <w:rFonts w:ascii="Arial" w:hAnsi="Arial" w:eastAsia="Nirmala UI" w:cs="Nirmala UI"/>
                <w:b/>
                <w:color w:val="154A5B"/>
                <w:sz w:val="20"/>
              </w:rPr>
              <w:t>LOSS</w:t>
            </w:r>
          </w:p>
          <w:p>
            <w:pPr>
              <w:spacing w:after="0" w:line="259" w:lineRule="auto"/>
            </w:pPr>
            <w:r>
              <w:rPr>
                <w:rFonts w:ascii="Arial" w:hAnsi="Arial" w:eastAsia="Nirmala UI" w:cs="Nirmala UI"/>
                <w:b w:val="0"/>
                <w:color w:val="142C38"/>
                <w:sz w:val="18"/>
              </w:rPr>
              <w:t>A negative calculation alone assigns no Loss to Investor, Company or Owner. Impact, reason, authority and actual action require manual treatment; the exact rule remains open.</w:t>
            </w:r>
          </w:p>
        </w:tc>
        <w:tc>
          <w:tcPr>
            <w:tcW w:type="dxa" w:w="3082"/>
            <w:vAlign w:val="center"/>
            <w:shd w:fill="EDF6FA"/>
            <w:tcMar>
              <w:top w:w="110" w:type="dxa"/>
              <w:start w:w="110" w:type="dxa"/>
              <w:bottom w:w="110" w:type="dxa"/>
              <w:end w:w="110" w:type="dxa"/>
            </w:tcMar>
          </w:tcPr>
          <w:p>
            <w:pPr>
              <w:spacing w:after="60"/>
            </w:pPr>
            <w:r/>
            <w:r>
              <w:rPr>
                <w:rFonts w:ascii="Arial" w:hAnsi="Arial" w:eastAsia="Nirmala UI" w:cs="Nirmala UI"/>
                <w:b/>
                <w:color w:val="154A5B"/>
                <w:sz w:val="20"/>
              </w:rPr>
              <w:t>CORRECTIONS &amp; REFUNDS</w:t>
            </w:r>
          </w:p>
          <w:p>
            <w:pPr>
              <w:spacing w:after="0" w:line="259" w:lineRule="auto"/>
            </w:pPr>
            <w:r>
              <w:rPr>
                <w:rFonts w:ascii="Arial" w:hAnsi="Arial" w:eastAsia="Nirmala UI" w:cs="Nirmala UI"/>
                <w:b w:val="0"/>
                <w:color w:val="142C38"/>
                <w:sz w:val="18"/>
              </w:rPr>
              <w:t>Linked corrections preserve original payment history. If corrected Sale price falls below cash received, Buyer Refund Payable stays open until actual refund is confirmed.</w:t>
            </w:r>
          </w:p>
        </w:tc>
        <w:tc>
          <w:tcPr>
            <w:tcW w:type="dxa" w:w="3082"/>
            <w:vAlign w:val="center"/>
            <w:shd w:fill="EAF6F2"/>
            <w:tcMar>
              <w:top w:w="110" w:type="dxa"/>
              <w:start w:w="110" w:type="dxa"/>
              <w:bottom w:w="110" w:type="dxa"/>
              <w:end w:w="110" w:type="dxa"/>
            </w:tcMar>
          </w:tcPr>
          <w:p>
            <w:pPr>
              <w:spacing w:after="60"/>
            </w:pPr>
            <w:r/>
            <w:r>
              <w:rPr>
                <w:rFonts w:ascii="Arial" w:hAnsi="Arial" w:eastAsia="Nirmala UI" w:cs="Nirmala UI"/>
                <w:b/>
                <w:color w:val="154A5B"/>
                <w:sz w:val="20"/>
              </w:rPr>
              <w:t>WHO CONFIRMS?</w:t>
            </w:r>
          </w:p>
          <w:p>
            <w:pPr>
              <w:spacing w:after="0" w:line="259" w:lineRule="auto"/>
            </w:pPr>
            <w:r>
              <w:rPr>
                <w:rFonts w:ascii="Arial" w:hAnsi="Arial" w:eastAsia="Nirmala UI" w:cs="Nirmala UI"/>
                <w:b w:val="0"/>
                <w:color w:val="142C38"/>
                <w:sz w:val="18"/>
              </w:rPr>
              <w:t>Platform Back Office administers protected rates. Accountant/Operations records authorized actual business payments. Owner has read access. Calculate → Suggest → Remind → Human Confirm → Record.</w:t>
            </w:r>
          </w:p>
        </w:tc>
      </w:tr>
    </w:tbl>
    <w:p>
      <w:pPr>
        <w:spacing w:after="40"/>
      </w:pPr>
    </w:p>
    <w:p>
      <w:pPr>
        <w:pStyle w:val="Heading2"/>
        <w:spacing w:before="160" w:after="80"/>
      </w:pPr>
      <w:r>
        <w:rPr>
          <w:rFonts w:ascii="Arial" w:hAnsi="Arial" w:eastAsia="Nirmala UI" w:cs="Nirmala UI"/>
          <w:b/>
          <w:color w:val="123342"/>
          <w:sz w:val="28"/>
        </w:rPr>
        <w:t>Seven business decisions still required</w:t>
      </w:r>
    </w:p>
    <w:p>
      <w:pPr>
        <w:spacing w:after="100" w:line="259" w:lineRule="auto"/>
      </w:pPr>
      <w:r>
        <w:rPr>
          <w:rFonts w:ascii="Arial" w:hAnsi="Arial" w:eastAsia="Nirmala UI" w:cs="Nirmala UI"/>
          <w:b w:val="0"/>
          <w:color w:val="142C38"/>
          <w:sz w:val="18"/>
        </w:rPr>
        <w:t>•  What is the eligible principal base for Monthly Interim, and how much principal may be withdrawn during an active cycle?</w:t>
      </w:r>
    </w:p>
    <w:p>
      <w:pPr>
        <w:spacing w:after="100" w:line="259" w:lineRule="auto"/>
      </w:pPr>
      <w:r>
        <w:rPr>
          <w:rFonts w:ascii="Arial" w:hAnsi="Arial" w:eastAsia="Nirmala UI" w:cs="Nirmala UI"/>
          <w:b w:val="0"/>
          <w:color w:val="142C38"/>
          <w:sz w:val="18"/>
        </w:rPr>
        <w:t>•  How do ordinary deal Profit, Interim payments and six-month/annual reconciliation interact without paying the same entitlement twice?</w:t>
      </w:r>
    </w:p>
    <w:p>
      <w:pPr>
        <w:spacing w:after="100" w:line="259" w:lineRule="auto"/>
      </w:pPr>
      <w:r>
        <w:rPr>
          <w:rFonts w:ascii="Arial" w:hAnsi="Arial" w:eastAsia="Nirmala UI" w:cs="Nirmala UI"/>
          <w:b w:val="0"/>
          <w:color w:val="142C38"/>
          <w:sz w:val="18"/>
        </w:rPr>
        <w:t>•  How does manually confirmed Loss affect Investor principal and Company Running Capital/finances, and who confirms it?</w:t>
      </w:r>
    </w:p>
    <w:p>
      <w:pPr>
        <w:spacing w:after="100" w:line="259" w:lineRule="auto"/>
      </w:pPr>
      <w:r>
        <w:rPr>
          <w:rFonts w:ascii="Arial" w:hAnsi="Arial" w:eastAsia="Nirmala UI" w:cs="Nirmala UI"/>
          <w:b w:val="0"/>
          <w:color w:val="142C38"/>
          <w:sz w:val="18"/>
        </w:rPr>
        <w:t>•  What are the exact basis, recognition, period close and carryforward rules for Company distributable Profit?</w:t>
      </w:r>
    </w:p>
    <w:p>
      <w:pPr>
        <w:spacing w:after="100" w:line="259" w:lineRule="auto"/>
      </w:pPr>
      <w:r>
        <w:rPr>
          <w:rFonts w:ascii="Arial" w:hAnsi="Arial" w:eastAsia="Nirmala UI" w:cs="Nirmala UI"/>
          <w:b w:val="0"/>
          <w:color w:val="142C38"/>
          <w:sz w:val="18"/>
        </w:rPr>
        <w:t>•  Who may authorize a Company-level correction to an older record from another Branch?</w:t>
      </w:r>
    </w:p>
    <w:p>
      <w:pPr>
        <w:spacing w:after="100" w:line="259" w:lineRule="auto"/>
      </w:pPr>
      <w:r>
        <w:rPr>
          <w:rFonts w:ascii="Arial" w:hAnsi="Arial" w:eastAsia="Nirmala UI" w:cs="Nirmala UI"/>
          <w:b w:val="0"/>
          <w:color w:val="142C38"/>
          <w:sz w:val="18"/>
        </w:rPr>
        <w:t>•  When, if ever, may Platform Back Office support view private Company finance without explicit Company assignment?</w:t>
      </w:r>
    </w:p>
    <w:p>
      <w:pPr>
        <w:spacing w:after="100" w:line="259" w:lineRule="auto"/>
      </w:pPr>
      <w:r>
        <w:rPr>
          <w:rFonts w:ascii="Arial" w:hAnsi="Arial" w:eastAsia="Nirmala UI" w:cs="Nirmala UI"/>
          <w:b w:val="0"/>
          <w:color w:val="142C38"/>
          <w:sz w:val="18"/>
        </w:rPr>
        <w:t>•  When a module is OFF, what minimum actions remain available to settle open obligations?</w:t>
      </w:r>
    </w:p>
    <w:tbl>
      <w:tblPr>
        <w:tblW w:type="auto" w:w="0"/>
        <w:tblLayout w:type="fixed"/>
        <w:tblLook w:firstColumn="1" w:firstRow="1" w:lastColumn="0" w:lastRow="0" w:noHBand="0" w:noVBand="1" w:val="04A0"/>
      </w:tblPr>
      <w:tblGrid>
        <w:gridCol w:w="10166"/>
      </w:tblGrid>
      <w:tr>
        <w:tc>
          <w:tcPr>
            <w:tcW w:type="dxa" w:w="10166"/>
            <w:vAlign w:val="center"/>
            <w:shd w:fill="FFF8E9"/>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Review outcome: These seven questions should be decided and recorded before software rules are filled in for the affected financial or permission behavior. Confirmed V2 direction and open points are intentionally separated here.</w:t>
            </w:r>
          </w:p>
        </w:tc>
      </w:tr>
    </w:tbl>
    <w:p>
      <w:pPr>
        <w:spacing w:after="40"/>
      </w:pPr>
    </w:p>
    <w:p>
      <w:pPr>
        <w:spacing w:after="100" w:line="259" w:lineRule="auto"/>
      </w:pPr>
      <w:r>
        <w:rPr>
          <w:rFonts w:ascii="Arial" w:hAnsi="Arial" w:eastAsia="Nirmala UI" w:cs="Nirmala UI"/>
          <w:b w:val="0"/>
          <w:color w:val="647A84"/>
          <w:sz w:val="16"/>
        </w:rPr>
        <w:t>Primary sources: docs-final-v2/01, 02, 03, 04, 05, 09, 10. Cross-check: architecture/01-04. This visual packet is not the source of truth.</w:t>
      </w:r>
    </w:p>
    <w:p>
      <w:r>
        <w:br w:type="page"/>
      </w:r>
    </w:p>
    <w:p>
      <w:pPr>
        <w:spacing w:after="200"/>
      </w:pPr>
      <w:r>
        <w:rPr>
          <w:rFonts w:ascii="Arial" w:hAnsi="Arial" w:eastAsia="Nirmala UI" w:cs="Nirmala UI"/>
          <w:b/>
          <w:color w:val="1F6977"/>
          <w:sz w:val="26"/>
        </w:rPr>
        <w:t>Malayalam Version</w:t>
      </w:r>
    </w:p>
    <w:p>
      <w:pPr>
        <w:spacing w:after="40"/>
      </w:pPr>
      <w:r>
        <w:rPr>
          <w:rFonts w:ascii="Arial" w:hAnsi="Arial" w:eastAsia="Nirmala UI" w:cs="Nirmala UI"/>
          <w:b/>
          <w:color w:val="1F6977"/>
          <w:sz w:val="18"/>
        </w:rPr>
        <w:t>VIRMS V2 · Decision review</w:t>
      </w:r>
    </w:p>
    <w:p>
      <w:pPr>
        <w:pStyle w:val="Title"/>
        <w:spacing w:after="100"/>
      </w:pPr>
      <w:r>
        <w:rPr>
          <w:rFonts w:ascii="Arial" w:hAnsi="Arial" w:eastAsia="Nirmala UI" w:cs="Nirmala UI"/>
          <w:b/>
          <w:color w:val="123342"/>
          <w:sz w:val="48"/>
        </w:rPr>
        <w:t>സാമ്പത്തിക ഘടന: ഒറ്റനോട്ടത്തിൽ</w:t>
      </w:r>
    </w:p>
    <w:p>
      <w:pPr>
        <w:spacing w:after="100" w:line="259" w:lineRule="auto"/>
      </w:pPr>
      <w:r>
        <w:rPr>
          <w:rFonts w:ascii="Arial" w:hAnsi="Arial" w:eastAsia="Nirmala UI" w:cs="Nirmala UI"/>
          <w:b w:val="0"/>
          <w:color w:val="395865"/>
          <w:sz w:val="22"/>
        </w:rPr>
        <w:t>സിസ്റ്റത്തിന്റെ പണബന്ധങ്ങൾ തീരുമാനിച്ച വ്യക്തി വീണ്ടും പരിശോധിക്കാനുള്ള ചുരുക്ക രേഖ.</w:t>
      </w:r>
    </w:p>
    <w:tbl>
      <w:tblPr>
        <w:tblW w:type="auto" w:w="0"/>
        <w:tblLayout w:type="fixed"/>
        <w:tblLook w:firstColumn="1" w:firstRow="1" w:lastColumn="0" w:lastRow="0" w:noHBand="0" w:noVBand="1" w:val="04A0"/>
      </w:tblPr>
      <w:tblGrid>
        <w:gridCol w:w="10166"/>
      </w:tblGrid>
      <w:tr>
        <w:tc>
          <w:tcPr>
            <w:tcW w:type="dxa" w:w="10166"/>
            <w:vAlign w:val="center"/>
            <w:shd w:fill="F0F8F6"/>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വായിക്കേണ്ട വിധം: ഇത് നിലവിലെ docs-final-v2 രേഖകളിൽ നിന്നുള്ള ദൃശ്യ സംഗ്രഹമാണ്; പുതിയ agreement അല്ല. ഉറപ്പിക്കാത്ത കാര്യങ്ങൾ അവസാന പേജിൽ പ്രത്യേകം നൽകിയിട്ടുണ്ട്. വ്യത്യാസമുണ്ടെങ്കിൽ യഥാർത്ഥ V2 രേഖകളാണ് അടിസ്ഥാനമാക്കേണ്ടത്.</w:t>
            </w:r>
          </w:p>
        </w:tc>
      </w:tr>
    </w:tbl>
    <w:p>
      <w:pPr>
        <w:spacing w:after="40"/>
      </w:pPr>
    </w:p>
    <w:p>
      <w:pPr>
        <w:pStyle w:val="Heading2"/>
        <w:spacing w:before="160" w:after="80"/>
      </w:pPr>
      <w:r>
        <w:rPr>
          <w:rFonts w:ascii="Arial" w:hAnsi="Arial" w:eastAsia="Nirmala UI" w:cs="Nirmala UI"/>
          <w:b/>
          <w:color w:val="123342"/>
          <w:sz w:val="28"/>
        </w:rPr>
        <w:t>1. ആരുടെ ബന്ധം എവിടെയാണ്?</w:t>
      </w:r>
    </w:p>
    <w:tbl>
      <w:tblPr>
        <w:tblW w:type="auto" w:w="0"/>
        <w:tblLayout w:type="fixed"/>
        <w:tblLook w:firstColumn="1" w:firstRow="1" w:lastColumn="0" w:lastRow="0" w:noHBand="0" w:noVBand="1" w:val="04A0"/>
      </w:tblPr>
      <w:tblGrid>
        <w:gridCol w:w="2033"/>
        <w:gridCol w:w="2033"/>
        <w:gridCol w:w="2033"/>
        <w:gridCol w:w="2033"/>
        <w:gridCol w:w="2033"/>
      </w:tblGrid>
      <w:tr>
        <w:tc>
          <w:tcPr>
            <w:tcW w:type="dxa" w:w="2880"/>
            <w:vAlign w:val="center"/>
            <w:shd w:fill="EDF6FA"/>
            <w:tcMar>
              <w:top w:w="90" w:type="dxa"/>
              <w:start w:w="110" w:type="dxa"/>
              <w:bottom w:w="90" w:type="dxa"/>
              <w:end w:w="110" w:type="dxa"/>
            </w:tcMar>
          </w:tcPr>
          <w:p>
            <w:pPr>
              <w:spacing w:after="60"/>
            </w:pPr>
            <w:r/>
            <w:r>
              <w:rPr>
                <w:rFonts w:ascii="Arial" w:hAnsi="Arial" w:eastAsia="Nirmala UI" w:cs="Nirmala UI"/>
                <w:b/>
                <w:color w:val="154A5B"/>
                <w:sz w:val="19"/>
              </w:rPr>
              <w:t>PLATFORM</w:t>
            </w:r>
          </w:p>
          <w:p>
            <w:pPr>
              <w:spacing w:after="0" w:line="259" w:lineRule="auto"/>
            </w:pPr>
            <w:r>
              <w:rPr>
                <w:rFonts w:ascii="Arial" w:hAnsi="Arial" w:eastAsia="Nirmala UI" w:cs="Nirmala UI"/>
                <w:b w:val="0"/>
                <w:color w:val="142C38"/>
                <w:sz w:val="17"/>
              </w:rPr>
              <w:t>Companies, accounts, protected settings</w:t>
            </w:r>
          </w:p>
        </w:tc>
        <w:tc>
          <w:tcPr>
            <w:tcW w:type="dxa" w:w="461"/>
          </w:tcPr>
          <w:p>
            <w:pPr>
              <w:jc w:val="center"/>
            </w:pPr>
            <w:r>
              <w:rPr>
                <w:rFonts w:ascii="Arial" w:hAnsi="Arial" w:eastAsia="Nirmala UI" w:cs="Nirmala UI"/>
                <w:b/>
                <w:color w:val="21827C"/>
                <w:sz w:val="26"/>
              </w:rPr>
              <w:t>→</w:t>
            </w:r>
          </w:p>
        </w:tc>
        <w:tc>
          <w:tcPr>
            <w:tcW w:type="dxa" w:w="2880"/>
            <w:vAlign w:val="center"/>
            <w:shd w:fill="EAF6F2"/>
            <w:tcMar>
              <w:top w:w="90" w:type="dxa"/>
              <w:start w:w="110" w:type="dxa"/>
              <w:bottom w:w="90" w:type="dxa"/>
              <w:end w:w="110" w:type="dxa"/>
            </w:tcMar>
          </w:tcPr>
          <w:p>
            <w:pPr>
              <w:spacing w:after="60"/>
            </w:pPr>
            <w:r/>
            <w:r>
              <w:rPr>
                <w:rFonts w:ascii="Arial" w:hAnsi="Arial" w:eastAsia="Nirmala UI" w:cs="Nirmala UI"/>
                <w:b/>
                <w:color w:val="154A5B"/>
                <w:sz w:val="19"/>
              </w:rPr>
              <w:t>COMPANY / TENANT</w:t>
            </w:r>
          </w:p>
          <w:p>
            <w:pPr>
              <w:spacing w:after="0" w:line="259" w:lineRule="auto"/>
            </w:pPr>
            <w:r>
              <w:rPr>
                <w:rFonts w:ascii="Arial" w:hAnsi="Arial" w:eastAsia="Nirmala UI" w:cs="Nirmala UI"/>
                <w:b w:val="0"/>
                <w:color w:val="142C38"/>
                <w:sz w:val="17"/>
              </w:rPr>
              <w:t>ഡാറ്റയും കണക്കും വേർതിരിക്കുന്ന പ്രധാന അതിർത്തി; ഒരൊറ്റ Company accounting.</w:t>
            </w:r>
          </w:p>
        </w:tc>
        <w:tc>
          <w:tcPr>
            <w:tcW w:type="dxa" w:w="461"/>
          </w:tcPr>
          <w:p>
            <w:pPr>
              <w:jc w:val="center"/>
            </w:pPr>
            <w:r>
              <w:rPr>
                <w:rFonts w:ascii="Arial" w:hAnsi="Arial" w:eastAsia="Nirmala UI" w:cs="Nirmala UI"/>
                <w:b/>
                <w:color w:val="21827C"/>
                <w:sz w:val="26"/>
              </w:rPr>
              <w:t>→</w:t>
            </w:r>
          </w:p>
        </w:tc>
        <w:tc>
          <w:tcPr>
            <w:tcW w:type="dxa" w:w="2880"/>
            <w:vAlign w:val="center"/>
            <w:shd w:fill="EDF6FA"/>
            <w:tcMar>
              <w:top w:w="90" w:type="dxa"/>
              <w:start w:w="110" w:type="dxa"/>
              <w:bottom w:w="90" w:type="dxa"/>
              <w:end w:w="110" w:type="dxa"/>
            </w:tcMar>
          </w:tcPr>
          <w:p>
            <w:pPr>
              <w:spacing w:after="60"/>
            </w:pPr>
            <w:r/>
            <w:r>
              <w:rPr>
                <w:rFonts w:ascii="Arial" w:hAnsi="Arial" w:eastAsia="Nirmala UI" w:cs="Nirmala UI"/>
                <w:b/>
                <w:color w:val="154A5B"/>
                <w:sz w:val="19"/>
              </w:rPr>
              <w:t>BRANCH / GARAGE</w:t>
            </w:r>
          </w:p>
          <w:p>
            <w:pPr>
              <w:spacing w:after="0" w:line="259" w:lineRule="auto"/>
            </w:pPr>
            <w:r>
              <w:rPr>
                <w:rFonts w:ascii="Arial" w:hAnsi="Arial" w:eastAsia="Nirmala UI" w:cs="Nirmala UI"/>
                <w:b w:val="0"/>
                <w:color w:val="142C38"/>
                <w:sz w:val="17"/>
              </w:rPr>
              <w:t>പ്രവർത്തനം നടന്ന സ്ഥലം; വേറെ Tenant അല്ല.</w:t>
            </w:r>
          </w:p>
        </w:tc>
      </w:tr>
    </w:tbl>
    <w:p>
      <w:pPr>
        <w:spacing w:after="40"/>
      </w:pPr>
    </w:p>
    <w:tbl>
      <w:tblPr>
        <w:tblW w:type="auto" w:w="0"/>
        <w:tblLayout w:type="fixed"/>
        <w:tblLook w:firstColumn="1" w:firstRow="1" w:lastColumn="0" w:lastRow="0" w:noHBand="0" w:noVBand="1" w:val="04A0"/>
      </w:tblPr>
      <w:tblGrid>
        <w:gridCol w:w="5083"/>
        <w:gridCol w:w="5083"/>
      </w:tblGrid>
      <w:tr>
        <w:tc>
          <w:tcPr>
            <w:tcW w:type="dxa" w:w="4709"/>
            <w:vAlign w:val="center"/>
            <w:shd w:fill="F8FBFB"/>
            <w:tcMar>
              <w:top w:w="110" w:type="dxa"/>
              <w:start w:w="110" w:type="dxa"/>
              <w:bottom w:w="110" w:type="dxa"/>
              <w:end w:w="110" w:type="dxa"/>
            </w:tcMar>
          </w:tcPr>
          <w:p>
            <w:pPr>
              <w:spacing w:after="60"/>
            </w:pPr>
            <w:r/>
            <w:r>
              <w:rPr>
                <w:rFonts w:ascii="Arial" w:hAnsi="Arial" w:eastAsia="Nirmala UI" w:cs="Nirmala UI"/>
                <w:b/>
                <w:color w:val="154A5B"/>
                <w:sz w:val="20"/>
              </w:rPr>
              <w:t>INVESTOR ↔ COMPANY</w:t>
            </w:r>
          </w:p>
          <w:p>
            <w:pPr>
              <w:spacing w:after="0" w:line="259" w:lineRule="auto"/>
            </w:pPr>
            <w:r>
              <w:rPr>
                <w:rFonts w:ascii="Arial" w:hAnsi="Arial" w:eastAsia="Nirmala UI" w:cs="Nirmala UI"/>
                <w:b w:val="0"/>
                <w:color w:val="142C38"/>
                <w:sz w:val="18"/>
              </w:rPr>
              <w:t>Investor Fund Company-level സ്ഥാനമാണ്. ഓരോ funded Stock Vehicle-നും കൃത്യമായി ഒരു funding Investor. അംഗീകരിച്ച Fund വിനിയോഗം ആ Vehicle-നും അതിന്റെ ചെലവുകൾക്കും ബന്ധിപ്പിക്കുന്നു; Garage Investor Fund കൈമാറുന്ന ഇടനിലയോ ഉടമയോ സ്വീകരിക്കുന്ന സ്ഥാനമോ അല്ല.</w:t>
            </w:r>
          </w:p>
        </w:tc>
        <w:tc>
          <w:tcPr>
            <w:tcW w:type="dxa" w:w="4709"/>
            <w:vAlign w:val="center"/>
            <w:shd w:fill="F8FBFB"/>
            <w:tcMar>
              <w:top w:w="110" w:type="dxa"/>
              <w:start w:w="110" w:type="dxa"/>
              <w:bottom w:w="110" w:type="dxa"/>
              <w:end w:w="110" w:type="dxa"/>
            </w:tcMar>
          </w:tcPr>
          <w:p>
            <w:pPr>
              <w:spacing w:after="60"/>
            </w:pPr>
            <w:r/>
            <w:r>
              <w:rPr>
                <w:rFonts w:ascii="Arial" w:hAnsi="Arial" w:eastAsia="Nirmala UI" w:cs="Nirmala UI"/>
                <w:b/>
                <w:color w:val="154A5B"/>
                <w:sz w:val="20"/>
              </w:rPr>
              <w:t>OWNER ↔ COMPANY</w:t>
            </w:r>
          </w:p>
          <w:p>
            <w:pPr>
              <w:spacing w:after="0" w:line="259" w:lineRule="auto"/>
            </w:pPr>
            <w:r>
              <w:rPr>
                <w:rFonts w:ascii="Arial" w:hAnsi="Arial" w:eastAsia="Nirmala UI" w:cs="Nirmala UI"/>
                <w:b w:val="0"/>
                <w:color w:val="142C38"/>
                <w:sz w:val="18"/>
              </w:rPr>
              <w:t>Owner-ന്റെ പങ്ക് Company-തലത്തിൽ സ്ഥിരീകരിച്ച distributable Profit-ൽ നിന്നുള്ള period distribution ആണ്. ഒരു Vehicle deal-ൽ നിന്ന് നേരിട്ട് Owner payment അല്ല.</w:t>
            </w:r>
          </w:p>
        </w:tc>
      </w:tr>
    </w:tbl>
    <w:p>
      <w:pPr>
        <w:spacing w:after="40"/>
      </w:pPr>
    </w:p>
    <w:p>
      <w:pPr>
        <w:pStyle w:val="Heading3"/>
        <w:spacing w:before="160" w:after="80"/>
      </w:pPr>
      <w:r>
        <w:rPr>
          <w:rFonts w:ascii="Arial" w:hAnsi="Arial" w:eastAsia="Nirmala UI" w:cs="Nirmala UI"/>
          <w:b/>
          <w:color w:val="1B4C5A"/>
          <w:sz w:val="22"/>
        </w:rPr>
        <w:t>പണത്തിന്റെ വ്യത്യസ്ത സ്ഥാനങ്ങൾ</w:t>
      </w:r>
    </w:p>
    <w:tbl>
      <w:tblPr>
        <w:tblW w:type="auto" w:w="0"/>
        <w:tblLayout w:type="fixed"/>
        <w:tblLook w:firstColumn="1" w:firstRow="1" w:lastColumn="0" w:lastRow="0" w:noHBand="0" w:noVBand="1" w:val="04A0"/>
      </w:tblPr>
      <w:tblGrid>
        <w:gridCol w:w="3389"/>
        <w:gridCol w:w="3389"/>
        <w:gridCol w:w="3389"/>
      </w:tblGrid>
      <w:tr>
        <w:tc>
          <w:tcPr>
            <w:tcW w:type="dxa" w:w="3082"/>
            <w:vAlign w:val="center"/>
            <w:shd w:fill="EDF6FA"/>
            <w:tcMar>
              <w:top w:w="110" w:type="dxa"/>
              <w:start w:w="110" w:type="dxa"/>
              <w:bottom w:w="110" w:type="dxa"/>
              <w:end w:w="110" w:type="dxa"/>
            </w:tcMar>
          </w:tcPr>
          <w:p>
            <w:pPr>
              <w:spacing w:after="60"/>
            </w:pPr>
            <w:r/>
            <w:r>
              <w:rPr>
                <w:rFonts w:ascii="Arial" w:hAnsi="Arial" w:eastAsia="Nirmala UI" w:cs="Nirmala UI"/>
                <w:b/>
                <w:color w:val="154A5B"/>
                <w:sz w:val="20"/>
              </w:rPr>
              <w:t>Investor principal Fund</w:t>
            </w:r>
          </w:p>
          <w:p>
            <w:pPr>
              <w:spacing w:after="0" w:line="259" w:lineRule="auto"/>
            </w:pPr>
            <w:r>
              <w:rPr>
                <w:rFonts w:ascii="Arial" w:hAnsi="Arial" w:eastAsia="Nirmala UI" w:cs="Nirmala UI"/>
                <w:b w:val="0"/>
                <w:color w:val="142C38"/>
                <w:sz w:val="18"/>
              </w:rPr>
              <w:t>Investor നൽകിയ capital, approved use, actual recovery, withdrawal/settlement എന്നിവയുടെ auditable Company-level position. Available, committed/locked തുകകൾ വേർതിരിച്ച്.</w:t>
            </w:r>
          </w:p>
        </w:tc>
        <w:tc>
          <w:tcPr>
            <w:tcW w:type="dxa" w:w="3082"/>
            <w:vAlign w:val="center"/>
            <w:shd w:fill="FFF8E8"/>
            <w:tcMar>
              <w:top w:w="110" w:type="dxa"/>
              <w:start w:w="110" w:type="dxa"/>
              <w:bottom w:w="110" w:type="dxa"/>
              <w:end w:w="110" w:type="dxa"/>
            </w:tcMar>
          </w:tcPr>
          <w:p>
            <w:pPr>
              <w:spacing w:after="60"/>
            </w:pPr>
            <w:r/>
            <w:r>
              <w:rPr>
                <w:rFonts w:ascii="Arial" w:hAnsi="Arial" w:eastAsia="Nirmala UI" w:cs="Nirmala UI"/>
                <w:b/>
                <w:color w:val="154A5B"/>
                <w:sz w:val="20"/>
              </w:rPr>
              <w:t>Company Running Capital</w:t>
            </w:r>
          </w:p>
          <w:p>
            <w:pPr>
              <w:spacing w:after="0" w:line="259" w:lineRule="auto"/>
            </w:pPr>
            <w:r>
              <w:rPr>
                <w:rFonts w:ascii="Arial" w:hAnsi="Arial" w:eastAsia="Nirmala UI" w:cs="Nirmala UI"/>
                <w:b w:val="0"/>
                <w:color w:val="142C38"/>
                <w:sz w:val="18"/>
              </w:rPr>
              <w:t>ഒരു Vehicle-ന്റെ approved ചെലവിനായി Company യഥാർത്ഥത്തിൽ നൽകിയ തുക; Investor principal-ൽ ചേർക്കുന്നില്ല. പലിശയോ premium-ഓ അല്ല.</w:t>
            </w:r>
          </w:p>
        </w:tc>
        <w:tc>
          <w:tcPr>
            <w:tcW w:type="dxa" w:w="3082"/>
            <w:vAlign w:val="center"/>
            <w:shd w:fill="EAF6F2"/>
            <w:tcMar>
              <w:top w:w="110" w:type="dxa"/>
              <w:start w:w="110" w:type="dxa"/>
              <w:bottom w:w="110" w:type="dxa"/>
              <w:end w:w="110" w:type="dxa"/>
            </w:tcMar>
          </w:tcPr>
          <w:p>
            <w:pPr>
              <w:spacing w:after="60"/>
            </w:pPr>
            <w:r/>
            <w:r>
              <w:rPr>
                <w:rFonts w:ascii="Arial" w:hAnsi="Arial" w:eastAsia="Nirmala UI" w:cs="Nirmala UI"/>
                <w:b/>
                <w:color w:val="154A5B"/>
                <w:sz w:val="20"/>
              </w:rPr>
              <w:t>Company Accounting</w:t>
            </w:r>
          </w:p>
          <w:p>
            <w:pPr>
              <w:spacing w:after="0" w:line="259" w:lineRule="auto"/>
            </w:pPr>
            <w:r>
              <w:rPr>
                <w:rFonts w:ascii="Arial" w:hAnsi="Arial" w:eastAsia="Nirmala UI" w:cs="Nirmala UI"/>
                <w:b w:val="0"/>
                <w:color w:val="142C38"/>
                <w:sz w:val="18"/>
              </w:rPr>
              <w:t>Company Share, Garage Revenue, മറ്റു income/expense, actual receipts/payments എന്നിവ source ബന്ധത്തോടെ; സാമ്പത്തിക തുക രണ്ടുവട്ടം എണ്ണുന്നില്ല.</w:t>
            </w:r>
          </w:p>
        </w:tc>
      </w:tr>
    </w:tbl>
    <w:p>
      <w:pPr>
        <w:spacing w:after="40"/>
      </w:pPr>
    </w:p>
    <w:tbl>
      <w:tblPr>
        <w:tblW w:type="auto" w:w="0"/>
        <w:tblLayout w:type="fixed"/>
        <w:tblLook w:firstColumn="1" w:firstRow="1" w:lastColumn="0" w:lastRow="0" w:noHBand="0" w:noVBand="1" w:val="04A0"/>
      </w:tblPr>
      <w:tblGrid>
        <w:gridCol w:w="10166"/>
      </w:tblGrid>
      <w:tr>
        <w:tc>
          <w:tcPr>
            <w:tcW w:type="dxa" w:w="10166"/>
            <w:vAlign w:val="center"/>
            <w:shd w:fill="FFF8E9"/>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Review point: Investor Fund, Company Running Capital, Garage Revenue, Company result, Owner distribution എന്നിവയെ രേഖകൾ വ്യത്യസ്ത സ്ഥാനങ്ങളായി കാണിക്കുന്നു. ഇവയ്ക്കെല്ലാം ഒരൊറ്റ "pool" balance എന്ന അർത്ഥം ഇവിടെ നൽകിയിട്ടില്ല.</w:t>
            </w:r>
          </w:p>
        </w:tc>
      </w:tr>
    </w:tbl>
    <w:p>
      <w:pPr>
        <w:spacing w:after="40"/>
      </w:pPr>
    </w:p>
    <w:p>
      <w:pPr>
        <w:spacing w:after="100" w:line="259" w:lineRule="auto"/>
      </w:pPr>
      <w:r>
        <w:rPr>
          <w:rFonts w:ascii="Arial" w:hAnsi="Arial" w:eastAsia="Nirmala UI" w:cs="Nirmala UI"/>
          <w:b w:val="0"/>
          <w:color w:val="647A84"/>
          <w:sz w:val="16"/>
        </w:rPr>
        <w:t>Source: V2 01 §§ Platform; Investor Fund; Company result · V2 02 Roles · V2 04 Relationships · V2 09 Accounting</w:t>
      </w:r>
    </w:p>
    <w:p>
      <w:pPr>
        <w:pStyle w:val="Heading1"/>
        <w:spacing w:after="100" w:line="259" w:lineRule="auto"/>
      </w:pPr>
      <w:r>
        <w:rPr>
          <w:rFonts w:ascii="Arial" w:hAnsi="Arial" w:eastAsia="Nirmala UI" w:cs="Nirmala UI"/>
          <w:b/>
          <w:color w:val="123342"/>
          <w:sz w:val="34"/>
        </w:rPr>
        <w:t>Stock Vehicle: നിക്ഷേപം മുതൽ വിൽപ്പന വരെ</w:t>
      </w:r>
    </w:p>
    <w:p>
      <w:pPr>
        <w:pStyle w:val="Heading2"/>
        <w:spacing w:before="160" w:after="80"/>
      </w:pPr>
      <w:r>
        <w:rPr>
          <w:rFonts w:ascii="Arial" w:hAnsi="Arial" w:eastAsia="Nirmala UI" w:cs="Nirmala UI"/>
          <w:b/>
          <w:color w:val="123342"/>
          <w:sz w:val="28"/>
        </w:rPr>
        <w:t>2. Vehicle-ലേക്ക് പണം വരുന്നത്</w:t>
      </w:r>
    </w:p>
    <w:tbl>
      <w:tblPr>
        <w:tblW w:type="auto" w:w="0"/>
        <w:tblLayout w:type="fixed"/>
        <w:tblLook w:firstColumn="1" w:firstRow="1" w:lastColumn="0" w:lastRow="0" w:noHBand="0" w:noVBand="1" w:val="04A0"/>
      </w:tblPr>
      <w:tblGrid>
        <w:gridCol w:w="5083"/>
        <w:gridCol w:w="5083"/>
      </w:tblGrid>
      <w:tr>
        <w:tc>
          <w:tcPr>
            <w:tcW w:type="dxa" w:w="4709"/>
            <w:vAlign w:val="center"/>
            <w:shd w:fill="EDF6FA"/>
            <w:tcMar>
              <w:top w:w="110" w:type="dxa"/>
              <w:start w:w="110" w:type="dxa"/>
              <w:bottom w:w="110" w:type="dxa"/>
              <w:end w:w="110" w:type="dxa"/>
            </w:tcMar>
          </w:tcPr>
          <w:p>
            <w:pPr>
              <w:spacing w:after="60"/>
            </w:pPr>
            <w:r/>
            <w:r>
              <w:rPr>
                <w:rFonts w:ascii="Arial" w:hAnsi="Arial" w:eastAsia="Nirmala UI" w:cs="Nirmala UI"/>
                <w:b/>
                <w:color w:val="154A5B"/>
                <w:sz w:val="20"/>
              </w:rPr>
              <w:t>Investor Fund - Company-level സ്ഥാനം</w:t>
            </w:r>
          </w:p>
          <w:p>
            <w:pPr>
              <w:spacing w:after="0" w:line="259" w:lineRule="auto"/>
            </w:pPr>
            <w:r>
              <w:rPr>
                <w:rFonts w:ascii="Arial" w:hAnsi="Arial" w:eastAsia="Nirmala UI" w:cs="Nirmala UI"/>
                <w:b w:val="0"/>
                <w:color w:val="142C38"/>
                <w:sz w:val="18"/>
              </w:rPr>
              <w:t>അംഗീകരിച്ച funding action ലഭ്യമായ Investor principal-നെ ബന്ധപ്പെട്ട Stock Vehicle-ന്റെ approved ചെലവിലേക്ക് വിനിയോഗിക്കുന്നു. Fund-ൽ ഇല്ലാത്ത തുക ചെലവാക്കരുത്. Garage Job മാത്രം Fund സ്വീകരിക്കുകയോ കുറയ്ക്കുകയോ ഇല്ല.</w:t>
            </w:r>
          </w:p>
        </w:tc>
        <w:tc>
          <w:tcPr>
            <w:tcW w:type="dxa" w:w="4709"/>
            <w:vAlign w:val="center"/>
            <w:shd w:fill="FFF8E8"/>
            <w:tcMar>
              <w:top w:w="110" w:type="dxa"/>
              <w:start w:w="110" w:type="dxa"/>
              <w:bottom w:w="110" w:type="dxa"/>
              <w:end w:w="110" w:type="dxa"/>
            </w:tcMar>
          </w:tcPr>
          <w:p>
            <w:pPr>
              <w:spacing w:after="60"/>
            </w:pPr>
            <w:r/>
            <w:r>
              <w:rPr>
                <w:rFonts w:ascii="Arial" w:hAnsi="Arial" w:eastAsia="Nirmala UI" w:cs="Nirmala UI"/>
                <w:b/>
                <w:color w:val="154A5B"/>
                <w:sz w:val="20"/>
              </w:rPr>
              <w:t>Actual Company Running Capital</w:t>
            </w:r>
          </w:p>
          <w:p>
            <w:pPr>
              <w:spacing w:after="0" w:line="259" w:lineRule="auto"/>
            </w:pPr>
            <w:r>
              <w:rPr>
                <w:rFonts w:ascii="Arial" w:hAnsi="Arial" w:eastAsia="Nirmala UI" w:cs="Nirmala UI"/>
                <w:b w:val="0"/>
                <w:color w:val="142C38"/>
                <w:sz w:val="18"/>
              </w:rPr>
              <w:t>Investor Fund പോരാത്ത approved Vehicle ചെലവിൽ Company യഥാർത്ഥത്തിൽ നൽകിയ ഭാഗം; Vehicle-നോട് വേർതിരിച്ച് ബന്ധിപ്പിക്കുന്നു.</w:t>
            </w:r>
          </w:p>
        </w:tc>
      </w:tr>
    </w:tbl>
    <w:p>
      <w:pPr>
        <w:spacing w:after="40"/>
      </w:pPr>
    </w:p>
    <w:tbl>
      <w:tblPr>
        <w:tblW w:type="auto" w:w="0"/>
        <w:tblLayout w:type="fixed"/>
        <w:tblLook w:firstColumn="1" w:firstRow="1" w:lastColumn="0" w:lastRow="0" w:noHBand="0" w:noVBand="1" w:val="04A0"/>
      </w:tblPr>
      <w:tblGrid>
        <w:gridCol w:w="2033"/>
        <w:gridCol w:w="2033"/>
        <w:gridCol w:w="2033"/>
        <w:gridCol w:w="2033"/>
        <w:gridCol w:w="2033"/>
      </w:tblGrid>
      <w:tr>
        <w:tc>
          <w:tcPr>
            <w:tcW w:type="dxa" w:w="2880"/>
            <w:vAlign w:val="center"/>
            <w:shd w:fill="EAF6F2"/>
            <w:tcMar>
              <w:top w:w="90" w:type="dxa"/>
              <w:start w:w="110" w:type="dxa"/>
              <w:bottom w:w="90" w:type="dxa"/>
              <w:end w:w="110" w:type="dxa"/>
            </w:tcMar>
          </w:tcPr>
          <w:p>
            <w:pPr>
              <w:spacing w:after="60"/>
            </w:pPr>
            <w:r/>
            <w:r>
              <w:rPr>
                <w:rFonts w:ascii="Arial" w:hAnsi="Arial" w:eastAsia="Nirmala UI" w:cs="Nirmala UI"/>
                <w:b/>
                <w:color w:val="154A5B"/>
                <w:sz w:val="19"/>
              </w:rPr>
              <w:t>ONE STOCK VEHICLE</w:t>
            </w:r>
          </w:p>
          <w:p>
            <w:pPr>
              <w:spacing w:after="0" w:line="259" w:lineRule="auto"/>
            </w:pPr>
            <w:r>
              <w:rPr>
                <w:rFonts w:ascii="Arial" w:hAnsi="Arial" w:eastAsia="Nirmala UI" w:cs="Nirmala UI"/>
                <w:b w:val="0"/>
                <w:color w:val="142C38"/>
                <w:sz w:val="17"/>
              </w:rPr>
              <w:t>Company-wide ഒരൊറ്റ identity; Branch മാറിയാലും പഴയ work/cost history തുടരും.</w:t>
            </w:r>
          </w:p>
        </w:tc>
        <w:tc>
          <w:tcPr>
            <w:tcW w:type="dxa" w:w="461"/>
          </w:tcPr>
          <w:p>
            <w:pPr>
              <w:jc w:val="center"/>
            </w:pPr>
            <w:r>
              <w:rPr>
                <w:rFonts w:ascii="Arial" w:hAnsi="Arial" w:eastAsia="Nirmala UI" w:cs="Nirmala UI"/>
                <w:b/>
                <w:color w:val="21827C"/>
                <w:sz w:val="26"/>
              </w:rPr>
              <w:t>→</w:t>
            </w:r>
          </w:p>
        </w:tc>
        <w:tc>
          <w:tcPr>
            <w:tcW w:type="dxa" w:w="2880"/>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VALID TOTAL COST</w:t>
            </w:r>
          </w:p>
          <w:p>
            <w:pPr>
              <w:spacing w:after="0" w:line="259" w:lineRule="auto"/>
            </w:pPr>
            <w:r>
              <w:rPr>
                <w:rFonts w:ascii="Arial" w:hAnsi="Arial" w:eastAsia="Nirmala UI" w:cs="Nirmala UI"/>
                <w:b w:val="0"/>
                <w:color w:val="142C38"/>
                <w:sz w:val="17"/>
              </w:rPr>
              <w:t>Purchase + approved work, parts, Labour/Job expenses. ഓരോ ചെലവും ഒരിക്കൽ മാത്രം.</w:t>
            </w:r>
          </w:p>
        </w:tc>
        <w:tc>
          <w:tcPr>
            <w:tcW w:type="dxa" w:w="461"/>
          </w:tcPr>
          <w:p>
            <w:pPr>
              <w:jc w:val="center"/>
            </w:pPr>
            <w:r>
              <w:rPr>
                <w:rFonts w:ascii="Arial" w:hAnsi="Arial" w:eastAsia="Nirmala UI" w:cs="Nirmala UI"/>
                <w:b/>
                <w:color w:val="21827C"/>
                <w:sz w:val="26"/>
              </w:rPr>
              <w:t>→</w:t>
            </w:r>
          </w:p>
        </w:tc>
        <w:tc>
          <w:tcPr>
            <w:tcW w:type="dxa" w:w="2880"/>
            <w:vAlign w:val="center"/>
            <w:shd w:fill="EDF6FA"/>
            <w:tcMar>
              <w:top w:w="90" w:type="dxa"/>
              <w:start w:w="110" w:type="dxa"/>
              <w:bottom w:w="90" w:type="dxa"/>
              <w:end w:w="110" w:type="dxa"/>
            </w:tcMar>
          </w:tcPr>
          <w:p>
            <w:pPr>
              <w:spacing w:after="60"/>
            </w:pPr>
            <w:r/>
            <w:r>
              <w:rPr>
                <w:rFonts w:ascii="Arial" w:hAnsi="Arial" w:eastAsia="Nirmala UI" w:cs="Nirmala UI"/>
                <w:b/>
                <w:color w:val="154A5B"/>
                <w:sz w:val="19"/>
              </w:rPr>
              <w:t>SALE</w:t>
            </w:r>
          </w:p>
          <w:p>
            <w:pPr>
              <w:spacing w:after="0" w:line="259" w:lineRule="auto"/>
            </w:pPr>
            <w:r>
              <w:rPr>
                <w:rFonts w:ascii="Arial" w:hAnsi="Arial" w:eastAsia="Nirmala UI" w:cs="Nirmala UI"/>
                <w:b w:val="0"/>
                <w:color w:val="142C38"/>
                <w:sz w:val="17"/>
              </w:rPr>
              <w:t>Agreed Sale Price; Sold status, Buyer collection status എന്നിവ വേറെ.</w:t>
            </w:r>
          </w:p>
        </w:tc>
      </w:tr>
    </w:tbl>
    <w:p>
      <w:pPr>
        <w:spacing w:after="40"/>
      </w:pPr>
    </w:p>
    <w:p>
      <w:pPr>
        <w:pStyle w:val="Heading2"/>
        <w:spacing w:before="160" w:after="80"/>
      </w:pPr>
      <w:r>
        <w:rPr>
          <w:rFonts w:ascii="Arial" w:hAnsi="Arial" w:eastAsia="Nirmala UI" w:cs="Nirmala UI"/>
          <w:b/>
          <w:color w:val="123342"/>
          <w:sz w:val="28"/>
        </w:rPr>
        <w:t>3. വിൽപ്പന തുകയും യഥാർത്ഥ ലഭ്യവും</w:t>
      </w:r>
    </w:p>
    <w:tbl>
      <w:tblPr>
        <w:tblW w:type="auto" w:w="0"/>
        <w:tblLayout w:type="fixed"/>
        <w:tblLook w:firstColumn="1" w:firstRow="1" w:lastColumn="0" w:lastRow="0" w:noHBand="0" w:noVBand="1" w:val="04A0"/>
      </w:tblPr>
      <w:tblGrid>
        <w:gridCol w:w="2033"/>
        <w:gridCol w:w="2033"/>
        <w:gridCol w:w="2033"/>
        <w:gridCol w:w="2033"/>
        <w:gridCol w:w="2033"/>
      </w:tblGrid>
      <w:tr>
        <w:tc>
          <w:tcPr>
            <w:tcW w:type="dxa" w:w="2880"/>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Agreed Sale</w:t>
            </w:r>
          </w:p>
          <w:p>
            <w:pPr>
              <w:spacing w:after="0" w:line="259" w:lineRule="auto"/>
            </w:pPr>
            <w:r>
              <w:rPr>
                <w:rFonts w:ascii="Arial" w:hAnsi="Arial" w:eastAsia="Nirmala UI" w:cs="Nirmala UI"/>
                <w:b w:val="0"/>
                <w:color w:val="142C38"/>
                <w:sz w:val="17"/>
              </w:rPr>
              <w:t>വില/Buyer ബാധ്യത</w:t>
            </w:r>
          </w:p>
        </w:tc>
        <w:tc>
          <w:tcPr>
            <w:tcW w:type="dxa" w:w="461"/>
          </w:tcPr>
          <w:p>
            <w:pPr>
              <w:jc w:val="center"/>
            </w:pPr>
            <w:r>
              <w:rPr>
                <w:rFonts w:ascii="Arial" w:hAnsi="Arial" w:eastAsia="Nirmala UI" w:cs="Nirmala UI"/>
                <w:b/>
                <w:color w:val="21827C"/>
                <w:sz w:val="26"/>
              </w:rPr>
              <w:t>→</w:t>
            </w:r>
          </w:p>
        </w:tc>
        <w:tc>
          <w:tcPr>
            <w:tcW w:type="dxa" w:w="2880"/>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Actual Buyer Payments</w:t>
            </w:r>
          </w:p>
          <w:p>
            <w:pPr>
              <w:spacing w:after="0" w:line="259" w:lineRule="auto"/>
            </w:pPr>
            <w:r>
              <w:rPr>
                <w:rFonts w:ascii="Arial" w:hAnsi="Arial" w:eastAsia="Nirmala UI" w:cs="Nirmala UI"/>
                <w:b w:val="0"/>
                <w:color w:val="142C38"/>
                <w:sz w:val="17"/>
              </w:rPr>
              <w:t>ലഭിച്ച ഓരോ payment-ും പ്രത്യേക സംഭവം</w:t>
            </w:r>
          </w:p>
        </w:tc>
        <w:tc>
          <w:tcPr>
            <w:tcW w:type="dxa" w:w="461"/>
          </w:tcPr>
          <w:p>
            <w:pPr>
              <w:jc w:val="center"/>
            </w:pPr>
            <w:r>
              <w:rPr>
                <w:rFonts w:ascii="Arial" w:hAnsi="Arial" w:eastAsia="Nirmala UI" w:cs="Nirmala UI"/>
                <w:b/>
                <w:color w:val="21827C"/>
                <w:sz w:val="26"/>
              </w:rPr>
              <w:t>→</w:t>
            </w:r>
          </w:p>
        </w:tc>
        <w:tc>
          <w:tcPr>
            <w:tcW w:type="dxa" w:w="2880"/>
            <w:vAlign w:val="center"/>
            <w:shd w:fill="FFF8E8"/>
            <w:tcMar>
              <w:top w:w="90" w:type="dxa"/>
              <w:start w:w="110" w:type="dxa"/>
              <w:bottom w:w="90" w:type="dxa"/>
              <w:end w:w="110" w:type="dxa"/>
            </w:tcMar>
          </w:tcPr>
          <w:p>
            <w:pPr>
              <w:spacing w:after="60"/>
            </w:pPr>
            <w:r/>
            <w:r>
              <w:rPr>
                <w:rFonts w:ascii="Arial" w:hAnsi="Arial" w:eastAsia="Nirmala UI" w:cs="Nirmala UI"/>
                <w:b/>
                <w:color w:val="154A5B"/>
                <w:sz w:val="19"/>
              </w:rPr>
              <w:t>Receivable / Refund</w:t>
            </w:r>
          </w:p>
          <w:p>
            <w:pPr>
              <w:spacing w:after="0" w:line="259" w:lineRule="auto"/>
            </w:pPr>
            <w:r>
              <w:rPr>
                <w:rFonts w:ascii="Arial" w:hAnsi="Arial" w:eastAsia="Nirmala UI" w:cs="Nirmala UI"/>
                <w:b w:val="0"/>
                <w:color w:val="142C38"/>
                <w:sz w:val="17"/>
              </w:rPr>
              <w:t>ബാക്കി ലഭിക്കാനുള്ളതും തിരികെ നൽകാനുള്ളതും വേർതിരിച്ച്</w:t>
            </w:r>
          </w:p>
        </w:tc>
      </w:tr>
    </w:tbl>
    <w:p>
      <w:pPr>
        <w:spacing w:after="40"/>
      </w:pPr>
    </w:p>
    <w:p>
      <w:pPr>
        <w:spacing w:after="100" w:line="259" w:lineRule="auto"/>
      </w:pPr>
      <w:r>
        <w:rPr>
          <w:rFonts w:ascii="Arial" w:hAnsi="Arial" w:eastAsia="Nirmala UI" w:cs="Nirmala UI"/>
          <w:b w:val="0"/>
          <w:color w:val="5A717D"/>
          <w:sz w:val="17"/>
        </w:rPr>
        <w:t>പുതിയ Buyer payment നിലവിലെ receivable-നെ കവിയരുത്; actual refund നിലവിലെ refund payable-നെ കവിയരുത്. തിരുത്തലുണ്ടെങ്കിൽ original payment history നിലനിൽക്കും.</w:t>
      </w:r>
    </w:p>
    <w:tbl>
      <w:tblPr>
        <w:tblW w:type="auto" w:w="0"/>
        <w:tblLayout w:type="fixed"/>
        <w:tblLook w:firstColumn="1" w:firstRow="1" w:lastColumn="0" w:lastRow="0" w:noHBand="0" w:noVBand="1" w:val="04A0"/>
      </w:tblPr>
      <w:tblGrid>
        <w:gridCol w:w="10166"/>
      </w:tblGrid>
      <w:tr>
        <w:tc>
          <w:tcPr>
            <w:tcW w:type="dxa" w:w="10166"/>
            <w:vAlign w:val="center"/>
            <w:shd w:fill="FFF8E9"/>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Final Vehicle settlement gate: agreed Sale മുഴുവൻ Buyer-ൽ നിന്ന് ലഭിക്കുകയും ബാധകമായ refund തീർപ്പാകുകയും വേണം. Sale confirmation, partial collection, കണക്കിലെ ലാഭം എന്നിവ മാത്രം final settlement അല്ല.</w:t>
            </w:r>
          </w:p>
        </w:tc>
      </w:tr>
    </w:tbl>
    <w:p>
      <w:pPr>
        <w:spacing w:after="40"/>
      </w:pPr>
    </w:p>
    <w:p>
      <w:pPr>
        <w:pStyle w:val="Heading2"/>
        <w:spacing w:before="160" w:after="80"/>
      </w:pPr>
      <w:r>
        <w:rPr>
          <w:rFonts w:ascii="Arial" w:hAnsi="Arial" w:eastAsia="Nirmala UI" w:cs="Nirmala UI"/>
          <w:b/>
          <w:color w:val="123342"/>
          <w:sz w:val="28"/>
        </w:rPr>
        <w:t>4. സാധാരണ positive result-ന്റെ ക്രമം</w:t>
      </w:r>
    </w:p>
    <w:tbl>
      <w:tblPr>
        <w:tblW w:type="auto" w:w="0"/>
        <w:tblLayout w:type="fixed"/>
        <w:tblLook w:firstColumn="1" w:firstRow="1" w:lastColumn="0" w:lastRow="0" w:noHBand="0" w:noVBand="1" w:val="04A0"/>
      </w:tblPr>
      <w:tblGrid>
        <w:gridCol w:w="2541"/>
        <w:gridCol w:w="2541"/>
        <w:gridCol w:w="2541"/>
        <w:gridCol w:w="2541"/>
      </w:tblGrid>
      <w:tr>
        <w:tc>
          <w:tcPr>
            <w:tcW w:type="dxa" w:w="2275"/>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Investor principal</w:t>
            </w:r>
          </w:p>
          <w:p>
            <w:pPr>
              <w:spacing w:after="0" w:line="259" w:lineRule="auto"/>
            </w:pPr>
            <w:r>
              <w:rPr>
                <w:rFonts w:ascii="Arial" w:hAnsi="Arial" w:eastAsia="Nirmala UI" w:cs="Nirmala UI"/>
                <w:b w:val="0"/>
                <w:color w:val="142C38"/>
                <w:sz w:val="17"/>
              </w:rPr>
              <w:t>യഥാർത്ഥ collection-നോട് ബന്ധപ്പെടുത്തി outstanding principal reconcile ചെയ്യുക.</w:t>
            </w:r>
          </w:p>
        </w:tc>
        <w:tc>
          <w:tcPr>
            <w:tcW w:type="dxa" w:w="2275"/>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Company capital</w:t>
            </w:r>
          </w:p>
          <w:p>
            <w:pPr>
              <w:spacing w:after="0" w:line="259" w:lineRule="auto"/>
            </w:pPr>
            <w:r>
              <w:rPr>
                <w:rFonts w:ascii="Arial" w:hAnsi="Arial" w:eastAsia="Nirmala UI" w:cs="Nirmala UI"/>
                <w:b w:val="0"/>
                <w:color w:val="142C38"/>
                <w:sz w:val="17"/>
              </w:rPr>
              <w:t>Company Running Capital നൽകിയിട്ടുണ്ടെങ്കിൽ അതിന്റെ യഥാർത്ഥ recovery capital ആയി മാത്രം.</w:t>
            </w:r>
          </w:p>
        </w:tc>
        <w:tc>
          <w:tcPr>
            <w:tcW w:type="dxa" w:w="2275"/>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Positive result</w:t>
            </w:r>
          </w:p>
          <w:p>
            <w:pPr>
              <w:spacing w:after="0" w:line="259" w:lineRule="auto"/>
            </w:pPr>
            <w:r>
              <w:rPr>
                <w:rFonts w:ascii="Arial" w:hAnsi="Arial" w:eastAsia="Nirmala UI" w:cs="Nirmala UI"/>
                <w:b w:val="0"/>
                <w:color w:val="142C38"/>
                <w:sz w:val="17"/>
              </w:rPr>
              <w:t>ശേഷിക്കുന്ന approved positive സാമ്പത്തിക ഫലം നിശ്ചയിക്കുക.</w:t>
            </w:r>
          </w:p>
        </w:tc>
        <w:tc>
          <w:tcPr>
            <w:tcW w:type="dxa" w:w="2275"/>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Shares</w:t>
            </w:r>
          </w:p>
          <w:p>
            <w:pPr>
              <w:spacing w:after="0" w:line="259" w:lineRule="auto"/>
            </w:pPr>
            <w:r>
              <w:rPr>
                <w:rFonts w:ascii="Arial" w:hAnsi="Arial" w:eastAsia="Nirmala UI" w:cs="Nirmala UI"/>
                <w:b w:val="0"/>
                <w:color w:val="142C38"/>
                <w:sz w:val="17"/>
              </w:rPr>
              <w:t>Effective agreement പ്രകാരം Investor Share; ശേഷിക്കുന്നത് Company Share.</w:t>
            </w:r>
          </w:p>
        </w:tc>
      </w:tr>
    </w:tbl>
    <w:p>
      <w:pPr>
        <w:spacing w:after="40"/>
      </w:pPr>
    </w:p>
    <w:tbl>
      <w:tblPr>
        <w:tblW w:type="auto" w:w="0"/>
        <w:tblLayout w:type="fixed"/>
        <w:tblLook w:firstColumn="1" w:firstRow="1" w:lastColumn="0" w:lastRow="0" w:noHBand="0" w:noVBand="1" w:val="04A0"/>
      </w:tblPr>
      <w:tblGrid>
        <w:gridCol w:w="3389"/>
        <w:gridCol w:w="3389"/>
        <w:gridCol w:w="3389"/>
      </w:tblGrid>
      <w:tr>
        <w:tc>
          <w:tcPr>
            <w:tcW w:type="dxa" w:w="3096"/>
            <w:vAlign w:val="center"/>
            <w:shd w:fill="EDF6FA"/>
            <w:tcMar>
              <w:top w:w="90" w:type="dxa"/>
              <w:start w:w="110" w:type="dxa"/>
              <w:bottom w:w="90" w:type="dxa"/>
              <w:end w:w="110" w:type="dxa"/>
            </w:tcMar>
          </w:tcPr>
          <w:p>
            <w:pPr>
              <w:spacing w:after="60"/>
            </w:pPr>
            <w:r/>
            <w:r>
              <w:rPr>
                <w:rFonts w:ascii="Arial" w:hAnsi="Arial" w:eastAsia="Nirmala UI" w:cs="Nirmala UI"/>
                <w:b/>
                <w:color w:val="154A5B"/>
                <w:sz w:val="19"/>
              </w:rPr>
              <w:t>INVESTOR SHARE</w:t>
            </w:r>
          </w:p>
          <w:p>
            <w:pPr>
              <w:spacing w:after="0" w:line="259" w:lineRule="auto"/>
            </w:pPr>
            <w:r>
              <w:rPr>
                <w:rFonts w:ascii="Arial" w:hAnsi="Arial" w:eastAsia="Nirmala UI" w:cs="Nirmala UI"/>
                <w:b w:val="0"/>
                <w:color w:val="142C38"/>
                <w:sz w:val="17"/>
              </w:rPr>
              <w:t>Investor-ന്റെ eligible Profit position; actual payment പ്രത്യേകം സ്ഥിരീകരിക്കുന്നു.</w:t>
            </w:r>
          </w:p>
        </w:tc>
        <w:tc>
          <w:tcPr>
            <w:tcW w:type="dxa" w:w="461"/>
          </w:tcPr>
          <w:p>
            <w:pPr>
              <w:jc w:val="center"/>
            </w:pPr>
            <w:r>
              <w:rPr>
                <w:rFonts w:ascii="Arial" w:hAnsi="Arial" w:eastAsia="Nirmala UI" w:cs="Nirmala UI"/>
                <w:b/>
                <w:color w:val="21827C"/>
                <w:sz w:val="26"/>
              </w:rPr>
              <w:t>+</w:t>
            </w:r>
          </w:p>
        </w:tc>
        <w:tc>
          <w:tcPr>
            <w:tcW w:type="dxa" w:w="3096"/>
            <w:vAlign w:val="center"/>
            <w:shd w:fill="EAF6F2"/>
            <w:tcMar>
              <w:top w:w="90" w:type="dxa"/>
              <w:start w:w="110" w:type="dxa"/>
              <w:bottom w:w="90" w:type="dxa"/>
              <w:end w:w="110" w:type="dxa"/>
            </w:tcMar>
          </w:tcPr>
          <w:p>
            <w:pPr>
              <w:spacing w:after="60"/>
            </w:pPr>
            <w:r/>
            <w:r>
              <w:rPr>
                <w:rFonts w:ascii="Arial" w:hAnsi="Arial" w:eastAsia="Nirmala UI" w:cs="Nirmala UI"/>
                <w:b/>
                <w:color w:val="154A5B"/>
                <w:sz w:val="19"/>
              </w:rPr>
              <w:t>COMPANY SHARE</w:t>
            </w:r>
          </w:p>
          <w:p>
            <w:pPr>
              <w:spacing w:after="0" w:line="259" w:lineRule="auto"/>
            </w:pPr>
            <w:r>
              <w:rPr>
                <w:rFonts w:ascii="Arial" w:hAnsi="Arial" w:eastAsia="Nirmala UI" w:cs="Nirmala UI"/>
                <w:b w:val="0"/>
                <w:color w:val="142C38"/>
                <w:sz w:val="17"/>
              </w:rPr>
              <w:t>Vehicle result-ിലെ Company-യുടെ വിഹിതം source ബന്ധത്തോടെ Company Accounting-ലേക്ക്; നേരിട്ട് Owner payout അല്ല.</w:t>
            </w:r>
          </w:p>
        </w:tc>
      </w:tr>
    </w:tbl>
    <w:p>
      <w:pPr>
        <w:spacing w:after="40"/>
      </w:pPr>
    </w:p>
    <w:p>
      <w:pPr>
        <w:spacing w:after="100" w:line="259" w:lineRule="auto"/>
      </w:pPr>
      <w:r>
        <w:rPr>
          <w:rFonts w:ascii="Arial" w:hAnsi="Arial" w:eastAsia="Nirmala UI" w:cs="Nirmala UI"/>
          <w:b w:val="0"/>
          <w:color w:val="5A717D"/>
          <w:sz w:val="17"/>
        </w:rPr>
        <w:t>Investor positive-share ശതമാനം effective agreement അനുസരിച്ച് മാറും. രേഖകളിൽ 33% നിലവിലെ standard configuration ആയി വരാം; നിർബന്ധിത hard-coded നിരക്ക് അല്ല. Capital recovery വീണ്ടും income/profit ആയി എണ്ണുന്നില്ല.</w:t>
      </w:r>
    </w:p>
    <w:p>
      <w:pPr>
        <w:spacing w:after="100" w:line="259" w:lineRule="auto"/>
      </w:pPr>
      <w:r>
        <w:rPr>
          <w:rFonts w:ascii="Arial" w:hAnsi="Arial" w:eastAsia="Nirmala UI" w:cs="Nirmala UI"/>
          <w:b w:val="0"/>
          <w:color w:val="647A84"/>
          <w:sz w:val="16"/>
        </w:rPr>
        <w:t>Source: V2 01 §§ Vehicle; Investor Fund · V2 05 §§ 1-3 · V2 09 § Positive Vehicle Company Share</w:t>
      </w:r>
    </w:p>
    <w:p>
      <w:pPr>
        <w:pStyle w:val="Heading1"/>
        <w:spacing w:after="100" w:line="259" w:lineRule="auto"/>
      </w:pPr>
      <w:r>
        <w:rPr>
          <w:rFonts w:ascii="Arial" w:hAnsi="Arial" w:eastAsia="Nirmala UI" w:cs="Nirmala UI"/>
          <w:b/>
          <w:color w:val="123342"/>
          <w:sz w:val="34"/>
        </w:rPr>
        <w:t>Garage, Company Result, Owner Distribution</w:t>
      </w:r>
    </w:p>
    <w:p>
      <w:pPr>
        <w:pStyle w:val="Heading2"/>
        <w:spacing w:before="160" w:after="80"/>
      </w:pPr>
      <w:r>
        <w:rPr>
          <w:rFonts w:ascii="Arial" w:hAnsi="Arial" w:eastAsia="Nirmala UI" w:cs="Nirmala UI"/>
          <w:b/>
          <w:color w:val="123342"/>
          <w:sz w:val="28"/>
        </w:rPr>
        <w:t>5. Garage-ന്റെ രണ്ട് സാമ്പത്തിക വഴികൾ</w:t>
      </w:r>
    </w:p>
    <w:tbl>
      <w:tblPr>
        <w:tblW w:type="auto" w:w="0"/>
        <w:tblLayout w:type="fixed"/>
        <w:tblLook w:firstColumn="1" w:firstRow="1" w:lastColumn="0" w:lastRow="0" w:noHBand="0" w:noVBand="1" w:val="04A0"/>
      </w:tblPr>
      <w:tblGrid>
        <w:gridCol w:w="10166"/>
      </w:tblGrid>
      <w:tr>
        <w:tc>
          <w:tcPr>
            <w:tcW w:type="dxa" w:w="10166"/>
            <w:vAlign w:val="center"/>
            <w:shd w:fill="EAF2F4"/>
            <w:tcMar>
              <w:top w:w="90" w:type="dxa"/>
              <w:start w:w="110" w:type="dxa"/>
              <w:bottom w:w="90" w:type="dxa"/>
              <w:end w:w="110" w:type="dxa"/>
            </w:tcMar>
          </w:tcPr>
          <w:p>
            <w:pPr>
              <w:spacing w:after="0"/>
            </w:pPr>
            <w:r/>
            <w:r>
              <w:rPr>
                <w:rFonts w:ascii="Arial" w:hAnsi="Arial" w:eastAsia="Nirmala UI" w:cs="Nirmala UI"/>
                <w:b/>
                <w:color w:val="154A5B"/>
                <w:sz w:val="19"/>
              </w:rPr>
              <w:t>A · Funded Stock Vehicle work</w:t>
            </w:r>
          </w:p>
        </w:tc>
      </w:tr>
      <w:tr>
        <w:tc>
          <w:tcPr>
            <w:tcW w:type="dxa" w:w="10166"/>
            <w:vAlign w:val="center"/>
            <w:shd w:fill="FFFFFF"/>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Investor Fund → ബന്ധപ്പെട്ട Stock Vehicle-നും approved Vehicle ചെലവിനും പ്രത്യേകമായി അംഗീകരിച്ച funding action. വേറിട്ട്: Stock Vehicle → Branch Garage Job → ജോലിയുടെയും ചെലവിന്റെയും രേഖ ഒരിക്കൽ മാത്രം → Vehicle result. Investor Fund Garage വഴി പോകുകയോ Garage-യുടേതാകുകയോ ഇല്ല; Job രേഖ മാത്രം Fund കുറയ്ക്കില്ല.</w:t>
            </w:r>
          </w:p>
        </w:tc>
      </w:tr>
    </w:tbl>
    <w:p>
      <w:pPr>
        <w:spacing w:after="20"/>
      </w:pPr>
    </w:p>
    <w:tbl>
      <w:tblPr>
        <w:tblW w:type="auto" w:w="0"/>
        <w:tblLayout w:type="fixed"/>
        <w:tblLook w:firstColumn="1" w:firstRow="1" w:lastColumn="0" w:lastRow="0" w:noHBand="0" w:noVBand="1" w:val="04A0"/>
      </w:tblPr>
      <w:tblGrid>
        <w:gridCol w:w="10166"/>
      </w:tblGrid>
      <w:tr>
        <w:tc>
          <w:tcPr>
            <w:tcW w:type="dxa" w:w="10166"/>
            <w:vAlign w:val="center"/>
            <w:shd w:fill="EAF2F4"/>
            <w:tcMar>
              <w:top w:w="90" w:type="dxa"/>
              <w:start w:w="110" w:type="dxa"/>
              <w:bottom w:w="90" w:type="dxa"/>
              <w:end w:w="110" w:type="dxa"/>
            </w:tcMar>
          </w:tcPr>
          <w:p>
            <w:pPr>
              <w:spacing w:after="0"/>
            </w:pPr>
            <w:r/>
            <w:r>
              <w:rPr>
                <w:rFonts w:ascii="Arial" w:hAnsi="Arial" w:eastAsia="Nirmala UI" w:cs="Nirmala UI"/>
                <w:b/>
                <w:color w:val="154A5B"/>
                <w:sz w:val="19"/>
              </w:rPr>
              <w:t>B · External Customer Garage work</w:t>
            </w:r>
          </w:p>
        </w:tc>
      </w:tr>
      <w:tr>
        <w:tc>
          <w:tcPr>
            <w:tcW w:type="dxa" w:w="10166"/>
            <w:vAlign w:val="center"/>
            <w:shd w:fill="FFFFFF"/>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Customer Vehicle → Job/charge → actual receipt + remaining receivable → Garage Revenue → Company Accounting. ഈ Vehicle-ന് Investor ആവശ്യമില്ല; Investment module OFF ആയിരിക്കുമ്പോഴും Garage പ്രവർത്തിക്കണം.</w:t>
            </w:r>
          </w:p>
        </w:tc>
      </w:tr>
    </w:tbl>
    <w:p>
      <w:pPr>
        <w:spacing w:after="20"/>
      </w:pPr>
    </w:p>
    <w:p>
      <w:pPr>
        <w:spacing w:after="100" w:line="259" w:lineRule="auto"/>
      </w:pPr>
      <w:r>
        <w:rPr>
          <w:rFonts w:ascii="Arial" w:hAnsi="Arial" w:eastAsia="Nirmala UI" w:cs="Nirmala UI"/>
          <w:b w:val="0"/>
          <w:color w:val="5A717D"/>
          <w:sz w:val="17"/>
        </w:rPr>
        <w:t>Vehicle-ന് ബാധകമായ Labour cost-ും worker-ന് നൽകിയ manual Labour Payment-ും രണ്ടുവേറെ സംഭവങ്ങളാണ്.</w:t>
      </w:r>
    </w:p>
    <w:p>
      <w:pPr>
        <w:pStyle w:val="Heading2"/>
        <w:spacing w:before="160" w:after="80"/>
      </w:pPr>
      <w:r>
        <w:rPr>
          <w:rFonts w:ascii="Arial" w:hAnsi="Arial" w:eastAsia="Nirmala UI" w:cs="Nirmala UI"/>
          <w:b/>
          <w:color w:val="123342"/>
          <w:sz w:val="28"/>
        </w:rPr>
        <w:t>6. Company-യുടെ consolidated കണക്ക്</w:t>
      </w:r>
    </w:p>
    <w:tbl>
      <w:tblPr>
        <w:tblW w:type="auto" w:w="0"/>
        <w:tblLook w:firstColumn="1" w:firstRow="1" w:lastColumn="0" w:lastRow="0" w:noHBand="0" w:noVBand="1" w:val="04A0"/>
      </w:tblPr>
      <w:tblGrid>
        <w:gridCol w:w="10166"/>
      </w:tblGrid>
      <w:tr>
        <w:tc>
          <w:tcPr>
            <w:tcW w:type="dxa" w:w="10166"/>
            <w:vAlign w:val="center"/>
            <w:shd w:fill="ECF5F6"/>
            <w:tcMar>
              <w:top w:w="110" w:type="dxa"/>
              <w:start w:w="110" w:type="dxa"/>
              <w:bottom w:w="110" w:type="dxa"/>
              <w:end w:w="110" w:type="dxa"/>
            </w:tcMar>
          </w:tcPr>
          <w:p>
            <w:pPr>
              <w:spacing w:after="0"/>
              <w:jc w:val="center"/>
            </w:pPr>
            <w:r>
              <w:rPr>
                <w:rFonts w:ascii="Arial" w:hAnsi="Arial" w:eastAsia="Nirmala UI" w:cs="Nirmala UI"/>
                <w:b/>
                <w:color w:val="104F5A"/>
                <w:sz w:val="20"/>
              </w:rPr>
            </w:r>
          </w:p>
          <w:p>
            <w:pPr>
              <w:spacing w:after="0" w:line="259" w:lineRule="auto"/>
              <w:jc w:val="center"/>
            </w:pPr>
            <w:r>
              <w:rPr>
                <w:rFonts w:ascii="Arial" w:hAnsi="Arial" w:eastAsia="Nirmala UI" w:cs="Nirmala UI"/>
                <w:b/>
                <w:color w:val="104F5A"/>
                <w:sz w:val="20"/>
              </w:rPr>
              <w:t>Vehicle Company Share + Garage Revenue + Other Company Income - Company Expenses= Company Profit / Loss (conceptual result)</w:t>
            </w:r>
          </w:p>
        </w:tc>
      </w:tr>
    </w:tbl>
    <w:p>
      <w:pPr>
        <w:spacing w:after="40"/>
      </w:pPr>
    </w:p>
    <w:p>
      <w:pPr>
        <w:spacing w:after="100" w:line="259" w:lineRule="auto"/>
      </w:pPr>
      <w:r>
        <w:rPr>
          <w:rFonts w:ascii="Arial" w:hAnsi="Arial" w:eastAsia="Nirmala UI" w:cs="Nirmala UI"/>
          <w:b w:val="0"/>
          <w:color w:val="142C38"/>
          <w:sz w:val="18"/>
        </w:rPr>
        <w:t>Company-ക്കായി ഒരൊറ്റ accounting boundary. Branch ചെലവ്/receipt-ന് സ്വന്തം source attribution നിലനിൽക്കും; Company result എല്ലാ Branch-കളും ചേർത്ത് കാണിക്കും. ഒരേ receipt അല്ലെങ്കിൽ cost Investment, Garage, Accounting കാഴ്ചകളിൽ വന്നാലും സാമ്പത്തിക ഫലം ഒരിക്കൽ മാത്രം.</w:t>
      </w:r>
    </w:p>
    <w:p>
      <w:pPr>
        <w:pStyle w:val="Heading2"/>
        <w:spacing w:before="160" w:after="80"/>
      </w:pPr>
      <w:r>
        <w:rPr>
          <w:rFonts w:ascii="Arial" w:hAnsi="Arial" w:eastAsia="Nirmala UI" w:cs="Nirmala UI"/>
          <w:b/>
          <w:color w:val="123342"/>
          <w:sz w:val="28"/>
        </w:rPr>
        <w:t>7. Owner-ലേക്ക് എത്തുന്ന വഴി</w:t>
      </w:r>
    </w:p>
    <w:tbl>
      <w:tblPr>
        <w:tblW w:type="auto" w:w="0"/>
        <w:tblLayout w:type="fixed"/>
        <w:tblLook w:firstColumn="1" w:firstRow="1" w:lastColumn="0" w:lastRow="0" w:noHBand="0" w:noVBand="1" w:val="04A0"/>
      </w:tblPr>
      <w:tblGrid>
        <w:gridCol w:w="2033"/>
        <w:gridCol w:w="2033"/>
        <w:gridCol w:w="2033"/>
        <w:gridCol w:w="2033"/>
        <w:gridCol w:w="2033"/>
      </w:tblGrid>
      <w:tr>
        <w:tc>
          <w:tcPr>
            <w:tcW w:type="dxa" w:w="2880"/>
            <w:vAlign w:val="center"/>
            <w:shd w:fill="F8FBFB"/>
            <w:tcMar>
              <w:top w:w="90" w:type="dxa"/>
              <w:start w:w="110" w:type="dxa"/>
              <w:bottom w:w="90" w:type="dxa"/>
              <w:end w:w="110" w:type="dxa"/>
            </w:tcMar>
          </w:tcPr>
          <w:p>
            <w:pPr>
              <w:spacing w:after="60"/>
            </w:pPr>
            <w:r/>
            <w:r>
              <w:rPr>
                <w:rFonts w:ascii="Arial" w:hAnsi="Arial" w:eastAsia="Nirmala UI" w:cs="Nirmala UI"/>
                <w:b/>
                <w:color w:val="154A5B"/>
                <w:sz w:val="19"/>
              </w:rPr>
              <w:t>Company result</w:t>
            </w:r>
          </w:p>
          <w:p>
            <w:pPr>
              <w:spacing w:after="0" w:line="259" w:lineRule="auto"/>
            </w:pPr>
            <w:r>
              <w:rPr>
                <w:rFonts w:ascii="Arial" w:hAnsi="Arial" w:eastAsia="Nirmala UI" w:cs="Nirmala UI"/>
                <w:b w:val="0"/>
                <w:color w:val="142C38"/>
                <w:sz w:val="17"/>
              </w:rPr>
              <w:t>മുകളിലെ source കണക്ക്</w:t>
            </w:r>
          </w:p>
        </w:tc>
        <w:tc>
          <w:tcPr>
            <w:tcW w:type="dxa" w:w="461"/>
          </w:tcPr>
          <w:p>
            <w:pPr>
              <w:jc w:val="center"/>
            </w:pPr>
            <w:r>
              <w:rPr>
                <w:rFonts w:ascii="Arial" w:hAnsi="Arial" w:eastAsia="Nirmala UI" w:cs="Nirmala UI"/>
                <w:b/>
                <w:color w:val="21827C"/>
                <w:sz w:val="26"/>
              </w:rPr>
              <w:t>→</w:t>
            </w:r>
          </w:p>
        </w:tc>
        <w:tc>
          <w:tcPr>
            <w:tcW w:type="dxa" w:w="2880"/>
            <w:vAlign w:val="center"/>
            <w:shd w:fill="FFF8E8"/>
            <w:tcMar>
              <w:top w:w="90" w:type="dxa"/>
              <w:start w:w="110" w:type="dxa"/>
              <w:bottom w:w="90" w:type="dxa"/>
              <w:end w:w="110" w:type="dxa"/>
            </w:tcMar>
          </w:tcPr>
          <w:p>
            <w:pPr>
              <w:spacing w:after="60"/>
            </w:pPr>
            <w:r/>
            <w:r>
              <w:rPr>
                <w:rFonts w:ascii="Arial" w:hAnsi="Arial" w:eastAsia="Nirmala UI" w:cs="Nirmala UI"/>
                <w:b/>
                <w:color w:val="154A5B"/>
                <w:sz w:val="19"/>
              </w:rPr>
              <w:t>Confirmed distributable Profit</w:t>
            </w:r>
          </w:p>
          <w:p>
            <w:pPr>
              <w:spacing w:after="0" w:line="259" w:lineRule="auto"/>
            </w:pPr>
            <w:r>
              <w:rPr>
                <w:rFonts w:ascii="Arial" w:hAnsi="Arial" w:eastAsia="Nirmala UI" w:cs="Nirmala UI"/>
                <w:b w:val="0"/>
                <w:color w:val="142C38"/>
                <w:sz w:val="17"/>
              </w:rPr>
              <w:t>കൃത്യമായ basis/period close ഇനിയും തീരുമാനിക്കണം</w:t>
            </w:r>
          </w:p>
        </w:tc>
        <w:tc>
          <w:tcPr>
            <w:tcW w:type="dxa" w:w="461"/>
          </w:tcPr>
          <w:p>
            <w:pPr>
              <w:jc w:val="center"/>
            </w:pPr>
            <w:r>
              <w:rPr>
                <w:rFonts w:ascii="Arial" w:hAnsi="Arial" w:eastAsia="Nirmala UI" w:cs="Nirmala UI"/>
                <w:b/>
                <w:color w:val="21827C"/>
                <w:sz w:val="26"/>
              </w:rPr>
              <w:t>→</w:t>
            </w:r>
          </w:p>
        </w:tc>
        <w:tc>
          <w:tcPr>
            <w:tcW w:type="dxa" w:w="2880"/>
            <w:vAlign w:val="center"/>
            <w:shd w:fill="EAF6F2"/>
            <w:tcMar>
              <w:top w:w="90" w:type="dxa"/>
              <w:start w:w="110" w:type="dxa"/>
              <w:bottom w:w="90" w:type="dxa"/>
              <w:end w:w="110" w:type="dxa"/>
            </w:tcMar>
          </w:tcPr>
          <w:p>
            <w:pPr>
              <w:spacing w:after="60"/>
            </w:pPr>
            <w:r/>
            <w:r>
              <w:rPr>
                <w:rFonts w:ascii="Arial" w:hAnsi="Arial" w:eastAsia="Nirmala UI" w:cs="Nirmala UI"/>
                <w:b/>
                <w:color w:val="154A5B"/>
                <w:sz w:val="19"/>
              </w:rPr>
              <w:t>Owner Distribution</w:t>
            </w:r>
          </w:p>
          <w:p>
            <w:pPr>
              <w:spacing w:after="0" w:line="259" w:lineRule="auto"/>
            </w:pPr>
            <w:r>
              <w:rPr>
                <w:rFonts w:ascii="Arial" w:hAnsi="Arial" w:eastAsia="Nirmala UI" w:cs="Nirmala UI"/>
                <w:b w:val="0"/>
                <w:color w:val="142C38"/>
                <w:sz w:val="17"/>
              </w:rPr>
              <w:t>Company-level; Half-yearly അല്ലെങ്കിൽ Annual</w:t>
            </w:r>
          </w:p>
        </w:tc>
      </w:tr>
    </w:tbl>
    <w:p>
      <w:pPr>
        <w:spacing w:after="40"/>
      </w:pPr>
    </w:p>
    <w:tbl>
      <w:tblPr>
        <w:tblW w:type="auto" w:w="0"/>
        <w:tblLayout w:type="fixed"/>
        <w:tblLook w:firstColumn="1" w:firstRow="1" w:lastColumn="0" w:lastRow="0" w:noHBand="0" w:noVBand="1" w:val="04A0"/>
      </w:tblPr>
      <w:tblGrid>
        <w:gridCol w:w="5083"/>
        <w:gridCol w:w="5083"/>
      </w:tblGrid>
      <w:tr>
        <w:tc>
          <w:tcPr>
            <w:tcW w:type="dxa" w:w="4709"/>
            <w:vAlign w:val="center"/>
            <w:shd w:fill="EDF6FA"/>
            <w:tcMar>
              <w:top w:w="110" w:type="dxa"/>
              <w:start w:w="110" w:type="dxa"/>
              <w:bottom w:w="110" w:type="dxa"/>
              <w:end w:w="110" w:type="dxa"/>
            </w:tcMar>
          </w:tcPr>
          <w:p>
            <w:pPr>
              <w:spacing w:after="60"/>
            </w:pPr>
            <w:r/>
            <w:r>
              <w:rPr>
                <w:rFonts w:ascii="Arial" w:hAnsi="Arial" w:eastAsia="Nirmala UI" w:cs="Nirmala UI"/>
                <w:b/>
                <w:color w:val="154A5B"/>
                <w:sz w:val="20"/>
              </w:rPr>
              <w:t>Configured recipients</w:t>
            </w:r>
          </w:p>
          <w:p>
            <w:pPr>
              <w:spacing w:after="0" w:line="259" w:lineRule="auto"/>
            </w:pPr>
            <w:r>
              <w:rPr>
                <w:rFonts w:ascii="Arial" w:hAnsi="Arial" w:eastAsia="Nirmala UI" w:cs="Nirmala UI"/>
                <w:b w:val="0"/>
                <w:color w:val="142C38"/>
                <w:sz w:val="18"/>
              </w:rPr>
              <w:t>Protected effective Owner percentages; approved positive distribution തുക INR രണ്ട് decimal-ൽ, balanced paise ഉപയോഗിച്ച്, negative allocation ഇല്ലാതെ കൃത്യമായി വിഭജിക്കുന്നു. 48.5% / 51.5% standard മാറ്റാവുന്നതാണ്.</w:t>
            </w:r>
          </w:p>
        </w:tc>
        <w:tc>
          <w:tcPr>
            <w:tcW w:type="dxa" w:w="4709"/>
            <w:vAlign w:val="center"/>
            <w:shd w:fill="EAF6F2"/>
            <w:tcMar>
              <w:top w:w="110" w:type="dxa"/>
              <w:start w:w="110" w:type="dxa"/>
              <w:bottom w:w="110" w:type="dxa"/>
              <w:end w:w="110" w:type="dxa"/>
            </w:tcMar>
          </w:tcPr>
          <w:p>
            <w:pPr>
              <w:spacing w:after="60"/>
            </w:pPr>
            <w:r/>
            <w:r>
              <w:rPr>
                <w:rFonts w:ascii="Arial" w:hAnsi="Arial" w:eastAsia="Nirmala UI" w:cs="Nirmala UI"/>
                <w:b/>
                <w:color w:val="154A5B"/>
                <w:sz w:val="20"/>
              </w:rPr>
              <w:t>Actual payments</w:t>
            </w:r>
          </w:p>
          <w:p>
            <w:pPr>
              <w:spacing w:after="0" w:line="259" w:lineRule="auto"/>
            </w:pPr>
            <w:r>
              <w:rPr>
                <w:rFonts w:ascii="Arial" w:hAnsi="Arial" w:eastAsia="Nirmala UI" w:cs="Nirmala UI"/>
                <w:b w:val="0"/>
                <w:color w:val="142C38"/>
                <w:sz w:val="18"/>
              </w:rPr>
              <w:t>Suggested allocation അല്ലെങ്കിൽ period end മാത്രം Paid അല്ല. ഓരോ recipient-നും യഥാർത്ഥ payment authorized confirmation-ന് ശേഷമാണ് രേഖപ്പെടുത്തുന്നത്.</w:t>
            </w:r>
          </w:p>
        </w:tc>
      </w:tr>
    </w:tbl>
    <w:p>
      <w:pPr>
        <w:spacing w:after="40"/>
      </w:pPr>
    </w:p>
    <w:tbl>
      <w:tblPr>
        <w:tblW w:type="auto" w:w="0"/>
        <w:tblLayout w:type="fixed"/>
        <w:tblLook w:firstColumn="1" w:firstRow="1" w:lastColumn="0" w:lastRow="0" w:noHBand="0" w:noVBand="1" w:val="04A0"/>
      </w:tblPr>
      <w:tblGrid>
        <w:gridCol w:w="10166"/>
      </w:tblGrid>
      <w:tr>
        <w:tc>
          <w:tcPr>
            <w:tcW w:type="dxa" w:w="10166"/>
            <w:vAlign w:val="center"/>
            <w:shd w:fill="FFF8E9"/>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BUSINESS DECISION REQUIRED: Company result-ൽ നിന്ന് യഥാർത്ഥത്തിൽ എത്ര തുക distribute ചെയ്യാം, income/expense recognition, period close, carryforward എന്നിവ രേഖകളിൽ അന്തിമമായി നിർവചിച്ചിട്ടില്ല.</w:t>
            </w:r>
          </w:p>
        </w:tc>
      </w:tr>
    </w:tbl>
    <w:p>
      <w:pPr>
        <w:spacing w:after="40"/>
      </w:pPr>
    </w:p>
    <w:p>
      <w:pPr>
        <w:spacing w:after="100" w:line="259" w:lineRule="auto"/>
      </w:pPr>
      <w:r>
        <w:rPr>
          <w:rFonts w:ascii="Arial" w:hAnsi="Arial" w:eastAsia="Nirmala UI" w:cs="Nirmala UI"/>
          <w:b w:val="0"/>
          <w:color w:val="647A84"/>
          <w:sz w:val="16"/>
        </w:rPr>
        <w:t>Source: V2 01 § Company result · V2 03 Module boundaries · V2 09 §§ Company result; Owner allocation · V2 10 Garage</w:t>
      </w:r>
    </w:p>
    <w:p>
      <w:pPr>
        <w:pStyle w:val="Heading1"/>
        <w:spacing w:after="100" w:line="259" w:lineRule="auto"/>
      </w:pPr>
      <w:r>
        <w:rPr>
          <w:rFonts w:ascii="Arial" w:hAnsi="Arial" w:eastAsia="Nirmala UI" w:cs="Nirmala UI"/>
          <w:b/>
          <w:color w:val="123342"/>
          <w:sz w:val="34"/>
        </w:rPr>
        <w:t>Investor-ന്റെ നാല് വേറിട്ട സമയക്രമങ്ങൾ</w:t>
      </w:r>
    </w:p>
    <w:tbl>
      <w:tblPr>
        <w:tblW w:type="auto" w:w="0"/>
        <w:tblLayout w:type="fixed"/>
        <w:tblLook w:firstColumn="1" w:firstRow="1" w:lastColumn="0" w:lastRow="0" w:noHBand="0" w:noVBand="1" w:val="04A0"/>
      </w:tblPr>
      <w:tblGrid>
        <w:gridCol w:w="10166"/>
      </w:tblGrid>
      <w:tr>
        <w:tc>
          <w:tcPr>
            <w:tcW w:type="dxa" w:w="10166"/>
            <w:vAlign w:val="center"/>
            <w:shd w:fill="EAF2F4"/>
            <w:tcMar>
              <w:top w:w="90" w:type="dxa"/>
              <w:start w:w="110" w:type="dxa"/>
              <w:bottom w:w="90" w:type="dxa"/>
              <w:end w:w="110" w:type="dxa"/>
            </w:tcMar>
          </w:tcPr>
          <w:p>
            <w:pPr>
              <w:spacing w:after="0"/>
            </w:pPr>
            <w:r/>
            <w:r>
              <w:rPr>
                <w:rFonts w:ascii="Arial" w:hAnsi="Arial" w:eastAsia="Nirmala UI" w:cs="Nirmala UI"/>
                <w:b/>
                <w:color w:val="154A5B"/>
                <w:sz w:val="19"/>
              </w:rPr>
              <w:t>1 · Funded Vehicle deal</w:t>
            </w:r>
          </w:p>
        </w:tc>
      </w:tr>
      <w:tr>
        <w:tc>
          <w:tcPr>
            <w:tcW w:type="dxa" w:w="10166"/>
            <w:vAlign w:val="center"/>
            <w:shd w:fill="FFFFFF"/>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Fund use → Sale → full Buyer collection/refund resolution → principal recovery → eligible deal Profit → actual confirmed payment. Investor Active ആയിരിക്കുമ്പോൾ തന്നെ eligible ordinary Profit നൽകാം.</w:t>
            </w:r>
          </w:p>
        </w:tc>
      </w:tr>
    </w:tbl>
    <w:p>
      <w:pPr>
        <w:spacing w:after="20"/>
      </w:pPr>
    </w:p>
    <w:tbl>
      <w:tblPr>
        <w:tblW w:type="auto" w:w="0"/>
        <w:tblLayout w:type="fixed"/>
        <w:tblLook w:firstColumn="1" w:firstRow="1" w:lastColumn="0" w:lastRow="0" w:noHBand="0" w:noVBand="1" w:val="04A0"/>
      </w:tblPr>
      <w:tblGrid>
        <w:gridCol w:w="10166"/>
      </w:tblGrid>
      <w:tr>
        <w:tc>
          <w:tcPr>
            <w:tcW w:type="dxa" w:w="10166"/>
            <w:vAlign w:val="center"/>
            <w:shd w:fill="EAF2F4"/>
            <w:tcMar>
              <w:top w:w="90" w:type="dxa"/>
              <w:start w:w="110" w:type="dxa"/>
              <w:bottom w:w="90" w:type="dxa"/>
              <w:end w:w="110" w:type="dxa"/>
            </w:tcMar>
          </w:tcPr>
          <w:p>
            <w:pPr>
              <w:spacing w:after="0"/>
            </w:pPr>
            <w:r/>
            <w:r>
              <w:rPr>
                <w:rFonts w:ascii="Arial" w:hAnsi="Arial" w:eastAsia="Nirmala UI" w:cs="Nirmala UI"/>
                <w:b/>
                <w:color w:val="154A5B"/>
                <w:sz w:val="19"/>
              </w:rPr>
              <w:t>2 · Monthly Interim Payout</w:t>
            </w:r>
          </w:p>
        </w:tc>
      </w:tr>
      <w:tr>
        <w:tc>
          <w:tcPr>
            <w:tcW w:type="dxa" w:w="10166"/>
            <w:vAlign w:val="center"/>
            <w:shd w:fill="FFFFFF"/>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ഓരോ Investor-നും effective monthly rate, cycle day. Due/Suggested ഒരു payment അല്ല; actual payment പ്രത്യേകം സ്ഥിരീകരിക്കും. ഇത് earned deal Profit-ൽ നിന്ന് വേറിട്ട advance stream ആണ്. Eligible-principal basis, withdrawal limits ഇനിയും തീരുമാനിക്കണം.</w:t>
            </w:r>
          </w:p>
        </w:tc>
      </w:tr>
    </w:tbl>
    <w:p>
      <w:pPr>
        <w:spacing w:after="20"/>
      </w:pPr>
    </w:p>
    <w:tbl>
      <w:tblPr>
        <w:tblW w:type="auto" w:w="0"/>
        <w:tblLayout w:type="fixed"/>
        <w:tblLook w:firstColumn="1" w:firstRow="1" w:lastColumn="0" w:lastRow="0" w:noHBand="0" w:noVBand="1" w:val="04A0"/>
      </w:tblPr>
      <w:tblGrid>
        <w:gridCol w:w="10166"/>
      </w:tblGrid>
      <w:tr>
        <w:tc>
          <w:tcPr>
            <w:tcW w:type="dxa" w:w="10166"/>
            <w:vAlign w:val="center"/>
            <w:shd w:fill="EAF2F4"/>
            <w:tcMar>
              <w:top w:w="90" w:type="dxa"/>
              <w:start w:w="110" w:type="dxa"/>
              <w:bottom w:w="90" w:type="dxa"/>
              <w:end w:w="110" w:type="dxa"/>
            </w:tcMar>
          </w:tcPr>
          <w:p>
            <w:pPr>
              <w:spacing w:after="0"/>
            </w:pPr>
            <w:r/>
            <w:r>
              <w:rPr>
                <w:rFonts w:ascii="Arial" w:hAnsi="Arial" w:eastAsia="Nirmala UI" w:cs="Nirmala UI"/>
                <w:b/>
                <w:color w:val="154A5B"/>
                <w:sz w:val="19"/>
              </w:rPr>
              <w:t>3 · Six-month / Annual Investor reconciliation</w:t>
            </w:r>
          </w:p>
        </w:tc>
      </w:tr>
      <w:tr>
        <w:tc>
          <w:tcPr>
            <w:tcW w:type="dxa" w:w="10166"/>
            <w:vAlign w:val="center"/>
            <w:shd w:fill="FFFFFF"/>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Relevant earned Investor Profit ↔ ഇതിനകം സ്ഥിരീകരിച്ച Interim/ordinary Profit payments → remaining payable അല്ലെങ്കിൽ Company-recoverable position. Period അവസാനിച്ചതുകൊണ്ട് payment/settlement തനിയെ ഉണ്ടാകില്ല. Deal ഉൾപ്പെടുത്തൽ, രണ്ട് payout വഴികളുടെ കൃത്യമായ ബന്ധം ഇനിയും തീരുമാനിക്കണം.</w:t>
            </w:r>
          </w:p>
        </w:tc>
      </w:tr>
    </w:tbl>
    <w:p>
      <w:pPr>
        <w:spacing w:after="20"/>
      </w:pPr>
    </w:p>
    <w:tbl>
      <w:tblPr>
        <w:tblW w:type="auto" w:w="0"/>
        <w:tblLayout w:type="fixed"/>
        <w:tblLook w:firstColumn="1" w:firstRow="1" w:lastColumn="0" w:lastRow="0" w:noHBand="0" w:noVBand="1" w:val="04A0"/>
      </w:tblPr>
      <w:tblGrid>
        <w:gridCol w:w="10166"/>
      </w:tblGrid>
      <w:tr>
        <w:tc>
          <w:tcPr>
            <w:tcW w:type="dxa" w:w="10166"/>
            <w:vAlign w:val="center"/>
            <w:shd w:fill="EAF2F4"/>
            <w:tcMar>
              <w:top w:w="90" w:type="dxa"/>
              <w:start w:w="110" w:type="dxa"/>
              <w:bottom w:w="90" w:type="dxa"/>
              <w:end w:w="110" w:type="dxa"/>
            </w:tcMar>
          </w:tcPr>
          <w:p>
            <w:pPr>
              <w:spacing w:after="0"/>
            </w:pPr>
            <w:r/>
            <w:r>
              <w:rPr>
                <w:rFonts w:ascii="Arial" w:hAnsi="Arial" w:eastAsia="Nirmala UI" w:cs="Nirmala UI"/>
                <w:b/>
                <w:color w:val="154A5B"/>
                <w:sz w:val="19"/>
              </w:rPr>
              <w:t>4 · Exit and final Investor settlement</w:t>
            </w:r>
          </w:p>
        </w:tc>
      </w:tr>
      <w:tr>
        <w:tc>
          <w:tcPr>
            <w:tcW w:type="dxa" w:w="10166"/>
            <w:vAlign w:val="center"/>
            <w:shd w:fill="FFFFFF"/>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Terms acceptance + സാധാരണ മൂന്ന് മാസത്തെ notice → Exit Requested → Settlement Pending → Closed. Open Vehicles, Buyer balances/refunds, recoverables, corrections എന്നിവ തീർക്കണം. ശേഷം ബാക്കി principal ആദ്യം, അതിന് ശേഷം ബാക്കി eligible Profit; മുമ്പ് നൽകിയ Profit വീണ്ടും നൽകില്ല.</w:t>
            </w:r>
          </w:p>
        </w:tc>
      </w:tr>
    </w:tbl>
    <w:p>
      <w:pPr>
        <w:spacing w:after="20"/>
      </w:pPr>
    </w:p>
    <w:tbl>
      <w:tblPr>
        <w:tblW w:type="auto" w:w="0"/>
        <w:tblLayout w:type="fixed"/>
        <w:tblLook w:firstColumn="1" w:firstRow="1" w:lastColumn="0" w:lastRow="0" w:noHBand="0" w:noVBand="1" w:val="04A0"/>
      </w:tblPr>
      <w:tblGrid>
        <w:gridCol w:w="10166"/>
      </w:tblGrid>
      <w:tr>
        <w:tc>
          <w:tcPr>
            <w:tcW w:type="dxa" w:w="10166"/>
            <w:vAlign w:val="center"/>
            <w:shd w:fill="F0F8F6"/>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മറക്കരുത്: Investor principal, earned Profit, Interim advance, Company Running Capital, recoverable എന്നിവ ഒരേ payable ആയി കൂട്ടിക്കലർത്തുന്നില്ല. Status മാറിയത് പണം കൈമാറിയതായി കണക്കാക്കില്ല; actual confirmed events മാത്രമാണ് Paid.</w:t>
            </w:r>
          </w:p>
        </w:tc>
      </w:tr>
    </w:tbl>
    <w:p>
      <w:pPr>
        <w:spacing w:after="40"/>
      </w:pPr>
    </w:p>
    <w:p>
      <w:pPr>
        <w:pStyle w:val="Heading3"/>
        <w:spacing w:before="160" w:after="80"/>
      </w:pPr>
      <w:r>
        <w:rPr>
          <w:rFonts w:ascii="Arial" w:hAnsi="Arial" w:eastAsia="Nirmala UI" w:cs="Nirmala UI"/>
          <w:b/>
          <w:color w:val="1B4C5A"/>
          <w:sz w:val="22"/>
        </w:rPr>
        <w:t>Decision maker പരിശോധിക്കേണ്ട ബന്ധം</w:t>
      </w:r>
    </w:p>
    <w:p>
      <w:pPr>
        <w:spacing w:after="100" w:line="259" w:lineRule="auto"/>
      </w:pPr>
      <w:r>
        <w:rPr>
          <w:rFonts w:ascii="Arial" w:hAnsi="Arial" w:eastAsia="Nirmala UI" w:cs="Nirmala UI"/>
          <w:b w:val="0"/>
          <w:color w:val="142C38"/>
          <w:sz w:val="18"/>
        </w:rPr>
        <w:t>Monthly Interim എത്ര principal-ന്റെ അടിസ്ഥാനത്തിൽ കണക്കാക്കണം? Deal Profit മുൻകൂട്ടി കൊടുത്തിട്ടുണ്ടെങ്കിൽ period reconciliation-ൽ അത് എങ്ങനെ ഉൾപ്പെടുത്തണം? ഈ രണ്ട് കാര്യങ്ങളും ഇപ്പോൾ open decision ആണ്; രേഖകൾ ഇരട്ട payment തടയണമെന്ന് വ്യക്തമാക്കുന്നു.</w:t>
      </w:r>
    </w:p>
    <w:p>
      <w:pPr>
        <w:spacing w:after="100" w:line="259" w:lineRule="auto"/>
      </w:pPr>
      <w:r>
        <w:rPr>
          <w:rFonts w:ascii="Arial" w:hAnsi="Arial" w:eastAsia="Nirmala UI" w:cs="Nirmala UI"/>
          <w:b w:val="0"/>
          <w:color w:val="647A84"/>
          <w:sz w:val="16"/>
        </w:rPr>
        <w:t>Source: V2 01 §§ Monthly cycle; Exit · V2 05 §§ Deal Profit; Interim; Reconciliation; Exit</w:t>
      </w:r>
    </w:p>
    <w:p>
      <w:pPr>
        <w:pStyle w:val="Heading1"/>
        <w:spacing w:after="100" w:line="259" w:lineRule="auto"/>
      </w:pPr>
      <w:r>
        <w:rPr>
          <w:rFonts w:ascii="Arial" w:hAnsi="Arial" w:eastAsia="Nirmala UI" w:cs="Nirmala UI"/>
          <w:b/>
          <w:color w:val="123342"/>
          <w:sz w:val="34"/>
        </w:rPr>
        <w:t>തിരുത്തലുകൾ, നഷ്ടം, ഇനി സ്ഥിരീകരിക്കേണ്ട കാര്യങ്ങൾ</w:t>
      </w:r>
    </w:p>
    <w:tbl>
      <w:tblPr>
        <w:tblW w:type="auto" w:w="0"/>
        <w:tblLayout w:type="fixed"/>
        <w:tblLook w:firstColumn="1" w:firstRow="1" w:lastColumn="0" w:lastRow="0" w:noHBand="0" w:noVBand="1" w:val="04A0"/>
      </w:tblPr>
      <w:tblGrid>
        <w:gridCol w:w="3389"/>
        <w:gridCol w:w="3389"/>
        <w:gridCol w:w="3389"/>
      </w:tblGrid>
      <w:tr>
        <w:tc>
          <w:tcPr>
            <w:tcW w:type="dxa" w:w="3082"/>
            <w:vAlign w:val="center"/>
            <w:shd w:fill="FFF8E8"/>
            <w:tcMar>
              <w:top w:w="110" w:type="dxa"/>
              <w:start w:w="110" w:type="dxa"/>
              <w:bottom w:w="110" w:type="dxa"/>
              <w:end w:w="110" w:type="dxa"/>
            </w:tcMar>
          </w:tcPr>
          <w:p>
            <w:pPr>
              <w:spacing w:after="60"/>
            </w:pPr>
            <w:r/>
            <w:r>
              <w:rPr>
                <w:rFonts w:ascii="Arial" w:hAnsi="Arial" w:eastAsia="Nirmala UI" w:cs="Nirmala UI"/>
                <w:b/>
                <w:color w:val="154A5B"/>
                <w:sz w:val="20"/>
              </w:rPr>
              <w:t>LOSS</w:t>
            </w:r>
          </w:p>
          <w:p>
            <w:pPr>
              <w:spacing w:after="0" w:line="259" w:lineRule="auto"/>
            </w:pPr>
            <w:r>
              <w:rPr>
                <w:rFonts w:ascii="Arial" w:hAnsi="Arial" w:eastAsia="Nirmala UI" w:cs="Nirmala UI"/>
                <w:b w:val="0"/>
                <w:color w:val="142C38"/>
                <w:sz w:val="18"/>
              </w:rPr>
              <w:t>Negative കണക്ക് മാത്രം Investor/Company/Owner-ന് നഷ്ടം assign ചെയ്യുന്നില്ല. Impact, reason, authority, actual action എന്നിവ manual; കൃത്യമായ rule ഇനിയും തീരുമാനിക്കണം.</w:t>
            </w:r>
          </w:p>
        </w:tc>
        <w:tc>
          <w:tcPr>
            <w:tcW w:type="dxa" w:w="3082"/>
            <w:vAlign w:val="center"/>
            <w:shd w:fill="EDF6FA"/>
            <w:tcMar>
              <w:top w:w="110" w:type="dxa"/>
              <w:start w:w="110" w:type="dxa"/>
              <w:bottom w:w="110" w:type="dxa"/>
              <w:end w:w="110" w:type="dxa"/>
            </w:tcMar>
          </w:tcPr>
          <w:p>
            <w:pPr>
              <w:spacing w:after="60"/>
            </w:pPr>
            <w:r/>
            <w:r>
              <w:rPr>
                <w:rFonts w:ascii="Arial" w:hAnsi="Arial" w:eastAsia="Nirmala UI" w:cs="Nirmala UI"/>
                <w:b/>
                <w:color w:val="154A5B"/>
                <w:sz w:val="20"/>
              </w:rPr>
              <w:t>CORRECTIONS &amp; REFUNDS</w:t>
            </w:r>
          </w:p>
          <w:p>
            <w:pPr>
              <w:spacing w:after="0" w:line="259" w:lineRule="auto"/>
            </w:pPr>
            <w:r>
              <w:rPr>
                <w:rFonts w:ascii="Arial" w:hAnsi="Arial" w:eastAsia="Nirmala UI" w:cs="Nirmala UI"/>
                <w:b w:val="0"/>
                <w:color w:val="142C38"/>
                <w:sz w:val="18"/>
              </w:rPr>
              <w:t>Original payments/history മായ്ക്കാതെ linked correction. Sale വില കുറച്ചാൽ Buyer Refund Payable; actual refund സ്ഥിരീകരിച്ചപ്പോൾ മാത്രം തീരും.</w:t>
            </w:r>
          </w:p>
        </w:tc>
        <w:tc>
          <w:tcPr>
            <w:tcW w:type="dxa" w:w="3082"/>
            <w:vAlign w:val="center"/>
            <w:shd w:fill="EAF6F2"/>
            <w:tcMar>
              <w:top w:w="110" w:type="dxa"/>
              <w:start w:w="110" w:type="dxa"/>
              <w:bottom w:w="110" w:type="dxa"/>
              <w:end w:w="110" w:type="dxa"/>
            </w:tcMar>
          </w:tcPr>
          <w:p>
            <w:pPr>
              <w:spacing w:after="60"/>
            </w:pPr>
            <w:r/>
            <w:r>
              <w:rPr>
                <w:rFonts w:ascii="Arial" w:hAnsi="Arial" w:eastAsia="Nirmala UI" w:cs="Nirmala UI"/>
                <w:b/>
                <w:color w:val="154A5B"/>
                <w:sz w:val="20"/>
              </w:rPr>
              <w:t>WHO CONFIRMS?</w:t>
            </w:r>
          </w:p>
          <w:p>
            <w:pPr>
              <w:spacing w:after="0" w:line="259" w:lineRule="auto"/>
            </w:pPr>
            <w:r>
              <w:rPr>
                <w:rFonts w:ascii="Arial" w:hAnsi="Arial" w:eastAsia="Nirmala UI" w:cs="Nirmala UI"/>
                <w:b w:val="0"/>
                <w:color w:val="142C38"/>
                <w:sz w:val="18"/>
              </w:rPr>
              <w:t>Back Office protected rates മാറ്റുന്നു; Accountant/Operations അനുവദിച്ച actual business payments രേഖപ്പെടുത്തുന്നു. Owner read-only. Calculation → Suggestion → Reminder → Human Confirm → Record.</w:t>
            </w:r>
          </w:p>
        </w:tc>
      </w:tr>
    </w:tbl>
    <w:p>
      <w:pPr>
        <w:spacing w:after="40"/>
      </w:pPr>
    </w:p>
    <w:p>
      <w:pPr>
        <w:pStyle w:val="Heading2"/>
        <w:spacing w:before="160" w:after="80"/>
      </w:pPr>
      <w:r>
        <w:rPr>
          <w:rFonts w:ascii="Arial" w:hAnsi="Arial" w:eastAsia="Nirmala UI" w:cs="Nirmala UI"/>
          <w:b/>
          <w:color w:val="123342"/>
          <w:sz w:val="28"/>
        </w:rPr>
        <w:t>ഈ 7 വിഷയങ്ങൾക്ക് Business തീരുമാനം വേണം</w:t>
      </w:r>
    </w:p>
    <w:p>
      <w:pPr>
        <w:spacing w:after="100" w:line="259" w:lineRule="auto"/>
      </w:pPr>
      <w:r>
        <w:rPr>
          <w:rFonts w:ascii="Arial" w:hAnsi="Arial" w:eastAsia="Nirmala UI" w:cs="Nirmala UI"/>
          <w:b w:val="0"/>
          <w:color w:val="142C38"/>
          <w:sz w:val="18"/>
        </w:rPr>
        <w:t>•  Monthly Interim കണക്കിന് eligible principal എന്ത്? Active cycle-ൽ principal withdrawal എത്ര വരെ അനുവദിക്കും?</w:t>
      </w:r>
    </w:p>
    <w:p>
      <w:pPr>
        <w:spacing w:after="100" w:line="259" w:lineRule="auto"/>
      </w:pPr>
      <w:r>
        <w:rPr>
          <w:rFonts w:ascii="Arial" w:hAnsi="Arial" w:eastAsia="Nirmala UI" w:cs="Nirmala UI"/>
          <w:b w:val="0"/>
          <w:color w:val="142C38"/>
          <w:sz w:val="18"/>
        </w:rPr>
        <w:t>•  Ordinary deal Profit, Interim payments, six-month/annual reconciliation എന്നിവ എങ്ങനെ തമ്മിൽ ബന്ധിപ്പിക്കും; double payment എങ്ങനെ ഒഴിവാക്കും?</w:t>
      </w:r>
    </w:p>
    <w:p>
      <w:pPr>
        <w:spacing w:after="100" w:line="259" w:lineRule="auto"/>
      </w:pPr>
      <w:r>
        <w:rPr>
          <w:rFonts w:ascii="Arial" w:hAnsi="Arial" w:eastAsia="Nirmala UI" w:cs="Nirmala UI"/>
          <w:b w:val="0"/>
          <w:color w:val="142C38"/>
          <w:sz w:val="18"/>
        </w:rPr>
        <w:t>•  Manual Loss Investor principal-നും Company Running Capital/Company കണക്കിനും എങ്ങനെ ബാധിക്കും; ആരാണ് സ്ഥിരീകരിക്കുക?</w:t>
      </w:r>
    </w:p>
    <w:p>
      <w:pPr>
        <w:spacing w:after="100" w:line="259" w:lineRule="auto"/>
      </w:pPr>
      <w:r>
        <w:rPr>
          <w:rFonts w:ascii="Arial" w:hAnsi="Arial" w:eastAsia="Nirmala UI" w:cs="Nirmala UI"/>
          <w:b w:val="0"/>
          <w:color w:val="142C38"/>
          <w:sz w:val="18"/>
        </w:rPr>
        <w:t>•  Company distributable Profit-ന്റെ കൃത്യമായ basis, recognition, period close, carryforward എന്താണ്?</w:t>
      </w:r>
    </w:p>
    <w:p>
      <w:pPr>
        <w:spacing w:after="100" w:line="259" w:lineRule="auto"/>
      </w:pPr>
      <w:r>
        <w:rPr>
          <w:rFonts w:ascii="Arial" w:hAnsi="Arial" w:eastAsia="Nirmala UI" w:cs="Nirmala UI"/>
          <w:b w:val="0"/>
          <w:color w:val="142C38"/>
          <w:sz w:val="18"/>
        </w:rPr>
        <w:t>•  മറ്റൊരു Branch-ന്റെ പഴയ രേഖയിൽ Company-level correction ചെയ്യാൻ ആരുടെ അധികാരം വേണം?</w:t>
      </w:r>
    </w:p>
    <w:p>
      <w:pPr>
        <w:spacing w:after="100" w:line="259" w:lineRule="auto"/>
      </w:pPr>
      <w:r>
        <w:rPr>
          <w:rFonts w:ascii="Arial" w:hAnsi="Arial" w:eastAsia="Nirmala UI" w:cs="Nirmala UI"/>
          <w:b w:val="0"/>
          <w:color w:val="142C38"/>
          <w:sz w:val="18"/>
        </w:rPr>
        <w:t>•  Explicit Company assignment ഇല്ലാത്ത Platform Back Office support-ന് private finance കാണാൻ എപ്പോൾ അധികാരം ഉണ്ടാകും?</w:t>
      </w:r>
    </w:p>
    <w:p>
      <w:pPr>
        <w:spacing w:after="100" w:line="259" w:lineRule="auto"/>
      </w:pPr>
      <w:r>
        <w:rPr>
          <w:rFonts w:ascii="Arial" w:hAnsi="Arial" w:eastAsia="Nirmala UI" w:cs="Nirmala UI"/>
          <w:b w:val="0"/>
          <w:color w:val="142C38"/>
          <w:sz w:val="18"/>
        </w:rPr>
        <w:t>•  ഒരു module OFF ആയിരിക്കുമ്പോൾ തുറന്ന ബാധ്യതകൾ തീർക്കാൻ വേണ്ട minimum settlement actions ഏതാണ്?</w:t>
      </w:r>
    </w:p>
    <w:tbl>
      <w:tblPr>
        <w:tblW w:type="auto" w:w="0"/>
        <w:tblLayout w:type="fixed"/>
        <w:tblLook w:firstColumn="1" w:firstRow="1" w:lastColumn="0" w:lastRow="0" w:noHBand="0" w:noVBand="1" w:val="04A0"/>
      </w:tblPr>
      <w:tblGrid>
        <w:gridCol w:w="10166"/>
      </w:tblGrid>
      <w:tr>
        <w:tc>
          <w:tcPr>
            <w:tcW w:type="dxa" w:w="10166"/>
            <w:vAlign w:val="center"/>
            <w:shd w:fill="FFF8E9"/>
            <w:tcMar>
              <w:top w:w="110" w:type="dxa"/>
              <w:start w:w="110" w:type="dxa"/>
              <w:bottom w:w="110" w:type="dxa"/>
              <w:end w:w="110" w:type="dxa"/>
            </w:tcMar>
          </w:tcPr>
          <w:p>
            <w:pPr>
              <w:spacing w:after="0"/>
            </w:pPr>
            <w:r/>
          </w:p>
          <w:p>
            <w:pPr>
              <w:spacing w:after="0" w:line="259" w:lineRule="auto"/>
            </w:pPr>
            <w:r>
              <w:rPr>
                <w:rFonts w:ascii="Arial" w:hAnsi="Arial" w:eastAsia="Nirmala UI" w:cs="Nirmala UI"/>
                <w:b w:val="0"/>
                <w:color w:val="142C38"/>
                <w:sz w:val="18"/>
              </w:rPr>
              <w:t>Review outcome: മുകളിലെ ഏഴ് ചോദ്യങ്ങൾക്ക് തീരുമാനം രേഖപ്പെടുത്താതെ affected സാമ്പത്തിക/permission behavior-ന് software rule നിറയ്ക്കരുത്. നിലവിൽ ഉറപ്പുള്ള ഭാഗങ്ങളും open ഭാഗങ്ങളും വേർതിരിച്ചാണ് ഈ രേഖ കാണിക്കുന്നത്.</w:t>
            </w:r>
          </w:p>
        </w:tc>
      </w:tr>
    </w:tbl>
    <w:p>
      <w:pPr>
        <w:spacing w:after="40"/>
      </w:pPr>
    </w:p>
    <w:p>
      <w:pPr>
        <w:spacing w:after="100" w:line="259" w:lineRule="auto"/>
      </w:pPr>
      <w:r>
        <w:rPr>
          <w:rFonts w:ascii="Arial" w:hAnsi="Arial" w:eastAsia="Nirmala UI" w:cs="Nirmala UI"/>
          <w:b w:val="0"/>
          <w:color w:val="647A84"/>
          <w:sz w:val="16"/>
        </w:rPr>
        <w:t>Primary sources: docs-final-v2/01, 02, 03, 04, 05, 09, 10. Cross-check: architecture/01-04. This visual packet is not the source of truth.</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irmala UI" w:cs="Nirmala UI"/>
        <w:b w:val="0"/>
        <w:color w:val="6B7E86"/>
        <w:sz w:val="16"/>
      </w:rPr>
      <w:t>VIRMS V2 - Financial Structure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42C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3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3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2334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334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