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64748B"/>
          <w:sz w:val="18"/>
        </w:rPr>
        <w:t>INSPECCO x KRIPTARIUM  |  SAFETY 4.0 BOOTCAMP</w:t>
        <w:br/>
      </w:r>
      <w:r>
        <w:rPr>
          <w:rFonts w:ascii="Calibri" w:hAnsi="Calibri"/>
          <w:b w:val="0"/>
          <w:i/>
          <w:color w:val="475569"/>
          <w:sz w:val="19"/>
        </w:rPr>
        <w:t>Hafta 1 · LABORATUVAR 1 · GENEL SÜRÜM · Şişeleme Hattı &amp; ABB Robotik Hücre Entegrasyonu</w:t>
        <w:br/>
      </w:r>
    </w:p>
    <w:p>
      <w:pPr>
        <w:spacing w:before="80" w:after="40"/>
      </w:pPr>
      <w:r>
        <w:rPr>
          <w:rFonts w:ascii="Calibri" w:hAnsi="Calibri"/>
          <w:b/>
          <w:i w:val="0"/>
          <w:color w:val="1B365D"/>
          <w:sz w:val="36"/>
        </w:rPr>
        <w:t>Safety Architecture</w:t>
      </w:r>
    </w:p>
    <w:p>
      <w:pPr>
        <w:spacing w:before="40" w:after="160"/>
      </w:pPr>
      <w:r>
        <w:rPr>
          <w:rFonts w:ascii="Calibri" w:hAnsi="Calibri"/>
          <w:b/>
          <w:i w:val="0"/>
          <w:color w:val="1E40AF"/>
          <w:sz w:val="20"/>
        </w:rPr>
        <w:t>Belgelendirme Çıktısı: Safety Function Map (Evidence Pack EP 03)</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3600"/>
        <w:gridCol w:w="3312"/>
        <w:gridCol w:w="2880"/>
      </w:tblGrid>
      <w:tr>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Ad Soyad: </w:t>
            </w:r>
            <w:r>
              <w:rPr>
                <w:rFonts w:ascii="Calibri" w:hAnsi="Calibri"/>
                <w:b w:val="0"/>
                <w:i w:val="0"/>
                <w:color w:val="0F172A"/>
                <w:sz w:val="17"/>
              </w:rPr>
              <w:t>Tio Otomasyon Proje Ekibi</w:t>
            </w:r>
          </w:p>
        </w:tc>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Grup: </w:t>
            </w:r>
            <w:r>
              <w:rPr>
                <w:rFonts w:ascii="Calibri" w:hAnsi="Calibri"/>
                <w:b w:val="0"/>
                <w:i w:val="0"/>
                <w:color w:val="0F172A"/>
                <w:sz w:val="17"/>
              </w:rPr>
              <w:t>OT Siber Güvenlik &amp; Robotik</w:t>
            </w:r>
          </w:p>
        </w:tc>
        <w:tc>
          <w:tcPr>
            <w:tcW w:type="dxa" w:w="2880"/>
            <w:shd w:fill="F8FAFC"/>
            <w:tcMar>
              <w:top w:w="70" w:type="dxa"/>
              <w:bottom w:w="70" w:type="dxa"/>
              <w:left w:w="90" w:type="dxa"/>
              <w:right w:w="90" w:type="dxa"/>
            </w:tcMar>
          </w:tcPr>
          <w:p>
            <w:pPr>
              <w:spacing w:after="0"/>
            </w:pPr>
            <w:r>
              <w:rPr>
                <w:rFonts w:ascii="Calibri" w:hAnsi="Calibri"/>
                <w:b/>
                <w:i w:val="0"/>
                <w:color w:val="475569"/>
                <w:sz w:val="17"/>
              </w:rPr>
              <w:t xml:space="preserve">Tarih: </w:t>
            </w:r>
            <w:r>
              <w:rPr>
                <w:rFonts w:ascii="Calibri" w:hAnsi="Calibri"/>
                <w:b w:val="0"/>
                <w:i w:val="0"/>
                <w:color w:val="0F172A"/>
                <w:sz w:val="17"/>
              </w:rPr>
              <w:t>25 Ekim 2026</w:t>
            </w:r>
          </w:p>
        </w:tc>
      </w:tr>
    </w:tbl>
    <w:p>
      <w:pPr>
        <w:spacing w:before="80" w:after="80"/>
      </w:pPr>
    </w:p>
    <w:tbl>
      <w:tblPr>
        <w:tblW w:type="auto" w:w="0"/>
        <w:jc w:val="center"/>
        <w:tblLayout w:type="fixed"/>
        <w:tblLook w:firstColumn="1" w:firstRow="1" w:lastColumn="0" w:lastRow="0" w:noHBand="0" w:noVBand="1" w:val="04A0"/>
      </w:tblPr>
      <w:tblGrid>
        <w:gridCol w:w="9792"/>
      </w:tblGrid>
      <w:tr>
        <w:tc>
          <w:tcPr>
            <w:tcW w:type="dxa" w:w="8640"/>
            <w:shd w:fill="F1F5F9"/>
            <w:tcMar>
              <w:top w:w="140" w:type="dxa"/>
              <w:bottom w:w="140" w:type="dxa"/>
              <w:left w:w="200" w:type="dxa"/>
              <w:right w:w="180" w:type="dxa"/>
            </w:tcMar>
            <w:tcBorders>
              <w:left w:val="single" w:sz="24" w:space="0" w:color="1B365D"/>
              <w:top w:val="none"/>
              <w:right w:val="none"/>
              <w:bottom w:val="none"/>
            </w:tcBorders>
          </w:tcPr>
          <w:p>
            <w:pPr>
              <w:spacing w:before="40" w:after="40" w:line="276" w:lineRule="auto"/>
            </w:pPr>
            <w:r>
              <w:rPr>
                <w:rFonts w:ascii="Calibri" w:hAnsi="Calibri"/>
                <w:b/>
                <w:i w:val="0"/>
                <w:color w:val="1B365D"/>
                <w:sz w:val="21"/>
              </w:rPr>
              <w:t>Kavram: Emniyet Fonksiyonu ve Ayrık Safety Yolu</w:t>
              <w:br/>
            </w:r>
            <w:r>
              <w:rPr>
                <w:rFonts w:ascii="Calibri" w:hAnsi="Calibri"/>
                <w:b w:val="0"/>
                <w:i w:val="0"/>
                <w:color w:val="334155"/>
                <w:sz w:val="20"/>
              </w:rPr>
              <w:t>Emniyet fonksiyonu, insanı koruyan fonksiyondur ve ayrı bir safety yolunda yaşar (E-stop → Safety PLC → STO). Gerekli güvenilirliği (PLr/SIL) riskle orantılıdır — ve bu güvenilirlik, dijital bir konfigürasyona bağlıdır.</w:t>
            </w:r>
          </w:p>
        </w:tc>
      </w:tr>
    </w:tbl>
    <w:p>
      <w:pPr>
        <w:spacing w:before="0" w:after="80"/>
      </w:pPr>
    </w:p>
    <w:p>
      <w:pPr>
        <w:spacing w:before="80" w:after="40"/>
      </w:pPr>
      <w:r>
        <w:rPr>
          <w:rFonts w:ascii="Calibri" w:hAnsi="Calibri"/>
          <w:b/>
          <w:i w:val="0"/>
          <w:color w:val="1B365D"/>
          <w:sz w:val="20"/>
        </w:rPr>
        <w:t>MİMARİ YAPI VE HABERLEŞME HATTI:</w:t>
        <w:br/>
      </w:r>
      <w:r>
        <w:rPr>
          <w:rFonts w:ascii="Calibri" w:hAnsi="Calibri"/>
          <w:b w:val="0"/>
          <w:i w:val="0"/>
          <w:color w:val="334155"/>
          <w:sz w:val="19"/>
        </w:rPr>
        <w:t>• NORMAL KONTROL YOLU (Üretim): Sensör → PLC (Normal Kumanda) → Aktüatör | IPC / Uzak Erişim (Bakım · Güncelleme)</w:t>
        <w:br/>
        <w:t>• DİJİTAL KESİŞİM NOKTASI: Standart PLC ile Emniyet Denetleyicisi arasındaki haberleşme arayüzü (PROFINET / Fieldbus köprüsü)</w:t>
        <w:br/>
        <w:t>• SAFETY YOLU (Koruma · AYRI): E-stop / Işık Perdesi → Safety PLC (Emniyet Kumandası &amp; SafeMove Pro) → STO / Kontaktör → Safe State (Güvenli Duruş)</w:t>
      </w:r>
    </w:p>
    <w:p>
      <w:pPr>
        <w:spacing w:before="160" w:after="40"/>
      </w:pPr>
      <w:r>
        <w:rPr>
          <w:rFonts w:ascii="Calibri" w:hAnsi="Calibri"/>
          <w:b/>
          <w:i w:val="0"/>
          <w:color w:val="1B365D"/>
          <w:sz w:val="22"/>
        </w:rPr>
        <w:t>Görev — Sırayla Cevaplayın:</w:t>
      </w:r>
    </w:p>
    <w:p>
      <w:pPr>
        <w:keepNext/>
        <w:spacing w:before="120" w:after="40"/>
      </w:pPr>
      <w:r>
        <w:rPr>
          <w:rFonts w:ascii="Calibri" w:hAnsi="Calibri"/>
          <w:b/>
          <w:i w:val="0"/>
          <w:color w:val="1B365D"/>
          <w:sz w:val="21"/>
        </w:rPr>
        <w:t xml:space="preserve">1. </w:t>
      </w:r>
      <w:r>
        <w:rPr>
          <w:rFonts w:ascii="Calibri" w:hAnsi="Calibri"/>
          <w:b/>
          <w:i w:val="0"/>
          <w:color w:val="0F172A"/>
          <w:sz w:val="21"/>
        </w:rPr>
        <w:t>Bu makinede tehlike nedir? İnsan neyden zarar görür?</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Tio Otomasyon tarafından entegre edilen ABB IRB 6750S-185/3.9 LID, 185 kg taşıma kapasitesine, 3.9 metre erişim mesafesine ve yüksek eksenel ivmelere sahip ağır bir endüstriyel robottur. Hücredeki temel fiziksel tehlikeler; yüksek kinetik enerjili robot kolunun çarpması, robotun taşıdığı ağır iş parçasının fırlaması, punta pensesi veya tutucunun (gripper) insan uzvunu pres kalıbı veya hücre çiti ile arasında sıkıştırması ve ezmesidir. İnsan, robotun kontrolsüz veya beklenmeyen bir hareketi esnasında doğrudan fiziksel darbe ve mekanik ezilme sonucu hayati tehlike düzeyinde zarar görür.</w:t>
      </w:r>
    </w:p>
    <w:p>
      <w:pPr>
        <w:keepNext/>
        <w:spacing w:before="120" w:after="40"/>
      </w:pPr>
      <w:r>
        <w:rPr>
          <w:rFonts w:ascii="Calibri" w:hAnsi="Calibri"/>
          <w:b/>
          <w:i w:val="0"/>
          <w:color w:val="1B365D"/>
          <w:sz w:val="21"/>
        </w:rPr>
        <w:t xml:space="preserve">2. </w:t>
      </w:r>
      <w:r>
        <w:rPr>
          <w:rFonts w:ascii="Calibri" w:hAnsi="Calibri"/>
          <w:b/>
          <w:i w:val="0"/>
          <w:color w:val="0F172A"/>
          <w:sz w:val="21"/>
        </w:rPr>
        <w:t>Safety function (emniyet fonksiyonu) hangisidir?</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Bu robot hücresinde üç temel emniyet fonksiyonu tanımlanmıştır: 1) Acil Duruş (Emergency Stop - E-Stop): Butona basıldığında ISO 13850 standardına uygun olarak motorların torkunun kesilmesi (STO) ve mekanik frenlerin devreye girmesi. 2) Güvenli Hücre Alanı ve Hız Denetimi (SafeMove SLS &amp; SOS): Işık perdesi ihlali veya kapı kilidi açıldığında robotun hızının güvenli seviyeye (Safely-Limited Speed) düşürülmesi veya Safe Operating Stop ile pozisyonunu koruyarak beklemesi. 3) Güvenli Alan Sınırlandırması: Robot kolunun tanımlanmış hücre sınırlarını (Zone Limits) aşmasının donanımsal olarak engellenmesi.</w:t>
      </w:r>
    </w:p>
    <w:p>
      <w:pPr>
        <w:keepNext/>
        <w:spacing w:before="120" w:after="40"/>
      </w:pPr>
      <w:r>
        <w:rPr>
          <w:rFonts w:ascii="Calibri" w:hAnsi="Calibri"/>
          <w:b/>
          <w:i w:val="0"/>
          <w:color w:val="1B365D"/>
          <w:sz w:val="21"/>
        </w:rPr>
        <w:t xml:space="preserve">3. </w:t>
      </w:r>
      <w:r>
        <w:rPr>
          <w:rFonts w:ascii="Calibri" w:hAnsi="Calibri"/>
          <w:b/>
          <w:i w:val="0"/>
          <w:color w:val="0F172A"/>
          <w:sz w:val="21"/>
        </w:rPr>
        <w:t>Safety-related control system nerede? Şemada işaretleyin.</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Safety-related control system (SRCS); şemanın alt katmanında tamamen ayrık tutulan koruma yolunda bulunmaktadır. Bu sistem; fiziksel E-stop butonları, güvenlik ışık perdeleri, çift kanallı emniyet kapı kilitleri, bağımsız Safety PLC / ABB SafeMove Pro modülü, çift kontaktörlü güç kesme devresi ve sürücü içindeki STO (Safe Torque Off) girişlerinden meydana gelen uçtan uca kapalı güvenlik zinciridir.</w:t>
      </w:r>
    </w:p>
    <w:p>
      <w:pPr>
        <w:keepNext/>
        <w:spacing w:before="120" w:after="40"/>
      </w:pPr>
      <w:r>
        <w:rPr>
          <w:rFonts w:ascii="Calibri" w:hAnsi="Calibri"/>
          <w:b/>
          <w:i w:val="0"/>
          <w:color w:val="1B365D"/>
          <w:sz w:val="21"/>
        </w:rPr>
        <w:t xml:space="preserve">4. </w:t>
      </w:r>
      <w:r>
        <w:rPr>
          <w:rFonts w:ascii="Calibri" w:hAnsi="Calibri"/>
          <w:b/>
          <w:i w:val="0"/>
          <w:color w:val="0F172A"/>
          <w:sz w:val="21"/>
        </w:rPr>
        <w:t>Normal PLC ile Safety PLC farkı nedir?</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Normal PLC, üretim hızını ve sıralı lojiği yönetmek üzere tek kanallı ve standart mikroişlemci mimarisiyle tasarlanmıştır; donanımsal veya yazılımsal bir arıza durumunda çıkışın enerjili kalma (fail-danger) ihtimali mevcuttur. Safety PLC ise 1oo2D veya 2oo3 (yedekli çoklu işlemci) mimarisine sahiptir, dahili bellek, saat frekansı ve G/Ç kanallarını sürekli dinamik test sinyalleriyle denetler. Donanımda en ufak bir tutarsızlık veya arıza algılandığında sistemi deterministik olarak enerjisiz güvenli duruma (fail-safe) geçirir. Yazılım katmanında sertifikalı, kilitli ve CRC korumalı güvenlik blokları çalıştırır.</w:t>
      </w:r>
    </w:p>
    <w:p>
      <w:pPr>
        <w:keepNext/>
        <w:spacing w:before="120" w:after="40"/>
      </w:pPr>
      <w:r>
        <w:rPr>
          <w:rFonts w:ascii="Calibri" w:hAnsi="Calibri"/>
          <w:b/>
          <w:i w:val="0"/>
          <w:color w:val="1B365D"/>
          <w:sz w:val="21"/>
        </w:rPr>
        <w:t xml:space="preserve">5. </w:t>
      </w:r>
      <w:r>
        <w:rPr>
          <w:rFonts w:ascii="Calibri" w:hAnsi="Calibri"/>
          <w:b/>
          <w:i w:val="0"/>
          <w:color w:val="0F172A"/>
          <w:sz w:val="21"/>
        </w:rPr>
        <w:t>PLr / SIL neden var? Bu fonksiyon için neden önemli?</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PLr (ISO 13849-1 Gerekli Performans Seviyesi) ve SIL (IEC 62061 / IEC 61508 Güvenlik Bütünlük Seviyesi); bir tehlikeli arızanın meydana gelme sıklığını ve fonksiyonun talep anında güvenle çalışma olasılığını (PFHd) matematiksel olarak sınırlar. ABB IRB 6750S gibi ölümcül yaralanma riski (S2), sürekli maruziyet (F2) ve kaçınmanın neredeyse imkansız olduğu (P2) bir sistemde risk analizi en yüksek koruma düzeyi olan PL e / SIL 3 gerektirir. Dijital parametrelerin bozulması bu seviyeyi düşürürse, makine teknik ve yasal olarak onay alamaz.</w:t>
      </w:r>
    </w:p>
    <w:p>
      <w:pPr>
        <w:keepNext/>
        <w:spacing w:before="120" w:after="40"/>
      </w:pPr>
      <w:r>
        <w:rPr>
          <w:rFonts w:ascii="Calibri" w:hAnsi="Calibri"/>
          <w:b/>
          <w:i w:val="0"/>
          <w:color w:val="1B365D"/>
          <w:sz w:val="21"/>
        </w:rPr>
        <w:t xml:space="preserve">6. </w:t>
      </w:r>
      <w:r>
        <w:rPr>
          <w:rFonts w:ascii="Calibri" w:hAnsi="Calibri"/>
          <w:b/>
          <w:i w:val="0"/>
          <w:color w:val="0F172A"/>
          <w:sz w:val="21"/>
        </w:rPr>
        <w:t>Safe state (güvenli durum) nedir?</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Safe state; robot kontrolör sürücülerinin enerjisinin kesildiği (STO aktif), motor şaftlarındaki mekanik yay kurmalı frenlerin kilitlendiği, pnömatik tutucu valflerinin iş parçasını bırakmayacak şekilde mekanik kilit konumuna geçtiği ve hücredeki tüm kinetik hareketin sıfırlandığı kararlı, enerjisiz ve tehlikesiz durumdur.</w:t>
      </w:r>
    </w:p>
    <w:p>
      <w:pPr>
        <w:keepNext/>
        <w:spacing w:before="120" w:after="40"/>
      </w:pPr>
      <w:r>
        <w:rPr>
          <w:rFonts w:ascii="Calibri" w:hAnsi="Calibri"/>
          <w:b/>
          <w:i w:val="0"/>
          <w:color w:val="1B365D"/>
          <w:sz w:val="21"/>
        </w:rPr>
        <w:t xml:space="preserve">7. </w:t>
      </w:r>
      <w:r>
        <w:rPr>
          <w:rFonts w:ascii="Calibri" w:hAnsi="Calibri"/>
          <w:b/>
          <w:i w:val="0"/>
          <w:color w:val="0F172A"/>
          <w:sz w:val="21"/>
        </w:rPr>
        <w:t>Safety function hangi dijital bağımlılıklara sahip?</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Safety fonksiyonu şu dijital unsurlara doğrudan bağımlıdır: 1) ABB SafeMove Pro içinde tanımlı eksen sınırları, hız eşikleri ve takım geometrisi konfigürasyonu. 2) PROFIsafe F-Parameters (F_Source_Address, F_Dest_Address, F_WD_Time bekçi zamanlayıcısı). 3) Safety PLC emniyet projesinin derlenmiş güvenlik CRC (Checksum) değeri. 4) Kontrolörün firmware bütünlüğü ve dijital imzası.</w:t>
      </w:r>
    </w:p>
    <w:p>
      <w:pPr>
        <w:keepNext/>
        <w:spacing w:before="120" w:after="40"/>
      </w:pPr>
      <w:r>
        <w:rPr>
          <w:rFonts w:ascii="Calibri" w:hAnsi="Calibri"/>
          <w:b/>
          <w:i w:val="0"/>
          <w:color w:val="1B365D"/>
          <w:sz w:val="21"/>
        </w:rPr>
        <w:t xml:space="preserve">8. </w:t>
      </w:r>
      <w:r>
        <w:rPr>
          <w:rFonts w:ascii="Calibri" w:hAnsi="Calibri"/>
          <w:b/>
          <w:i w:val="0"/>
          <w:color w:val="0F172A"/>
          <w:sz w:val="21"/>
        </w:rPr>
        <w:t>Siber müdahale hangi noktadan bu fonksiyonu bozar?</w:t>
      </w:r>
    </w:p>
    <w:p>
      <w:pPr>
        <w:spacing w:before="20" w:after="120" w:line="276" w:lineRule="auto"/>
      </w:pPr>
      <w:r>
        <w:rPr>
          <w:rFonts w:ascii="Calibri" w:hAnsi="Calibri"/>
          <w:b/>
          <w:i w:val="0"/>
          <w:color w:val="0369A1"/>
          <w:sz w:val="19"/>
        </w:rPr>
        <w:t xml:space="preserve">Mühendislik Yanıtı ve Saha Analizi: </w:t>
      </w:r>
      <w:r>
        <w:rPr>
          <w:rFonts w:ascii="Calibri" w:hAnsi="Calibri"/>
          <w:b w:val="0"/>
          <w:i w:val="0"/>
          <w:color w:val="1E293B"/>
          <w:sz w:val="20"/>
        </w:rPr>
        <w:t>Siber müdahale; şemadaki normal kontrol yolu ile safety yolu arasındaki dijital kesişim noktasından (mühendislik portu, fieldbus ağ geçidi veya uzaktan erişim arayüzü) sızarak fonksiyonu bozar. Ağ üzerinden yetkisiz erişim sağlayan bir saldırgan, RobotStudio veya haberleşme bus'ı üzerinden SafeMove emniyet parametrelerini manipüle ederse, güvenli hız sınırlarını (SLS) yükseltirse ya da sistemi bakım/test modunda kilitleyerek fiziksel durdurma komutunu geciktirirse emniyet fonksiyonu çalışmaz ve insan korumasız kalır.</w:t>
      </w:r>
    </w:p>
    <w:p>
      <w:pPr>
        <w:spacing w:before="240" w:after="40"/>
      </w:pPr>
      <w:r>
        <w:rPr>
          <w:rFonts w:ascii="Calibri" w:hAnsi="Calibri"/>
          <w:b/>
          <w:i w:val="0"/>
          <w:color w:val="1B365D"/>
          <w:sz w:val="19"/>
        </w:rPr>
        <w:t>Bu föyün çıktısı: Safety Function Map → Evidence Pack EP 03 Safety Functions</w:t>
        <w:br/>
      </w:r>
      <w:r>
        <w:rPr>
          <w:rFonts w:ascii="Calibri" w:hAnsi="Calibri"/>
          <w:b w:val="0"/>
          <w:i/>
          <w:color w:val="64748B"/>
          <w:sz w:val="16"/>
        </w:rPr>
        <w:t>SAFETY 4.0 BOOTCAMP · Genel Sürüm · Bu doküman kurumsal teknik dosya ve denetim kanıt paketinin bir parçasıdır.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