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64748B"/>
          <w:sz w:val="18"/>
        </w:rPr>
        <w:t>INSPECCO x KRIPTARIUM  |  SAFETY 4.0 BOOTCAMP</w:t>
        <w:br/>
      </w:r>
      <w:r>
        <w:rPr>
          <w:rFonts w:ascii="Calibri" w:hAnsi="Calibri"/>
          <w:b w:val="0"/>
          <w:i/>
          <w:color w:val="475569"/>
          <w:sz w:val="19"/>
        </w:rPr>
        <w:t>Hafta 2 · LABORATUVAR 2 · GENEL SÜRÜM · Şişeleme Hattı &amp; ABB Robotik Hücre Entegrasyonu</w:t>
        <w:br/>
      </w:r>
    </w:p>
    <w:p>
      <w:pPr>
        <w:spacing w:before="80" w:after="40"/>
      </w:pPr>
      <w:r>
        <w:rPr>
          <w:rFonts w:ascii="Calibri" w:hAnsi="Calibri"/>
          <w:b/>
          <w:i w:val="0"/>
          <w:color w:val="1B365D"/>
          <w:sz w:val="36"/>
        </w:rPr>
        <w:t>IEC 62443 Mini Workshop</w:t>
      </w:r>
    </w:p>
    <w:p>
      <w:pPr>
        <w:spacing w:before="40" w:after="160"/>
      </w:pPr>
      <w:r>
        <w:rPr>
          <w:rFonts w:ascii="Calibri" w:hAnsi="Calibri"/>
          <w:b/>
          <w:i w:val="0"/>
          <w:color w:val="1E40AF"/>
          <w:sz w:val="20"/>
        </w:rPr>
        <w:t>Belgelendirme Çıktısı: Zone / Conduit Diagram (Evidence Pack EP 05)</w:t>
      </w:r>
    </w:p>
    <w:tbl>
      <w:tblPr>
        <w:tblW w:type="auto" w:w="0"/>
        <w:jc w:val="center"/>
        <w:tblLayout w:type="fixed"/>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3600"/>
        <w:gridCol w:w="3312"/>
        <w:gridCol w:w="2880"/>
      </w:tblGrid>
      <w:tr>
        <w:tc>
          <w:tcPr>
            <w:tcW w:type="dxa" w:w="2880"/>
            <w:shd w:fill="F8FAFC"/>
            <w:tcMar>
              <w:top w:w="70" w:type="dxa"/>
              <w:bottom w:w="70" w:type="dxa"/>
              <w:left w:w="90" w:type="dxa"/>
              <w:right w:w="90" w:type="dxa"/>
            </w:tcMar>
          </w:tcPr>
          <w:p>
            <w:pPr>
              <w:spacing w:after="0"/>
            </w:pPr>
            <w:r>
              <w:rPr>
                <w:rFonts w:ascii="Calibri" w:hAnsi="Calibri"/>
                <w:b/>
                <w:i w:val="0"/>
                <w:color w:val="475569"/>
                <w:sz w:val="17"/>
              </w:rPr>
              <w:t xml:space="preserve">Ad Soyad: </w:t>
            </w:r>
            <w:r>
              <w:rPr>
                <w:rFonts w:ascii="Calibri" w:hAnsi="Calibri"/>
                <w:b w:val="0"/>
                <w:i w:val="0"/>
                <w:color w:val="0F172A"/>
                <w:sz w:val="17"/>
              </w:rPr>
              <w:t>Tio Otomasyon Proje Ekibi</w:t>
            </w:r>
          </w:p>
        </w:tc>
        <w:tc>
          <w:tcPr>
            <w:tcW w:type="dxa" w:w="2880"/>
            <w:shd w:fill="F8FAFC"/>
            <w:tcMar>
              <w:top w:w="70" w:type="dxa"/>
              <w:bottom w:w="70" w:type="dxa"/>
              <w:left w:w="90" w:type="dxa"/>
              <w:right w:w="90" w:type="dxa"/>
            </w:tcMar>
          </w:tcPr>
          <w:p>
            <w:pPr>
              <w:spacing w:after="0"/>
            </w:pPr>
            <w:r>
              <w:rPr>
                <w:rFonts w:ascii="Calibri" w:hAnsi="Calibri"/>
                <w:b/>
                <w:i w:val="0"/>
                <w:color w:val="475569"/>
                <w:sz w:val="17"/>
              </w:rPr>
              <w:t xml:space="preserve">Grup: </w:t>
            </w:r>
            <w:r>
              <w:rPr>
                <w:rFonts w:ascii="Calibri" w:hAnsi="Calibri"/>
                <w:b w:val="0"/>
                <w:i w:val="0"/>
                <w:color w:val="0F172A"/>
                <w:sz w:val="17"/>
              </w:rPr>
              <w:t>OT Siber Güvenlik &amp; Robotik</w:t>
            </w:r>
          </w:p>
        </w:tc>
        <w:tc>
          <w:tcPr>
            <w:tcW w:type="dxa" w:w="2880"/>
            <w:shd w:fill="F8FAFC"/>
            <w:tcMar>
              <w:top w:w="70" w:type="dxa"/>
              <w:bottom w:w="70" w:type="dxa"/>
              <w:left w:w="90" w:type="dxa"/>
              <w:right w:w="90" w:type="dxa"/>
            </w:tcMar>
          </w:tcPr>
          <w:p>
            <w:pPr>
              <w:spacing w:after="0"/>
            </w:pPr>
            <w:r>
              <w:rPr>
                <w:rFonts w:ascii="Calibri" w:hAnsi="Calibri"/>
                <w:b/>
                <w:i w:val="0"/>
                <w:color w:val="475569"/>
                <w:sz w:val="17"/>
              </w:rPr>
              <w:t xml:space="preserve">Tarih: </w:t>
            </w:r>
            <w:r>
              <w:rPr>
                <w:rFonts w:ascii="Calibri" w:hAnsi="Calibri"/>
                <w:b w:val="0"/>
                <w:i w:val="0"/>
                <w:color w:val="0F172A"/>
                <w:sz w:val="17"/>
              </w:rPr>
              <w:t>25 Ekim 2026</w:t>
            </w:r>
          </w:p>
        </w:tc>
      </w:tr>
    </w:tbl>
    <w:p>
      <w:pPr>
        <w:spacing w:before="80" w:after="80"/>
      </w:pPr>
    </w:p>
    <w:tbl>
      <w:tblPr>
        <w:tblW w:type="auto" w:w="0"/>
        <w:jc w:val="center"/>
        <w:tblLayout w:type="fixed"/>
        <w:tblLook w:firstColumn="1" w:firstRow="1" w:lastColumn="0" w:lastRow="0" w:noHBand="0" w:noVBand="1" w:val="04A0"/>
      </w:tblPr>
      <w:tblGrid>
        <w:gridCol w:w="9792"/>
      </w:tblGrid>
      <w:tr>
        <w:tc>
          <w:tcPr>
            <w:tcW w:type="dxa" w:w="8640"/>
            <w:shd w:fill="F1F5F9"/>
            <w:tcMar>
              <w:top w:w="140" w:type="dxa"/>
              <w:bottom w:w="140" w:type="dxa"/>
              <w:left w:w="200" w:type="dxa"/>
              <w:right w:w="180" w:type="dxa"/>
            </w:tcMar>
            <w:tcBorders>
              <w:left w:val="single" w:sz="24" w:space="0" w:color="1B365D"/>
              <w:top w:val="none"/>
              <w:right w:val="none"/>
              <w:bottom w:val="none"/>
            </w:tcBorders>
          </w:tcPr>
          <w:p>
            <w:pPr>
              <w:spacing w:before="40" w:after="40" w:line="276" w:lineRule="auto"/>
            </w:pPr>
            <w:r>
              <w:rPr>
                <w:rFonts w:ascii="Calibri" w:hAnsi="Calibri"/>
                <w:b/>
                <w:i w:val="0"/>
                <w:color w:val="1B365D"/>
                <w:sz w:val="21"/>
              </w:rPr>
              <w:t>Kavram: Zone &amp; Conduit Mantığı (IEC 62443)</w:t>
              <w:br/>
            </w:r>
            <w:r>
              <w:rPr>
                <w:rFonts w:ascii="Calibri" w:hAnsi="Calibri"/>
                <w:b w:val="0"/>
                <w:i w:val="0"/>
                <w:color w:val="334155"/>
                <w:sz w:val="20"/>
              </w:rPr>
              <w:t>Zone = benzer kritiklikteki ve güvenlik gereksinimindeki cihazları bir bölgeye topla. Conduit = bölgeler arası her geçişe kontrollü, filtrelenmiş bir kapı koy. IEC 62443 standardının maddelerini ezberlemiyoruz — savunma derinliği (defense-in-depth) mantığını sahaya uyguluyoruz.</w:t>
            </w:r>
          </w:p>
        </w:tc>
      </w:tr>
    </w:tbl>
    <w:p>
      <w:pPr>
        <w:spacing w:before="0" w:after="80"/>
      </w:pPr>
    </w:p>
    <w:p>
      <w:pPr>
        <w:spacing w:before="120" w:after="40"/>
      </w:pPr>
      <w:r>
        <w:rPr>
          <w:rFonts w:ascii="Calibri" w:hAnsi="Calibri"/>
          <w:b/>
          <w:i w:val="0"/>
          <w:color w:val="1B365D"/>
          <w:sz w:val="22"/>
        </w:rPr>
        <w:t>Görev A — Varlıkları Bölgelere Ayırın</w:t>
      </w:r>
    </w:p>
    <w:tbl>
      <w:tblPr>
        <w:tblW w:type="auto" w:w="0"/>
        <w:jc w:val="center"/>
        <w:tblLayout w:type="fixed"/>
        <w:tblLook w:firstColumn="1" w:firstRow="1" w:lastColumn="0" w:lastRow="0" w:noHBand="0" w:noVBand="1" w:val="04A0"/>
      </w:tblPr>
      <w:tblGrid>
        <w:gridCol w:w="9792"/>
      </w:tblGrid>
      <w:tr>
        <w:tc>
          <w:tcPr>
            <w:tcW w:type="dxa" w:w="8640"/>
            <w:shd w:fill="F8FAFC"/>
            <w:tcMar>
              <w:top w:w="140" w:type="dxa"/>
              <w:bottom w:w="140" w:type="dxa"/>
              <w:left w:w="200" w:type="dxa"/>
              <w:right w:w="180" w:type="dxa"/>
            </w:tcMar>
            <w:tcBorders>
              <w:left w:val="single" w:sz="24" w:space="0" w:color="475569"/>
              <w:top w:val="none"/>
              <w:right w:val="none"/>
              <w:bottom w:val="none"/>
            </w:tcBorders>
          </w:tcPr>
          <w:p>
            <w:pPr>
              <w:spacing w:before="40" w:after="40" w:line="276" w:lineRule="auto"/>
            </w:pPr>
            <w:r>
              <w:rPr>
                <w:rFonts w:ascii="Calibri" w:hAnsi="Calibri"/>
                <w:b/>
                <w:i w:val="0"/>
                <w:color w:val="1B365D"/>
                <w:sz w:val="21"/>
              </w:rPr>
              <w:t>Varlık Listesi (Asset Inventory)</w:t>
              <w:br/>
            </w:r>
            <w:r>
              <w:rPr>
                <w:rFonts w:ascii="Calibri" w:hAnsi="Calibri"/>
                <w:b w:val="0"/>
                <w:i w:val="0"/>
                <w:color w:val="334155"/>
                <w:sz w:val="20"/>
              </w:rPr>
              <w:t>PLC · HMI Paneli · Robot Kontrolörü (ABB IRC5 / OmniCore) · Safety PLC (SafeMove Pro) · SCADA İstemcisi · Mühendislik İstasyonu (RobotStudio) · Uzak Servis Erişimi (VPN Gateway / Jump Server) · Ofis Ağı (ERP / E-posta Sunucusu)</w:t>
            </w:r>
          </w:p>
        </w:tc>
      </w:tr>
    </w:tbl>
    <w:p>
      <w:pPr>
        <w:spacing w:before="0" w:after="80"/>
      </w:pPr>
    </w:p>
    <w:p>
      <w:pPr>
        <w:keepNext/>
        <w:spacing w:before="120" w:after="40"/>
      </w:pPr>
      <w:r>
        <w:rPr>
          <w:rFonts w:ascii="Calibri" w:hAnsi="Calibri"/>
          <w:b/>
          <w:i w:val="0"/>
          <w:color w:val="1B365D"/>
          <w:sz w:val="21"/>
        </w:rPr>
        <w:t xml:space="preserve">1. </w:t>
      </w:r>
      <w:r>
        <w:rPr>
          <w:rFonts w:ascii="Calibri" w:hAnsi="Calibri"/>
          <w:b/>
          <w:i w:val="0"/>
          <w:color w:val="0F172A"/>
          <w:sz w:val="21"/>
        </w:rPr>
        <w:t>Hangi varlıklar aynı bölgede? Bölgeleri adlandırıp gruplandırın.</w:t>
      </w:r>
    </w:p>
    <w:p>
      <w:pPr>
        <w:spacing w:before="20" w:after="120" w:line="276" w:lineRule="auto"/>
      </w:pPr>
      <w:r>
        <w:rPr>
          <w:rFonts w:ascii="Calibri" w:hAnsi="Calibri"/>
          <w:b/>
          <w:i w:val="0"/>
          <w:color w:val="0369A1"/>
          <w:sz w:val="19"/>
        </w:rPr>
        <w:t xml:space="preserve">Mühendislik Yanıtı ve Saha Analizi: </w:t>
      </w:r>
      <w:r>
        <w:rPr>
          <w:rFonts w:ascii="Calibri" w:hAnsi="Calibri"/>
          <w:b w:val="0"/>
          <w:i w:val="0"/>
          <w:color w:val="1E293B"/>
          <w:sz w:val="20"/>
        </w:rPr>
        <w:t>Tio Otomasyon robotik hücresi için IEC 62443-3-3 ilkeleri doğrultusunda varlıklar 5 mantıksal ve fiziksel bölgeye ayrılmıştır:</w:t>
        <w:br/>
        <w:t>• Zone 1: Enterprise &amp; Ofis Ağı (Level 4/5): ERP sistemleri, kurumsal veritabanı, ofis e-posta terminalleri.</w:t>
        <w:br/>
        <w:t>• Zone 2: Industrial DMZ (IDMZ - Level 3.5): Uzak servis erişimi sonlandırma noktası (VPN Gateway), Jump Server / Bastion Host, Merkezi Kurumsal CA / PKI Sunucusu, Güvenli Syslog Denetim Sunucusu.</w:t>
        <w:br/>
        <w:t>• Zone 3: Hücre Denetim &amp; Mühendislik Bölgesi (Level 2): SCADA İstemcisi, Operatör HMI Paneli, RobotStudio Mühendislik İş İstasyonu.</w:t>
        <w:br/>
        <w:t>• Zone 4: Hücre Saha &amp; Operasyon Bölgesi (Level 1): Standart Proses PLC, ABB IRB 6750S Robot Kontrolörü (IRC5/OmniCore operasyonel çekirdeği), Konveyör Sürücüleri ve Pnömatik Valf Adaları.</w:t>
        <w:br/>
        <w:t>• Zone 5: Bağımsız Functional Safety Bölgesi (Safety Zone - Level 1S): Safety PLC, ABB SafeMove Pro Emniyet Modülü, Işık Perdeleri, E-stop Güvenlik Röleleri ve Güvenlik Kontaktörleri.</w:t>
      </w:r>
    </w:p>
    <w:p>
      <w:pPr>
        <w:keepNext/>
        <w:spacing w:before="120" w:after="40"/>
      </w:pPr>
      <w:r>
        <w:rPr>
          <w:rFonts w:ascii="Calibri" w:hAnsi="Calibri"/>
          <w:b/>
          <w:i w:val="0"/>
          <w:color w:val="1B365D"/>
          <w:sz w:val="21"/>
        </w:rPr>
        <w:t xml:space="preserve">2. </w:t>
      </w:r>
      <w:r>
        <w:rPr>
          <w:rFonts w:ascii="Calibri" w:hAnsi="Calibri"/>
          <w:b/>
          <w:i w:val="0"/>
          <w:color w:val="0F172A"/>
          <w:sz w:val="21"/>
        </w:rPr>
        <w:t>Safety PLC'yi hangi bölgeye koydunuz — Neden?</w:t>
      </w:r>
    </w:p>
    <w:p>
      <w:pPr>
        <w:spacing w:before="20" w:after="120" w:line="276" w:lineRule="auto"/>
      </w:pPr>
      <w:r>
        <w:rPr>
          <w:rFonts w:ascii="Calibri" w:hAnsi="Calibri"/>
          <w:b/>
          <w:i w:val="0"/>
          <w:color w:val="0369A1"/>
          <w:sz w:val="19"/>
        </w:rPr>
        <w:t xml:space="preserve">Mühendislik Yanıtı ve Saha Analizi: </w:t>
      </w:r>
      <w:r>
        <w:rPr>
          <w:rFonts w:ascii="Calibri" w:hAnsi="Calibri"/>
          <w:b w:val="0"/>
          <w:i w:val="0"/>
          <w:color w:val="1E293B"/>
          <w:sz w:val="20"/>
        </w:rPr>
        <w:t>Safety PLC ve SafeMove Pro donanımı Zone 5 (Bağımsız Safety Zone) içine yerleştirilmiştir. Nedeni: Fonksiyonel emniyet hattının standart kontrol trafiğindeki yayın (broadcast) fırtınalarından, ağ gecikmelerinden (jitter), yetkisiz mühendislik yüklemelerinden ve siber saldırı kaynaklı servis dışı kalma (DoS) risklerinden tamamen yalıtılması zorunluluğudur. Bu bölge yalnızca güvenlik sertifikalı PROFIsafe protokolü ile sınırlandırılmış olup, genel ağ trafiğine kapalıdır.</w:t>
      </w:r>
    </w:p>
    <w:p>
      <w:pPr>
        <w:keepNext/>
        <w:spacing w:before="120" w:after="40"/>
      </w:pPr>
      <w:r>
        <w:rPr>
          <w:rFonts w:ascii="Calibri" w:hAnsi="Calibri"/>
          <w:b/>
          <w:i w:val="0"/>
          <w:color w:val="1B365D"/>
          <w:sz w:val="21"/>
        </w:rPr>
        <w:t xml:space="preserve">3. </w:t>
      </w:r>
      <w:r>
        <w:rPr>
          <w:rFonts w:ascii="Calibri" w:hAnsi="Calibri"/>
          <w:b/>
          <w:i w:val="0"/>
          <w:color w:val="0F172A"/>
          <w:sz w:val="21"/>
        </w:rPr>
        <w:t>Bölgeler arası geçişler (conduit) nerede? Her geçişte ne kontrol edilecek?</w:t>
      </w:r>
    </w:p>
    <w:p>
      <w:pPr>
        <w:spacing w:before="20" w:after="120" w:line="276" w:lineRule="auto"/>
      </w:pPr>
      <w:r>
        <w:rPr>
          <w:rFonts w:ascii="Calibri" w:hAnsi="Calibri"/>
          <w:b/>
          <w:i w:val="0"/>
          <w:color w:val="0369A1"/>
          <w:sz w:val="19"/>
        </w:rPr>
        <w:t xml:space="preserve">Mühendislik Yanıtı ve Saha Analizi: </w:t>
      </w:r>
      <w:r>
        <w:rPr>
          <w:rFonts w:ascii="Calibri" w:hAnsi="Calibri"/>
          <w:b w:val="0"/>
          <w:i w:val="0"/>
          <w:color w:val="1E293B"/>
          <w:sz w:val="20"/>
        </w:rPr>
        <w:t>Bölgeler arası 4 adet kontrollü Conduit (İletişim Kanalı) tanımlanmıştır:</w:t>
        <w:br/>
        <w:t>• Conduit 1 (Zone 1 ↔ Zone 2): Kurumsal Güvenlik Duvarı (Firewall). Yalnızca port 443 (HTTPS) ve IPsec/WireGuard VPN trafiğine izin verilir. X.509 sertifika doğrulaması ve IPS/IDS paket denetimi yapılır.</w:t>
        <w:br/>
        <w:t>• Conduit 2 (Zone 2 ↔ Zone 3): Endüstriyel IDMZ Güvenlik Duvarı. Jump Server üzerinden RDP/SSH oturumları filtrelenir; çift yönlü mTLS kontrolü, MFA oturum denetimi ve protokol bazlı beyaz liste uygulanır.</w:t>
        <w:br/>
        <w:t>• Conduit 3 (Zone 3 ↔ Zone 4): Yönetilebilir Endüstriyel Switch / OT Güvenlik Duvarı (VLAN Ayrımı). Sadece yetkili RobotStudio portları (RobAPI, RWS) ve şifrelenmiş OPC UA (X.509 istemci sertifikalı) trafiğine izin verilir. Şifresiz telnet/ftp kesinlikle engellenir.</w:t>
        <w:br/>
        <w:t>• Conduit 4 (Zone 4 ↔ Zone 5): Özel Emniyet Geçişi. Sadece CRC korumalı ve F-Parameter denetimli PROFIsafe / CIP Safety paketlerine izin verilir. Bu kanaldan standart yönetim trafiği veya web erişimi kesinlikle geçirilemez.</w:t>
      </w:r>
    </w:p>
    <w:p>
      <w:pPr>
        <w:spacing w:before="160" w:after="40"/>
      </w:pPr>
      <w:r>
        <w:rPr>
          <w:rFonts w:ascii="Calibri" w:hAnsi="Calibri"/>
          <w:b/>
          <w:i w:val="0"/>
          <w:color w:val="1B365D"/>
          <w:sz w:val="22"/>
        </w:rPr>
        <w:t>Görev B — Uzak Erişim Kararı (6 Satır)</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160"/>
        <w:gridCol w:w="2592"/>
        <w:gridCol w:w="5040"/>
      </w:tblGrid>
      <w:tr>
        <w:tc>
          <w:tcPr>
            <w:tcW w:type="dxa" w:w="2880"/>
            <w:shd w:fill="1B365D"/>
            <w:tcMar>
              <w:top w:w="100" w:type="dxa"/>
              <w:bottom w:w="100" w:type="dxa"/>
              <w:left w:w="100" w:type="dxa"/>
              <w:right w:w="100" w:type="dxa"/>
            </w:tcMar>
            <w:vAlign w:val="center"/>
          </w:tcPr>
          <w:p>
            <w:pPr>
              <w:spacing w:after="0"/>
              <w:jc w:val="center"/>
            </w:pPr>
            <w:r>
              <w:rPr>
                <w:rFonts w:ascii="Calibri" w:hAnsi="Calibri"/>
                <w:b/>
                <w:i w:val="0"/>
                <w:color w:val="FFFFFF"/>
                <w:sz w:val="18"/>
              </w:rPr>
              <w:t>Karar Parametresi</w:t>
            </w:r>
          </w:p>
        </w:tc>
        <w:tc>
          <w:tcPr>
            <w:tcW w:type="dxa" w:w="2880"/>
            <w:shd w:fill="1B365D"/>
            <w:tcMar>
              <w:top w:w="100" w:type="dxa"/>
              <w:bottom w:w="100" w:type="dxa"/>
              <w:left w:w="100" w:type="dxa"/>
              <w:right w:w="100" w:type="dxa"/>
            </w:tcMar>
            <w:vAlign w:val="center"/>
          </w:tcPr>
          <w:p>
            <w:pPr>
              <w:spacing w:after="0"/>
              <w:jc w:val="center"/>
            </w:pPr>
            <w:r>
              <w:rPr>
                <w:rFonts w:ascii="Calibri" w:hAnsi="Calibri"/>
                <w:b/>
                <w:i w:val="0"/>
                <w:color w:val="FFFFFF"/>
                <w:sz w:val="18"/>
              </w:rPr>
              <w:t>Seçenekler</w:t>
            </w:r>
          </w:p>
        </w:tc>
        <w:tc>
          <w:tcPr>
            <w:tcW w:type="dxa" w:w="2880"/>
            <w:shd w:fill="1B365D"/>
            <w:tcMar>
              <w:top w:w="100" w:type="dxa"/>
              <w:bottom w:w="100" w:type="dxa"/>
              <w:left w:w="100" w:type="dxa"/>
              <w:right w:w="100" w:type="dxa"/>
            </w:tcMar>
            <w:vAlign w:val="center"/>
          </w:tcPr>
          <w:p>
            <w:pPr>
              <w:spacing w:after="0"/>
              <w:jc w:val="center"/>
            </w:pPr>
            <w:r>
              <w:rPr>
                <w:rFonts w:ascii="Calibri" w:hAnsi="Calibri"/>
                <w:b/>
                <w:i w:val="0"/>
                <w:color w:val="FFFFFF"/>
                <w:sz w:val="18"/>
              </w:rPr>
              <w:t>Tio Otomasyon Seçimi + Teknik Gerekçesi</w:t>
            </w:r>
          </w:p>
        </w:tc>
      </w:tr>
      <w:tr>
        <w:tc>
          <w:tcPr>
            <w:tcW w:type="dxa" w:w="288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Aracı?</w:t>
            </w:r>
          </w:p>
        </w:tc>
        <w:tc>
          <w:tcPr>
            <w:tcW w:type="dxa" w:w="288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Doğrudan / Jump server</w:t>
            </w:r>
          </w:p>
        </w:tc>
        <w:tc>
          <w:tcPr>
            <w:tcW w:type="dxa" w:w="288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Jump Server: Robot kontrolörü doğrudan dış ağa veya internete açılamaz. Oturum IDMZ'deki yetkilendirilmiş Jump Host üzerinde sonlandırılarak protokol izolasyonu sağlanır.</w:t>
            </w:r>
          </w:p>
        </w:tc>
      </w:tr>
      <w:tr>
        <w:tc>
          <w:tcPr>
            <w:tcW w:type="dxa" w:w="2880"/>
            <w:shd w:fill="F8FAFC"/>
            <w:tcMar>
              <w:top w:w="90" w:type="dxa"/>
              <w:bottom w:w="90" w:type="dxa"/>
              <w:left w:w="100" w:type="dxa"/>
              <w:right w:w="100" w:type="dxa"/>
            </w:tcMar>
            <w:vAlign w:val="center"/>
          </w:tcPr>
          <w:p>
            <w:pPr>
              <w:spacing w:after="0" w:line="276" w:lineRule="auto"/>
            </w:pPr>
            <w:r>
              <w:rPr>
                <w:rFonts w:ascii="Calibri" w:hAnsi="Calibri"/>
                <w:b w:val="0"/>
                <w:i w:val="0"/>
                <w:color w:val="1E293B"/>
                <w:sz w:val="18"/>
              </w:rPr>
              <w:t>Tünel?</w:t>
            </w:r>
          </w:p>
        </w:tc>
        <w:tc>
          <w:tcPr>
            <w:tcW w:type="dxa" w:w="2880"/>
            <w:shd w:fill="F8FAFC"/>
            <w:tcMar>
              <w:top w:w="90" w:type="dxa"/>
              <w:bottom w:w="90" w:type="dxa"/>
              <w:left w:w="100" w:type="dxa"/>
              <w:right w:w="100" w:type="dxa"/>
            </w:tcMar>
            <w:vAlign w:val="center"/>
          </w:tcPr>
          <w:p>
            <w:pPr>
              <w:spacing w:after="0" w:line="276" w:lineRule="auto"/>
            </w:pPr>
            <w:r>
              <w:rPr>
                <w:rFonts w:ascii="Calibri" w:hAnsi="Calibri"/>
                <w:b w:val="0"/>
                <w:i w:val="0"/>
                <w:color w:val="1E293B"/>
                <w:sz w:val="18"/>
              </w:rPr>
              <w:t>Açık / VPN</w:t>
            </w:r>
          </w:p>
        </w:tc>
        <w:tc>
          <w:tcPr>
            <w:tcW w:type="dxa" w:w="2880"/>
            <w:shd w:fill="F8FAFC"/>
            <w:tcMar>
              <w:top w:w="90" w:type="dxa"/>
              <w:bottom w:w="90" w:type="dxa"/>
              <w:left w:w="100" w:type="dxa"/>
              <w:right w:w="100" w:type="dxa"/>
            </w:tcMar>
            <w:vAlign w:val="center"/>
          </w:tcPr>
          <w:p>
            <w:pPr>
              <w:spacing w:after="0" w:line="276" w:lineRule="auto"/>
            </w:pPr>
            <w:r>
              <w:rPr>
                <w:rFonts w:ascii="Calibri" w:hAnsi="Calibri"/>
                <w:b w:val="0"/>
                <w:i w:val="0"/>
                <w:color w:val="1E293B"/>
                <w:sz w:val="18"/>
              </w:rPr>
              <w:t>VPN: Kurumsal X.509 CA sertifikasıyla uçtan uca şifrelenmiş IPsec veya WireGuard tüneli. Düz metin veya açık portlu internet erişimi kesinlikle yasaktır.</w:t>
            </w:r>
          </w:p>
        </w:tc>
      </w:tr>
      <w:tr>
        <w:tc>
          <w:tcPr>
            <w:tcW w:type="dxa" w:w="288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Kimlik?</w:t>
            </w:r>
          </w:p>
        </w:tc>
        <w:tc>
          <w:tcPr>
            <w:tcW w:type="dxa" w:w="288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Parola / MFA</w:t>
            </w:r>
          </w:p>
        </w:tc>
        <w:tc>
          <w:tcPr>
            <w:tcW w:type="dxa" w:w="288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MFA (Çok Faktörlü Doğrulama): Çalınan veya zayıf parolalarla robota sızılmasını önlemek için donanımsal token (FIDO2) veya TOTP tabanlı çift faktörlü doğrulama zorunludur.</w:t>
            </w:r>
          </w:p>
        </w:tc>
      </w:tr>
      <w:tr>
        <w:tc>
          <w:tcPr>
            <w:tcW w:type="dxa" w:w="2880"/>
            <w:shd w:fill="F8FAFC"/>
            <w:tcMar>
              <w:top w:w="90" w:type="dxa"/>
              <w:bottom w:w="90" w:type="dxa"/>
              <w:left w:w="100" w:type="dxa"/>
              <w:right w:w="100" w:type="dxa"/>
            </w:tcMar>
            <w:vAlign w:val="center"/>
          </w:tcPr>
          <w:p>
            <w:pPr>
              <w:spacing w:after="0" w:line="276" w:lineRule="auto"/>
            </w:pPr>
            <w:r>
              <w:rPr>
                <w:rFonts w:ascii="Calibri" w:hAnsi="Calibri"/>
                <w:b w:val="0"/>
                <w:i w:val="0"/>
                <w:color w:val="1E293B"/>
                <w:sz w:val="18"/>
              </w:rPr>
              <w:t>Hesap?</w:t>
            </w:r>
          </w:p>
        </w:tc>
        <w:tc>
          <w:tcPr>
            <w:tcW w:type="dxa" w:w="2880"/>
            <w:shd w:fill="F8FAFC"/>
            <w:tcMar>
              <w:top w:w="90" w:type="dxa"/>
              <w:bottom w:w="90" w:type="dxa"/>
              <w:left w:w="100" w:type="dxa"/>
              <w:right w:w="100" w:type="dxa"/>
            </w:tcMar>
            <w:vAlign w:val="center"/>
          </w:tcPr>
          <w:p>
            <w:pPr>
              <w:spacing w:after="0" w:line="276" w:lineRule="auto"/>
            </w:pPr>
            <w:r>
              <w:rPr>
                <w:rFonts w:ascii="Calibri" w:hAnsi="Calibri"/>
                <w:b w:val="0"/>
                <w:i w:val="0"/>
                <w:color w:val="1E293B"/>
                <w:sz w:val="18"/>
              </w:rPr>
              <w:t>Paylaşılan / Kişisel</w:t>
            </w:r>
          </w:p>
        </w:tc>
        <w:tc>
          <w:tcPr>
            <w:tcW w:type="dxa" w:w="2880"/>
            <w:shd w:fill="F8FAFC"/>
            <w:tcMar>
              <w:top w:w="90" w:type="dxa"/>
              <w:bottom w:w="90" w:type="dxa"/>
              <w:left w:w="100" w:type="dxa"/>
              <w:right w:w="100" w:type="dxa"/>
            </w:tcMar>
            <w:vAlign w:val="center"/>
          </w:tcPr>
          <w:p>
            <w:pPr>
              <w:spacing w:after="0" w:line="276" w:lineRule="auto"/>
            </w:pPr>
            <w:r>
              <w:rPr>
                <w:rFonts w:ascii="Calibri" w:hAnsi="Calibri"/>
                <w:b w:val="0"/>
                <w:i w:val="0"/>
                <w:color w:val="1E293B"/>
                <w:sz w:val="18"/>
              </w:rPr>
              <w:t>Kişisel Hesap: Ortak 'admin' hesapları yasaktır. Kimin hangi saatte hangi parametreyi değiştirdiğinin adli izlenebilirliği (non-repudiation) için her mühendise özel hesap atanır.</w:t>
            </w:r>
          </w:p>
        </w:tc>
      </w:tr>
      <w:tr>
        <w:tc>
          <w:tcPr>
            <w:tcW w:type="dxa" w:w="288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Kayıt?</w:t>
            </w:r>
          </w:p>
        </w:tc>
        <w:tc>
          <w:tcPr>
            <w:tcW w:type="dxa" w:w="288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Yok / Tam oturum kaydı</w:t>
            </w:r>
          </w:p>
        </w:tc>
        <w:tc>
          <w:tcPr>
            <w:tcW w:type="dxa" w:w="288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Tam Oturum Kaydı: Uzaktan erişim esnasındaki tüm oturum ekran görüntüleri, girilen komutlar (keystroke) ve sistem olayları güvenli Syslog sunucusunda zaman damgalı arşivlenir (CRA uyumu).</w:t>
            </w:r>
          </w:p>
        </w:tc>
      </w:tr>
      <w:tr>
        <w:tc>
          <w:tcPr>
            <w:tcW w:type="dxa" w:w="2880"/>
            <w:shd w:fill="F8FAFC"/>
            <w:tcMar>
              <w:top w:w="90" w:type="dxa"/>
              <w:bottom w:w="90" w:type="dxa"/>
              <w:left w:w="100" w:type="dxa"/>
              <w:right w:w="100" w:type="dxa"/>
            </w:tcMar>
            <w:vAlign w:val="center"/>
          </w:tcPr>
          <w:p>
            <w:pPr>
              <w:spacing w:after="0" w:line="276" w:lineRule="auto"/>
            </w:pPr>
            <w:r>
              <w:rPr>
                <w:rFonts w:ascii="Calibri" w:hAnsi="Calibri"/>
                <w:b w:val="0"/>
                <w:i w:val="0"/>
                <w:color w:val="1E293B"/>
                <w:sz w:val="18"/>
              </w:rPr>
              <w:t>Zamanlama?</w:t>
            </w:r>
          </w:p>
        </w:tc>
        <w:tc>
          <w:tcPr>
            <w:tcW w:type="dxa" w:w="2880"/>
            <w:shd w:fill="F8FAFC"/>
            <w:tcMar>
              <w:top w:w="90" w:type="dxa"/>
              <w:bottom w:w="90" w:type="dxa"/>
              <w:left w:w="100" w:type="dxa"/>
              <w:right w:w="100" w:type="dxa"/>
            </w:tcMar>
            <w:vAlign w:val="center"/>
          </w:tcPr>
          <w:p>
            <w:pPr>
              <w:spacing w:after="0" w:line="276" w:lineRule="auto"/>
            </w:pPr>
            <w:r>
              <w:rPr>
                <w:rFonts w:ascii="Calibri" w:hAnsi="Calibri"/>
                <w:b w:val="0"/>
                <w:i w:val="0"/>
                <w:color w:val="1E293B"/>
                <w:sz w:val="18"/>
              </w:rPr>
              <w:t>Sürekli açık / Varsayılan kapalı</w:t>
            </w:r>
          </w:p>
        </w:tc>
        <w:tc>
          <w:tcPr>
            <w:tcW w:type="dxa" w:w="2880"/>
            <w:shd w:fill="F8FAFC"/>
            <w:tcMar>
              <w:top w:w="90" w:type="dxa"/>
              <w:bottom w:w="90" w:type="dxa"/>
              <w:left w:w="100" w:type="dxa"/>
              <w:right w:w="100" w:type="dxa"/>
            </w:tcMar>
            <w:vAlign w:val="center"/>
          </w:tcPr>
          <w:p>
            <w:pPr>
              <w:spacing w:after="0" w:line="276" w:lineRule="auto"/>
            </w:pPr>
            <w:r>
              <w:rPr>
                <w:rFonts w:ascii="Calibri" w:hAnsi="Calibri"/>
                <w:b w:val="0"/>
                <w:i w:val="0"/>
                <w:color w:val="1E293B"/>
                <w:sz w:val="18"/>
              </w:rPr>
              <w:t>Varsayılan Kapalı (Default-Deny): Uzak erişim portu sürekli açık bırakılmaz; yalnızca onaylı bakım taleplerinde fiziksel bir anahtarla veya zaman kısıtlı dijital yetkiyle açılır, iş bitince otomatik kapanır.</w:t>
            </w:r>
          </w:p>
        </w:tc>
      </w:tr>
    </w:tbl>
    <w:p>
      <w:pPr>
        <w:spacing w:before="0" w:after="80"/>
      </w:pPr>
    </w:p>
    <w:p>
      <w:pPr>
        <w:spacing w:before="240" w:after="40"/>
      </w:pPr>
      <w:r>
        <w:rPr>
          <w:rFonts w:ascii="Calibri" w:hAnsi="Calibri"/>
          <w:b/>
          <w:i w:val="0"/>
          <w:color w:val="1B365D"/>
          <w:sz w:val="19"/>
        </w:rPr>
        <w:t>Bu föyün çıktısı: Zone / Conduit Diagram → Evidence Pack EP 05 Zone &amp; Conduit</w:t>
        <w:br/>
      </w:r>
      <w:r>
        <w:rPr>
          <w:rFonts w:ascii="Calibri" w:hAnsi="Calibri"/>
          <w:b w:val="0"/>
          <w:i/>
          <w:color w:val="64748B"/>
          <w:sz w:val="16"/>
        </w:rPr>
        <w:t>SAFETY 4.0 BOOTCAMP · Genel Sürüm · Bu doküman kurumsal teknik dosya ve denetim kanıt paketinin bir parçasıdır.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