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64748B"/>
          <w:sz w:val="18"/>
        </w:rPr>
        <w:t>INSPECCO x KRIPTARIUM  |  SAFETY 4.0 BOOTCAMP</w:t>
        <w:br/>
      </w:r>
      <w:r>
        <w:rPr>
          <w:rFonts w:ascii="Calibri" w:hAnsi="Calibri"/>
          <w:b w:val="0"/>
          <w:i/>
          <w:color w:val="475569"/>
          <w:sz w:val="19"/>
        </w:rPr>
        <w:t>Hafta 4 · LABORATUVAR 4 · GENEL SÜRÜM · Şişeleme Hattı &amp; ABB Robotik Hücre Entegrasyonu</w:t>
        <w:br/>
      </w:r>
    </w:p>
    <w:p>
      <w:pPr>
        <w:spacing w:before="80" w:after="40"/>
      </w:pPr>
      <w:r>
        <w:rPr>
          <w:rFonts w:ascii="Calibri" w:hAnsi="Calibri"/>
          <w:b/>
          <w:i w:val="0"/>
          <w:color w:val="1B365D"/>
          <w:sz w:val="36"/>
        </w:rPr>
        <w:t>Secure Remote Access</w:t>
      </w:r>
    </w:p>
    <w:p>
      <w:pPr>
        <w:spacing w:before="40" w:after="160"/>
      </w:pPr>
      <w:r>
        <w:rPr>
          <w:rFonts w:ascii="Calibri" w:hAnsi="Calibri"/>
          <w:b/>
          <w:i w:val="0"/>
          <w:color w:val="1E40AF"/>
          <w:sz w:val="20"/>
        </w:rPr>
        <w:t>Belgelendirme Çıktısı: Secure Architecture (Evidence Pack EP 02 + EP 06)</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3600"/>
        <w:gridCol w:w="3312"/>
        <w:gridCol w:w="2880"/>
      </w:tblGrid>
      <w:tr>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Ad Soyad: </w:t>
            </w:r>
            <w:r>
              <w:rPr>
                <w:rFonts w:ascii="Calibri" w:hAnsi="Calibri"/>
                <w:b w:val="0"/>
                <w:i w:val="0"/>
                <w:color w:val="0F172A"/>
                <w:sz w:val="17"/>
              </w:rPr>
              <w:t>Tio Otomasyon Proje Ekibi</w:t>
            </w:r>
          </w:p>
        </w:tc>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Grup: </w:t>
            </w:r>
            <w:r>
              <w:rPr>
                <w:rFonts w:ascii="Calibri" w:hAnsi="Calibri"/>
                <w:b w:val="0"/>
                <w:i w:val="0"/>
                <w:color w:val="0F172A"/>
                <w:sz w:val="17"/>
              </w:rPr>
              <w:t>OT Siber Güvenlik &amp; Robotik</w:t>
            </w:r>
          </w:p>
        </w:tc>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Tarih: </w:t>
            </w:r>
            <w:r>
              <w:rPr>
                <w:rFonts w:ascii="Calibri" w:hAnsi="Calibri"/>
                <w:b w:val="0"/>
                <w:i w:val="0"/>
                <w:color w:val="0F172A"/>
                <w:sz w:val="17"/>
              </w:rPr>
              <w:t>25 Ekim 2026</w:t>
            </w:r>
          </w:p>
        </w:tc>
      </w:tr>
    </w:tbl>
    <w:p>
      <w:pPr>
        <w:spacing w:before="80" w:after="80"/>
      </w:pPr>
    </w:p>
    <w:tbl>
      <w:tblPr>
        <w:tblW w:type="auto" w:w="0"/>
        <w:jc w:val="center"/>
        <w:tblLayout w:type="fixed"/>
        <w:tblLook w:firstColumn="1" w:firstRow="1" w:lastColumn="0" w:lastRow="0" w:noHBand="0" w:noVBand="1" w:val="04A0"/>
      </w:tblPr>
      <w:tblGrid>
        <w:gridCol w:w="9792"/>
      </w:tblGrid>
      <w:tr>
        <w:tc>
          <w:tcPr>
            <w:tcW w:type="dxa" w:w="8640"/>
            <w:shd w:fill="F1F5F9"/>
            <w:tcMar>
              <w:top w:w="140" w:type="dxa"/>
              <w:bottom w:w="140" w:type="dxa"/>
              <w:left w:w="200" w:type="dxa"/>
              <w:right w:w="180" w:type="dxa"/>
            </w:tcMar>
            <w:tcBorders>
              <w:left w:val="single" w:sz="24" w:space="0" w:color="1B365D"/>
              <w:top w:val="none"/>
              <w:right w:val="none"/>
              <w:bottom w:val="none"/>
            </w:tcBorders>
          </w:tcPr>
          <w:p>
            <w:pPr>
              <w:spacing w:before="40" w:after="40" w:line="276" w:lineRule="auto"/>
            </w:pPr>
            <w:r>
              <w:rPr>
                <w:rFonts w:ascii="Calibri" w:hAnsi="Calibri"/>
                <w:b/>
                <w:i w:val="0"/>
                <w:color w:val="1B365D"/>
                <w:sz w:val="21"/>
              </w:rPr>
              <w:t>Kavram: Çift Katmanlı Koruma Mimarisi</w:t>
              <w:br/>
            </w:r>
            <w:r>
              <w:rPr>
                <w:rFonts w:ascii="Calibri" w:hAnsi="Calibri"/>
                <w:b w:val="0"/>
                <w:i w:val="0"/>
                <w:color w:val="334155"/>
                <w:sz w:val="20"/>
              </w:rPr>
              <w:t>İki katman, ikisi de şarttır: 1) Erişim Güvenliği (girişi zorlaştır: ara nokta Jump Host, VPN, MFA, kişisel hesap, tam kayıt, varsayılan kapalı) + 2) Emniyet Bağımsızlığı (saldırgan içeri girse bile insan hayatı korunur).</w:t>
            </w:r>
          </w:p>
        </w:tc>
      </w:tr>
    </w:tbl>
    <w:p>
      <w:pPr>
        <w:spacing w:before="0" w:after="80"/>
      </w:pPr>
    </w:p>
    <w:p>
      <w:pPr>
        <w:spacing w:before="120" w:after="40"/>
      </w:pPr>
      <w:r>
        <w:rPr>
          <w:rFonts w:ascii="Calibri" w:hAnsi="Calibri"/>
          <w:b/>
          <w:i w:val="0"/>
          <w:color w:val="1B365D"/>
          <w:sz w:val="22"/>
        </w:rPr>
        <w:t>Görev A — Mevcut Durum → Hedef Mimari Tasarımı</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0"/>
        <w:gridCol w:w="3744"/>
        <w:gridCol w:w="3888"/>
      </w:tblGrid>
      <w:tr>
        <w:tc>
          <w:tcPr>
            <w:tcW w:type="dxa" w:w="288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Boyut</w:t>
            </w:r>
          </w:p>
        </w:tc>
        <w:tc>
          <w:tcPr>
            <w:tcW w:type="dxa" w:w="288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MEVCUT DURUM (Geleneksel Zaafiyetli Yapı)</w:t>
            </w:r>
          </w:p>
        </w:tc>
        <w:tc>
          <w:tcPr>
            <w:tcW w:type="dxa" w:w="2880"/>
            <w:shd w:fill="1B365D"/>
            <w:tcMar>
              <w:top w:w="100" w:type="dxa"/>
              <w:bottom w:w="100" w:type="dxa"/>
              <w:left w:w="100" w:type="dxa"/>
              <w:right w:w="100" w:type="dxa"/>
            </w:tcMar>
            <w:vAlign w:val="center"/>
          </w:tcPr>
          <w:p>
            <w:pPr>
              <w:spacing w:after="0"/>
              <w:jc w:val="center"/>
            </w:pPr>
            <w:r>
              <w:rPr>
                <w:rFonts w:ascii="Calibri" w:hAnsi="Calibri"/>
                <w:b/>
                <w:i w:val="0"/>
                <w:color w:val="FFFFFF"/>
                <w:sz w:val="18"/>
              </w:rPr>
              <w:t>HEDEF MİMARİ (Beş İlkeyle Yeniden Tasarım)</w:t>
            </w:r>
          </w:p>
        </w:tc>
      </w:tr>
      <w:tr>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Bağlantı Noktası</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Müşteri fabrikasındaki bir teknisyen bilgisayarına TeamViewer / AnyDesk ile bağlanma veya robota doğrudan port yönlendirme (Port Forwarding).</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1. Ara Nokta (Jump Host): Robot kontrolörüne dışarıdan doğrudan IP bağlantısı imkansızdır. Tüm oturumlar IDMZ içinde yer alan yalıtılmış Jump Server üzerinde sonlandırılır.</w:t>
            </w:r>
          </w:p>
        </w:tc>
      </w:tr>
      <w:tr>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Haberleşme Güvenliği</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Açık internet üzerinden şifresiz veya zayıf şifreli bağlantı, kontrolör web sunucusunda kendinden imzalı (self-signed) geçersiz sertifika.</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2. Güvenli Tünel: Kurumsal X.509 Kök/Ara CA tarafından imzalanmış makine sertifikalarıyla IPsec IKEv2 veya WireGuard tabanlı uçtan uca şifreli VPN tüneli.</w:t>
            </w:r>
          </w:p>
        </w:tc>
      </w:tr>
      <w:tr>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Kimlik Doğrulama</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Yalnızca statik şifre kullanımı, şifrelerin saha panolarına veya yapışkan notlara yazılması riski.</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3. Çok Faktörlü Doğrulama (MFA): Donanımsal FIDO2 güvenlik anahtarı veya zaman tabanlı TOTP zorunluluğu; kimlik doğrulanamazsa tünel kurulamaz.</w:t>
            </w:r>
          </w:p>
        </w:tc>
      </w:tr>
      <w:tr>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Hesap ve Yetki</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Tüm bakım ekibinin paylaştığı tek bir 'admin' / 'service' hesabı.</w:t>
            </w:r>
          </w:p>
        </w:tc>
        <w:tc>
          <w:tcPr>
            <w:tcW w:type="dxa" w:w="2880"/>
            <w:shd w:fill="F8FAFC"/>
            <w:tcMar>
              <w:top w:w="90" w:type="dxa"/>
              <w:bottom w:w="90" w:type="dxa"/>
              <w:left w:w="100" w:type="dxa"/>
              <w:right w:w="100" w:type="dxa"/>
            </w:tcMar>
            <w:vAlign w:val="center"/>
          </w:tcPr>
          <w:p>
            <w:pPr>
              <w:spacing w:after="0" w:line="276" w:lineRule="auto"/>
            </w:pPr>
            <w:r>
              <w:rPr>
                <w:rFonts w:ascii="Calibri" w:hAnsi="Calibri"/>
                <w:b w:val="0"/>
                <w:i w:val="0"/>
                <w:color w:val="1E293B"/>
                <w:sz w:val="18"/>
              </w:rPr>
              <w:t>4. Kişisel Hesap ve RBAC: Her mühendise özel tanımlanmış hesap, rol tabanlı yetkilendirme (RobotStudio UAS entegrasyonu) ve inkar edilemezlik.</w:t>
            </w:r>
          </w:p>
        </w:tc>
      </w:tr>
      <w:tr>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Denetim ve Zamanlama</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Oturum kaydı tutulmaz, uzaktan erişim portu fabrikada 7/24 sürekli açık bırakılır.</w:t>
            </w:r>
          </w:p>
        </w:tc>
        <w:tc>
          <w:tcPr>
            <w:tcW w:type="dxa" w:w="2880"/>
            <w:shd w:fill="FFFFFF"/>
            <w:tcMar>
              <w:top w:w="90" w:type="dxa"/>
              <w:bottom w:w="90" w:type="dxa"/>
              <w:left w:w="100" w:type="dxa"/>
              <w:right w:w="100" w:type="dxa"/>
            </w:tcMar>
            <w:vAlign w:val="center"/>
          </w:tcPr>
          <w:p>
            <w:pPr>
              <w:spacing w:after="0" w:line="276" w:lineRule="auto"/>
            </w:pPr>
            <w:r>
              <w:rPr>
                <w:rFonts w:ascii="Calibri" w:hAnsi="Calibri"/>
                <w:b w:val="0"/>
                <w:i w:val="0"/>
                <w:color w:val="1E293B"/>
                <w:sz w:val="18"/>
              </w:rPr>
              <w:t>5. Tam Oturum Kaydı ve Varsayılan Kapalı: RDP/SSH oturumunun video ve keystroke kaydı güvenli Syslog'a yazılır. Hat varsayılan olarak kapalıdır (default-deny), bakım talebiyle süreli açılır.</w:t>
            </w:r>
          </w:p>
        </w:tc>
      </w:tr>
    </w:tbl>
    <w:p>
      <w:pPr>
        <w:spacing w:before="0" w:after="80"/>
      </w:pPr>
    </w:p>
    <w:p>
      <w:pPr>
        <w:spacing w:before="160" w:after="40"/>
      </w:pPr>
      <w:r>
        <w:rPr>
          <w:rFonts w:ascii="Calibri" w:hAnsi="Calibri"/>
          <w:b/>
          <w:i w:val="0"/>
          <w:color w:val="1B365D"/>
          <w:sz w:val="22"/>
        </w:rPr>
        <w:t>Görev B — Functional Safety Köprüsü</w:t>
      </w:r>
    </w:p>
    <w:p>
      <w:pPr>
        <w:keepNext/>
        <w:spacing w:before="120" w:after="40"/>
      </w:pPr>
      <w:r>
        <w:rPr>
          <w:rFonts w:ascii="Calibri" w:hAnsi="Calibri"/>
          <w:b/>
          <w:i w:val="0"/>
          <w:color w:val="1B365D"/>
          <w:sz w:val="21"/>
        </w:rPr>
        <w:t xml:space="preserve">1. </w:t>
      </w:r>
      <w:r>
        <w:rPr>
          <w:rFonts w:ascii="Calibri" w:hAnsi="Calibri"/>
          <w:b/>
          <w:i w:val="0"/>
          <w:color w:val="0F172A"/>
          <w:sz w:val="21"/>
        </w:rPr>
        <w:t>Saldırgan tüm önlemlere rağmen içeri girerse: emniyet fonksiyonu etkilenir mi? Neden?</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Tio Otomasyon mimarisinde HAYIR, emniyet fonksiyonu etkilenmez. Çünkü ABB IRB 6750S hücresinde operasyonel kontrolör yazılımı ile SafeMove Pro emniyet sistemi donanımsal ve mantıksal olarak birbirinden ayrılmıştır. Saldırgan robot kontrolörünün tüm RAPID programlama kodlarını değiştirse dahi, SafeMove emniyet konfigürasyonu ayrı bir güvenlik şifresi, bağımsız CRC doğrulama anahtarı ve ayrı bir işlemci çekirdeği ile kilitlenmiştir. Robot kolu izin verilen koordinat sınırını aştığı veya emniyet hızı limitinin üzerine çıktığı milisaniye içinde, SafeMove doğrudan donanımsal STO (Safe Torque Off) hattını tetikleyerek sürücü enerjisini keser.</w:t>
      </w:r>
    </w:p>
    <w:p>
      <w:pPr>
        <w:keepNext/>
        <w:spacing w:before="120" w:after="40"/>
      </w:pPr>
      <w:r>
        <w:rPr>
          <w:rFonts w:ascii="Calibri" w:hAnsi="Calibri"/>
          <w:b/>
          <w:i w:val="0"/>
          <w:color w:val="1B365D"/>
          <w:sz w:val="21"/>
        </w:rPr>
        <w:t xml:space="preserve">2. </w:t>
      </w:r>
      <w:r>
        <w:rPr>
          <w:rFonts w:ascii="Calibri" w:hAnsi="Calibri"/>
          <w:b/>
          <w:i w:val="0"/>
          <w:color w:val="0F172A"/>
          <w:sz w:val="21"/>
        </w:rPr>
        <w:t>Emniyet fonksiyonunun kontrol sisteminden bağımsız çalışması için GEREKSİNİMİ yazın (çözümü değil).</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SİSTEM GEREKSİNİMİ: 'Proses kontrol sisteminde veya uzaktan erişim katmanında meydana gelebilecek herhangi bir siber güvenlik ihlali, yetkisiz yazılım yüklemesi, komut manipülasyonu veya haberleşme arızası; insanın korunmasını sağlayan emniyet fonksiyonlarının deterministik tepki süresini, durdurma kabiliyetini ve önceden onaylanmış fiziksel güvenlik sınırlarını hiçbir çalışma modunda geçersiz kılamaz, devre dışı bırakamaz veya geciktiremez.'</w:t>
      </w:r>
    </w:p>
    <w:tbl>
      <w:tblPr>
        <w:tblW w:type="auto" w:w="0"/>
        <w:jc w:val="center"/>
        <w:tblLayout w:type="fixed"/>
        <w:tblLook w:firstColumn="1" w:firstRow="1" w:lastColumn="0" w:lastRow="0" w:noHBand="0" w:noVBand="1" w:val="04A0"/>
      </w:tblPr>
      <w:tblGrid>
        <w:gridCol w:w="9792"/>
      </w:tblGrid>
      <w:tr>
        <w:tc>
          <w:tcPr>
            <w:tcW w:type="dxa" w:w="8640"/>
            <w:shd w:fill="F8FAFC"/>
            <w:tcMar>
              <w:top w:w="140" w:type="dxa"/>
              <w:bottom w:w="140" w:type="dxa"/>
              <w:left w:w="200" w:type="dxa"/>
              <w:right w:w="180" w:type="dxa"/>
            </w:tcMar>
            <w:tcBorders>
              <w:left w:val="single" w:sz="24" w:space="0" w:color="64748B"/>
              <w:top w:val="none"/>
              <w:right w:val="none"/>
              <w:bottom w:val="none"/>
            </w:tcBorders>
          </w:tcPr>
          <w:p>
            <w:pPr>
              <w:spacing w:before="40" w:after="40" w:line="276" w:lineRule="auto"/>
            </w:pPr>
            <w:r>
              <w:rPr>
                <w:rFonts w:ascii="Calibri" w:hAnsi="Calibri"/>
                <w:b/>
                <w:i w:val="0"/>
                <w:color w:val="1B365D"/>
                <w:sz w:val="21"/>
              </w:rPr>
              <w:t>Tarafsızlık Notu</w:t>
              <w:br/>
            </w:r>
            <w:r>
              <w:rPr>
                <w:rFonts w:ascii="Calibri" w:hAnsi="Calibri"/>
                <w:b w:val="0"/>
                <w:i w:val="0"/>
                <w:color w:val="334155"/>
                <w:sz w:val="20"/>
              </w:rPr>
              <w:t>Bu föy belirli bir ticari marka çözümü dayatmaz; temel siber-emniyet ayrım gereksinimini tanımlatır. Tasarım kararı ve mühendislik doğrulaması entegratör firmanızındır.</w:t>
            </w:r>
          </w:p>
        </w:tc>
      </w:tr>
    </w:tbl>
    <w:p>
      <w:pPr>
        <w:spacing w:before="0" w:after="80"/>
      </w:pPr>
    </w:p>
    <w:p>
      <w:pPr>
        <w:spacing w:before="240" w:after="40"/>
      </w:pPr>
      <w:r>
        <w:rPr>
          <w:rFonts w:ascii="Calibri" w:hAnsi="Calibri"/>
          <w:b/>
          <w:i w:val="0"/>
          <w:color w:val="1B365D"/>
          <w:sz w:val="19"/>
        </w:rPr>
        <w:t>Bu föyün çıktısı: Secure Architecture → Evidence Pack EP 02 + EP 06</w:t>
        <w:br/>
      </w:r>
      <w:r>
        <w:rPr>
          <w:rFonts w:ascii="Calibri" w:hAnsi="Calibri"/>
          <w:b w:val="0"/>
          <w:i/>
          <w:color w:val="64748B"/>
          <w:sz w:val="16"/>
        </w:rPr>
        <w:t>SAFETY 4.0 BOOTCAMP · Genel Sürüm · Bu doküman kurumsal teknik dosya ve denetim kanıt paketinin bir parçasıdır.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