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64748B"/>
          <w:sz w:val="19"/>
        </w:rPr>
        <w:t>TİO OTOMASYON MÜHENDİSLİK  |  OT SİBER GÜVENLİK VE EMNİYET RAPORU</w:t>
        <w:br/>
      </w:r>
    </w:p>
    <w:p>
      <w:pPr>
        <w:spacing w:before="80" w:after="40"/>
      </w:pPr>
      <w:r>
        <w:rPr>
          <w:rFonts w:ascii="Calibri" w:hAnsi="Calibri"/>
          <w:b/>
          <w:i w:val="0"/>
          <w:color w:val="1B365D"/>
          <w:sz w:val="36"/>
        </w:rPr>
        <w:t>ABB IRB 6750S-185/3.9 LID Robot Hücresi SWOT Analizi</w:t>
      </w:r>
    </w:p>
    <w:p>
      <w:pPr>
        <w:spacing w:before="40" w:after="160"/>
      </w:pPr>
      <w:r>
        <w:rPr>
          <w:rFonts w:ascii="Calibri" w:hAnsi="Calibri"/>
          <w:b w:val="0"/>
          <w:i/>
          <w:color w:val="475569"/>
          <w:sz w:val="21"/>
        </w:rPr>
        <w:t>EU Cyber Resilience Act (CRA), Yeni Makine Yönetmeliği (2023/1230) ve X.509 PKI/CA Uyumluluk İncelemesi</w:t>
      </w:r>
    </w:p>
    <w:tbl>
      <w:tblPr>
        <w:tblW w:type="auto" w:w="0"/>
        <w:jc w:val="center"/>
        <w:tblLayout w:type="fixed"/>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3600"/>
        <w:gridCol w:w="3312"/>
        <w:gridCol w:w="2880"/>
      </w:tblGrid>
      <w:tr>
        <w:tc>
          <w:tcPr>
            <w:tcW w:type="dxa" w:w="2880"/>
            <w:shd w:fill="F8FAFC"/>
            <w:tcMar>
              <w:top w:w="70" w:type="dxa"/>
              <w:bottom w:w="70" w:type="dxa"/>
              <w:left w:w="90" w:type="dxa"/>
              <w:right w:w="90" w:type="dxa"/>
            </w:tcMar>
          </w:tcPr>
          <w:p>
            <w:pPr>
              <w:spacing w:after="0"/>
            </w:pPr>
            <w:r>
              <w:rPr>
                <w:rFonts w:ascii="Calibri" w:hAnsi="Calibri"/>
                <w:b/>
                <w:i w:val="0"/>
                <w:color w:val="475569"/>
                <w:sz w:val="17"/>
              </w:rPr>
              <w:t xml:space="preserve">Doküman No: </w:t>
            </w:r>
            <w:r>
              <w:rPr>
                <w:rFonts w:ascii="Calibri" w:hAnsi="Calibri"/>
                <w:b w:val="0"/>
                <w:i w:val="0"/>
                <w:color w:val="0F172A"/>
                <w:sz w:val="17"/>
              </w:rPr>
              <w:t>TIO-OT-SWOT-2026-01</w:t>
            </w:r>
          </w:p>
        </w:tc>
        <w:tc>
          <w:tcPr>
            <w:tcW w:type="dxa" w:w="2880"/>
            <w:shd w:fill="F8FAFC"/>
            <w:tcMar>
              <w:top w:w="70" w:type="dxa"/>
              <w:bottom w:w="70" w:type="dxa"/>
              <w:left w:w="90" w:type="dxa"/>
              <w:right w:w="90" w:type="dxa"/>
            </w:tcMar>
          </w:tcPr>
          <w:p>
            <w:pPr>
              <w:spacing w:after="0"/>
            </w:pPr>
            <w:r>
              <w:rPr>
                <w:rFonts w:ascii="Calibri" w:hAnsi="Calibri"/>
                <w:b/>
                <w:i w:val="0"/>
                <w:color w:val="475569"/>
                <w:sz w:val="17"/>
              </w:rPr>
              <w:t xml:space="preserve">Tarih: </w:t>
            </w:r>
            <w:r>
              <w:rPr>
                <w:rFonts w:ascii="Calibri" w:hAnsi="Calibri"/>
                <w:b w:val="0"/>
                <w:i w:val="0"/>
                <w:color w:val="0F172A"/>
                <w:sz w:val="17"/>
              </w:rPr>
              <w:t>25 Ekim 2026</w:t>
            </w:r>
          </w:p>
        </w:tc>
        <w:tc>
          <w:tcPr>
            <w:tcW w:type="dxa" w:w="2880"/>
            <w:shd w:fill="F8FAFC"/>
            <w:tcMar>
              <w:top w:w="70" w:type="dxa"/>
              <w:bottom w:w="70" w:type="dxa"/>
              <w:left w:w="90" w:type="dxa"/>
              <w:right w:w="90" w:type="dxa"/>
            </w:tcMar>
          </w:tcPr>
          <w:p>
            <w:pPr>
              <w:spacing w:after="0"/>
            </w:pPr>
            <w:r>
              <w:rPr>
                <w:rFonts w:ascii="Calibri" w:hAnsi="Calibri"/>
                <w:b/>
                <w:i w:val="0"/>
                <w:color w:val="475569"/>
                <w:sz w:val="17"/>
              </w:rPr>
              <w:t xml:space="preserve">Hedef Sistem: </w:t>
            </w:r>
            <w:r>
              <w:rPr>
                <w:rFonts w:ascii="Calibri" w:hAnsi="Calibri"/>
                <w:b w:val="0"/>
                <w:i w:val="0"/>
                <w:color w:val="0F172A"/>
                <w:sz w:val="17"/>
              </w:rPr>
              <w:t>ABB IRB 6750S-185/3.9 LID</w:t>
            </w:r>
          </w:p>
        </w:tc>
      </w:tr>
    </w:tbl>
    <w:tbl>
      <w:tblPr>
        <w:tblW w:type="auto" w:w="0"/>
        <w:jc w:val="center"/>
        <w:tblLayout w:type="fixed"/>
        <w:tblLook w:firstColumn="1" w:firstRow="1" w:lastColumn="0" w:lastRow="0" w:noHBand="0" w:noVBand="1" w:val="04A0"/>
      </w:tblPr>
      <w:tblGrid>
        <w:gridCol w:w="9792"/>
      </w:tblGrid>
      <w:tr>
        <w:tc>
          <w:tcPr>
            <w:tcW w:type="dxa" w:w="8640"/>
            <w:shd w:fill="F1F5F9"/>
            <w:tcMar>
              <w:top w:w="140" w:type="dxa"/>
              <w:bottom w:w="140" w:type="dxa"/>
              <w:left w:w="200" w:type="dxa"/>
              <w:right w:w="180" w:type="dxa"/>
            </w:tcMar>
            <w:tcBorders>
              <w:left w:val="single" w:sz="24" w:space="0" w:color="1B365D"/>
              <w:top w:val="none"/>
              <w:right w:val="none"/>
              <w:bottom w:val="none"/>
            </w:tcBorders>
          </w:tcPr>
          <w:p>
            <w:pPr>
              <w:spacing w:before="40" w:after="40" w:line="276" w:lineRule="auto"/>
            </w:pPr>
            <w:r>
              <w:rPr>
                <w:rFonts w:ascii="Calibri" w:hAnsi="Calibri"/>
                <w:b/>
                <w:i w:val="0"/>
                <w:color w:val="1B365D"/>
                <w:sz w:val="21"/>
              </w:rPr>
              <w:t>Yönetici Özeti ve Mevzuat Bağlamı</w:t>
              <w:br/>
            </w:r>
            <w:r>
              <w:rPr>
                <w:rFonts w:ascii="Calibri" w:hAnsi="Calibri"/>
                <w:b w:val="0"/>
                <w:i w:val="0"/>
                <w:color w:val="334155"/>
                <w:sz w:val="20"/>
              </w:rPr>
              <w:t>Bu rapor; Tio Otomasyon bünyesinde anahtar teslim otomotiv ve pres besleme projelerinde kullanılan ABB IRB 6750S-185/3.9 LID endüstriyel robot hücresinin, Avrupa Birliği Siber Dayanıklılık Yasası (EU CRA) ve 2027 yürürlük tarihli Yeni Makine Yönetmeliği (EU 2023/1230) gereğince zorunlu kılınan X.509 CA sertifikasyon altyapısı, güvenli uzaktan erişim ve siber-emniyet entegrasyonu karşısındaki stratejik konumunu analiz etmektedir.</w:t>
            </w:r>
          </w:p>
        </w:tc>
      </w:tr>
    </w:tbl>
    <w:p>
      <w:pPr>
        <w:spacing w:before="0" w:after="80"/>
      </w:pPr>
    </w:p>
    <w:p>
      <w:pPr>
        <w:spacing w:before="160" w:after="40"/>
      </w:pPr>
      <w:r>
        <w:rPr>
          <w:rFonts w:ascii="Calibri" w:hAnsi="Calibri"/>
          <w:b/>
          <w:i w:val="0"/>
          <w:color w:val="1B365D"/>
          <w:sz w:val="24"/>
        </w:rPr>
        <w:t>1. Güçlü Yönler (Strengths)</w:t>
      </w:r>
    </w:p>
    <w:p>
      <w:pPr>
        <w:spacing w:before="20" w:after="120" w:line="276" w:lineRule="auto"/>
      </w:pPr>
      <w:r>
        <w:rPr>
          <w:rFonts w:ascii="Calibri" w:hAnsi="Calibri"/>
          <w:b w:val="0"/>
          <w:i w:val="0"/>
          <w:color w:val="1E293B"/>
          <w:sz w:val="20"/>
        </w:rPr>
        <w:t>• Donanım ve Kriptografik Protokol Olgunluğu: ABB OmniCore ve IRC5 kontrolör serisi; TLS 1.3/1.2, SFTP, IPsec tünelleme ve IEEE 802.1X protokollerini desteklemektedir. Robotun web arayüzü ve haberleşme portları yerel olarak X.509 sertifika yönetimine uygundur.</w:t>
        <w:br/>
        <w:t>• Donanımsal ve Mantıksal Emniyet Ayrımı (SafeMove Pro): Hücre emniyeti, operasyonel kontrolör mantığından bağımsız çalışan SafeMove Pro güvenlik denetleyicisi ve PROFIsafe fieldbus hattı ile korunmaktadır. Siber manipülasyon operasyonel yazılıma ulaşsa dahi, güvenli duruş (STO), hız sınırı (SLS) ve eksen limitleri fiziksel olarak izole kalır.</w:t>
        <w:br/>
        <w:t>• Gelişmiş Kimlik ve Yetki Yönetimi (UAS &amp; RBAC): RobotStudio Kullanıcı Yetkilendirme Sistemi (UAS), mühendis, teknisyen ve operatör rollerini kesin sınırlarla ayırmaktadır. Konfigürasyon yüklemelerinde dijital imza zorunluluğu getirilebilmektedir.</w:t>
        <w:br/>
        <w:t>• Tio Otomasyon'un Saha Entegrasyon Yetkinliği: Firmamızın bus haberleşmesi, güvenlik röleleri, PLC lojiği ve robot yörünge optimizasyonundaki saha tecrübesi, güvenlik katmanlarının çevrim süresini aksatmadan devreye alınmasını sağlar.</w:t>
      </w:r>
    </w:p>
    <w:p>
      <w:pPr>
        <w:spacing w:before="160" w:after="40"/>
      </w:pPr>
      <w:r>
        <w:rPr>
          <w:rFonts w:ascii="Calibri" w:hAnsi="Calibri"/>
          <w:b/>
          <w:i w:val="0"/>
          <w:color w:val="1B365D"/>
          <w:sz w:val="24"/>
        </w:rPr>
        <w:t>2. Zayıf Yönler (Weaknesses)</w:t>
      </w:r>
    </w:p>
    <w:p>
      <w:pPr>
        <w:spacing w:before="20" w:after="120" w:line="276" w:lineRule="auto"/>
      </w:pPr>
      <w:r>
        <w:rPr>
          <w:rFonts w:ascii="Calibri" w:hAnsi="Calibri"/>
          <w:b w:val="0"/>
          <w:i w:val="0"/>
          <w:color w:val="1E293B"/>
          <w:sz w:val="20"/>
        </w:rPr>
        <w:t>• Sertifika Yaşam Döngüsü ve Otomasyon Eksikliği: X.509 CA sertifikalarının kontrolöre RobotStudio üzerinden manuel yüklenmesi, geçerlilik sürelerinin takibinde operasyonel aksama riski yaratmaktadır. Sertifika süresi dolduğunda robotun haberleşmeyi kesmesi sonucu plansız hat duruşları yaşanabilir.</w:t>
        <w:br/>
        <w:t>• Eski Nesil Saha Ekipmanlarının Şifresizliği: Tutucu (gripper), punta pensesi, sensör ve I/O adaları çoğunlukla şifresiz düz metin haberleşen eski fieldbus yapılarını kullanmaktadır; hücre alt ağı uç noktalarda savunmasızdır.</w:t>
        <w:br/>
        <w:t>• Saha Personelinin PKI Farkındalığı: Bakım teknisyenlerinin açık anahtar altyapısı (PKI), özel anahtar (private key) gizliliği ve mTLS konularındaki deneyim eksikliği; şifrelerin ve özel anahtarların güvensiz taşınması riskini doğurmaktadır.</w:t>
        <w:br/>
        <w:t>• Merkezi SIEM / Log İzleme Eksikliği: Robot kontrolöründe meydana gelen yetkisiz oturum denemeleri merkezi bir güvenlik izleme merkezine (SOC/SIEM) anlık aktarılmamakta, adli müdahaleyi geciktirmektedir.</w:t>
      </w:r>
    </w:p>
    <w:p>
      <w:pPr>
        <w:spacing w:before="160" w:after="40"/>
      </w:pPr>
      <w:r>
        <w:rPr>
          <w:rFonts w:ascii="Calibri" w:hAnsi="Calibri"/>
          <w:b/>
          <w:i w:val="0"/>
          <w:color w:val="1B365D"/>
          <w:sz w:val="24"/>
        </w:rPr>
        <w:t>3. Fırsatlar (Opportunities)</w:t>
      </w:r>
    </w:p>
    <w:p>
      <w:pPr>
        <w:spacing w:before="20" w:after="120" w:line="276" w:lineRule="auto"/>
      </w:pPr>
      <w:r>
        <w:rPr>
          <w:rFonts w:ascii="Calibri" w:hAnsi="Calibri"/>
          <w:b w:val="0"/>
          <w:i w:val="0"/>
          <w:color w:val="1E293B"/>
          <w:sz w:val="20"/>
        </w:rPr>
        <w:t>• AB CRA &amp; Yeni Makine Yönetmeliği ile İhracat Üstünlüğü: 2027 öncesinde siber dayanıklılık ve CA sertifikasyonunu tamamlamak, Tio Otomasyon'un Avrupa pazarında ve yerli ihracatçı müşteriler nezdinde ilk tercih edilen entegratör olmasını sağlayacaktır.</w:t>
        <w:br/>
        <w:t>• Siber Güvenli Uzaktan Bakım Sözleşmeleri (SLA): Doğrulanmış CA sertifikaları, mTLS ve Jump Server altyapısı ile müşterilere sunulacak güvenli uzaktan servis hizmeti, firmamıza sürekli katma değerli kurumsal gelir sağlayacaktır.</w:t>
        <w:br/>
        <w:t>• Otomotiv OEM Tedarikçi Güveni: Otomotiv ana sanayi ve Tier-1 üreticilerinin TISAX ve IEC 62443 şartnamelerindeki 'Siber Dayanıklı Hücre' şartı doğrudan karşılanarak ihalelerde rekabet avantajı elde edilecektir.</w:t>
        <w:br/>
        <w:t>• Standardize Edilmiş Proje Şablonu: Bu robot hücresi için geliştirilen OpenSSL sertifika betikleri, ağ zonlama kuralları ve konfigürasyon dosyaları tüm ABB projelerinde hazır modüler şablon olarak kullanılacaktır.</w:t>
      </w:r>
    </w:p>
    <w:p>
      <w:pPr>
        <w:spacing w:before="160" w:after="40"/>
      </w:pPr>
      <w:r>
        <w:rPr>
          <w:rFonts w:ascii="Calibri" w:hAnsi="Calibri"/>
          <w:b/>
          <w:i w:val="0"/>
          <w:color w:val="1B365D"/>
          <w:sz w:val="24"/>
        </w:rPr>
        <w:t>4. Tehditler (Threats)</w:t>
      </w:r>
    </w:p>
    <w:p>
      <w:pPr>
        <w:spacing w:before="20" w:after="120" w:line="276" w:lineRule="auto"/>
      </w:pPr>
      <w:r>
        <w:rPr>
          <w:rFonts w:ascii="Calibri" w:hAnsi="Calibri"/>
          <w:b w:val="0"/>
          <w:i w:val="0"/>
          <w:color w:val="1E293B"/>
          <w:sz w:val="20"/>
        </w:rPr>
        <w:t>• Ağır Mevzuat Yaptırımları ve CE İptali: CRA gereksinimlerini karşılamayan sistemler için 15 milyon Euro veya küresel cironun %2.5'ine varan idari para cezaları ve CE belgesinin iptali söz konusudur.</w:t>
        <w:br/>
        <w:t>• Tedarik Zinciri ve MitM Saldırıları: Mühendislik yazılımı ile robot arasına sızan saldırganların robot yörüngelerini veya SafeMove parametrelerini manipüle ederek pres kalıbı çarpışmalarına ve can kayıplarına yol açma riski mevcuttur.</w:t>
        <w:br/>
        <w:t>• Ele Geçirilmiş Servis Bilgisayarları: Fabrika sahasına giren yetkisiz taşeron veya bakımcı dizüstü bilgisayarlarının hücre panosundaki servis portuna doğrudan takılması sonucu zararlı yazılım bulaşması tehlikesi bulunmaktadır.</w:t>
        <w:br/>
        <w:t>• Kriptografik Standartların Eskimesi: Anahtar uzunluklarının (örn. RSA-2048) zamanla yetersiz kalması ve güvenli anahtar saklama donanımlarının (TPM/HSM) eksikliği durumunda sertifika zincirinin kırılma riski.</w:t>
      </w:r>
    </w:p>
    <w:p>
      <w:pPr>
        <w:spacing w:before="200" w:after="40"/>
      </w:pPr>
      <w:r>
        <w:rPr>
          <w:rFonts w:ascii="Calibri" w:hAnsi="Calibri"/>
          <w:b/>
          <w:i w:val="0"/>
          <w:color w:val="1B365D"/>
          <w:sz w:val="24"/>
        </w:rPr>
        <w:t>5. Stratejik Eylem Matrisi (TOWS Analizi)</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160"/>
        <w:gridCol w:w="2592"/>
        <w:gridCol w:w="5040"/>
      </w:tblGrid>
      <w:tr>
        <w:tc>
          <w:tcPr>
            <w:tcW w:type="dxa" w:w="2880"/>
            <w:shd w:fill="1B365D"/>
            <w:tcMar>
              <w:top w:w="100" w:type="dxa"/>
              <w:bottom w:w="100" w:type="dxa"/>
              <w:left w:w="100" w:type="dxa"/>
              <w:right w:w="100" w:type="dxa"/>
            </w:tcMar>
            <w:vAlign w:val="center"/>
          </w:tcPr>
          <w:p>
            <w:pPr>
              <w:spacing w:after="0"/>
              <w:jc w:val="center"/>
            </w:pPr>
            <w:r>
              <w:rPr>
                <w:rFonts w:ascii="Calibri" w:hAnsi="Calibri"/>
                <w:b/>
                <w:i w:val="0"/>
                <w:color w:val="FFFFFF"/>
                <w:sz w:val="18"/>
              </w:rPr>
              <w:t>Strateji Türü</w:t>
            </w:r>
          </w:p>
        </w:tc>
        <w:tc>
          <w:tcPr>
            <w:tcW w:type="dxa" w:w="2880"/>
            <w:shd w:fill="1B365D"/>
            <w:tcMar>
              <w:top w:w="100" w:type="dxa"/>
              <w:bottom w:w="100" w:type="dxa"/>
              <w:left w:w="100" w:type="dxa"/>
              <w:right w:w="100" w:type="dxa"/>
            </w:tcMar>
            <w:vAlign w:val="center"/>
          </w:tcPr>
          <w:p>
            <w:pPr>
              <w:spacing w:after="0"/>
              <w:jc w:val="center"/>
            </w:pPr>
            <w:r>
              <w:rPr>
                <w:rFonts w:ascii="Calibri" w:hAnsi="Calibri"/>
                <w:b/>
                <w:i w:val="0"/>
                <w:color w:val="FFFFFF"/>
                <w:sz w:val="18"/>
              </w:rPr>
              <w:t>Kombinasyon</w:t>
            </w:r>
          </w:p>
        </w:tc>
        <w:tc>
          <w:tcPr>
            <w:tcW w:type="dxa" w:w="2880"/>
            <w:shd w:fill="1B365D"/>
            <w:tcMar>
              <w:top w:w="100" w:type="dxa"/>
              <w:bottom w:w="100" w:type="dxa"/>
              <w:left w:w="100" w:type="dxa"/>
              <w:right w:w="100" w:type="dxa"/>
            </w:tcMar>
            <w:vAlign w:val="center"/>
          </w:tcPr>
          <w:p>
            <w:pPr>
              <w:spacing w:after="0"/>
              <w:jc w:val="center"/>
            </w:pPr>
            <w:r>
              <w:rPr>
                <w:rFonts w:ascii="Calibri" w:hAnsi="Calibri"/>
                <w:b/>
                <w:i w:val="0"/>
                <w:color w:val="FFFFFF"/>
                <w:sz w:val="18"/>
              </w:rPr>
              <w:t>Stratejik Eylem ve Uygulama Adımı</w:t>
            </w:r>
          </w:p>
        </w:tc>
      </w:tr>
      <w:tr>
        <w:tc>
          <w:tcPr>
            <w:tcW w:type="dxa" w:w="288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SO Stratejileri</w:t>
            </w:r>
          </w:p>
        </w:tc>
        <w:tc>
          <w:tcPr>
            <w:tcW w:type="dxa" w:w="288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Güçlü Yönler + Fırsatlar</w:t>
            </w:r>
          </w:p>
        </w:tc>
        <w:tc>
          <w:tcPr>
            <w:tcW w:type="dxa" w:w="288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ABB OmniCore yerel mTLS kabiliyeti ile çift seviyeli kurumsal CA altyapısı kurularak AB CRA ve CE teknik dosyası rekabet avantajına dönüştürülmelidir.</w:t>
            </w:r>
          </w:p>
        </w:tc>
      </w:tr>
      <w:tr>
        <w:tc>
          <w:tcPr>
            <w:tcW w:type="dxa" w:w="2880"/>
            <w:shd w:fill="F8FAFC"/>
            <w:tcMar>
              <w:top w:w="90" w:type="dxa"/>
              <w:bottom w:w="90" w:type="dxa"/>
              <w:left w:w="100" w:type="dxa"/>
              <w:right w:w="100" w:type="dxa"/>
            </w:tcMar>
            <w:vAlign w:val="center"/>
          </w:tcPr>
          <w:p>
            <w:pPr>
              <w:spacing w:after="0" w:line="276" w:lineRule="auto"/>
            </w:pPr>
            <w:r>
              <w:rPr>
                <w:rFonts w:ascii="Calibri" w:hAnsi="Calibri"/>
                <w:b w:val="0"/>
                <w:i w:val="0"/>
                <w:color w:val="1E293B"/>
                <w:sz w:val="18"/>
              </w:rPr>
              <w:t>WO Stratejileri</w:t>
            </w:r>
          </w:p>
        </w:tc>
        <w:tc>
          <w:tcPr>
            <w:tcW w:type="dxa" w:w="2880"/>
            <w:shd w:fill="F8FAFC"/>
            <w:tcMar>
              <w:top w:w="90" w:type="dxa"/>
              <w:bottom w:w="90" w:type="dxa"/>
              <w:left w:w="100" w:type="dxa"/>
              <w:right w:w="100" w:type="dxa"/>
            </w:tcMar>
            <w:vAlign w:val="center"/>
          </w:tcPr>
          <w:p>
            <w:pPr>
              <w:spacing w:after="0" w:line="276" w:lineRule="auto"/>
            </w:pPr>
            <w:r>
              <w:rPr>
                <w:rFonts w:ascii="Calibri" w:hAnsi="Calibri"/>
                <w:b w:val="0"/>
                <w:i w:val="0"/>
                <w:color w:val="1E293B"/>
                <w:sz w:val="18"/>
              </w:rPr>
              <w:t>Zayıf Yönler + Fırsatlar</w:t>
            </w:r>
          </w:p>
        </w:tc>
        <w:tc>
          <w:tcPr>
            <w:tcW w:type="dxa" w:w="2880"/>
            <w:shd w:fill="F8FAFC"/>
            <w:tcMar>
              <w:top w:w="90" w:type="dxa"/>
              <w:bottom w:w="90" w:type="dxa"/>
              <w:left w:w="100" w:type="dxa"/>
              <w:right w:w="100" w:type="dxa"/>
            </w:tcMar>
            <w:vAlign w:val="center"/>
          </w:tcPr>
          <w:p>
            <w:pPr>
              <w:spacing w:after="0" w:line="276" w:lineRule="auto"/>
            </w:pPr>
            <w:r>
              <w:rPr>
                <w:rFonts w:ascii="Calibri" w:hAnsi="Calibri"/>
                <w:b w:val="0"/>
                <w:i w:val="0"/>
                <w:color w:val="1E293B"/>
                <w:sz w:val="18"/>
              </w:rPr>
              <w:t>Sertifika yenileme takibi için otomatik izleme betikleri geliştirilmeli, bakım personeline PKI eğitimi verilmeli ve hücre yazılım malzeme listesi (SBOM) oluşturulmalıdır.</w:t>
            </w:r>
          </w:p>
        </w:tc>
      </w:tr>
      <w:tr>
        <w:tc>
          <w:tcPr>
            <w:tcW w:type="dxa" w:w="288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ST Stratejileri</w:t>
            </w:r>
          </w:p>
        </w:tc>
        <w:tc>
          <w:tcPr>
            <w:tcW w:type="dxa" w:w="288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Güçlü Yönler + Tehditler</w:t>
            </w:r>
          </w:p>
        </w:tc>
        <w:tc>
          <w:tcPr>
            <w:tcW w:type="dxa" w:w="288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RobotStudio ile robot arasına X.509 istemci sertifikası zorunluluğu getirilerek sahte servis bilgisayarlarının robota bağlanması kesin olarak engellenmelidir.</w:t>
            </w:r>
          </w:p>
        </w:tc>
      </w:tr>
      <w:tr>
        <w:tc>
          <w:tcPr>
            <w:tcW w:type="dxa" w:w="2880"/>
            <w:shd w:fill="F8FAFC"/>
            <w:tcMar>
              <w:top w:w="90" w:type="dxa"/>
              <w:bottom w:w="90" w:type="dxa"/>
              <w:left w:w="100" w:type="dxa"/>
              <w:right w:w="100" w:type="dxa"/>
            </w:tcMar>
            <w:vAlign w:val="center"/>
          </w:tcPr>
          <w:p>
            <w:pPr>
              <w:spacing w:after="0" w:line="276" w:lineRule="auto"/>
            </w:pPr>
            <w:r>
              <w:rPr>
                <w:rFonts w:ascii="Calibri" w:hAnsi="Calibri"/>
                <w:b w:val="0"/>
                <w:i w:val="0"/>
                <w:color w:val="1E293B"/>
                <w:sz w:val="18"/>
              </w:rPr>
              <w:t>WT Stratejileri</w:t>
            </w:r>
          </w:p>
        </w:tc>
        <w:tc>
          <w:tcPr>
            <w:tcW w:type="dxa" w:w="2880"/>
            <w:shd w:fill="F8FAFC"/>
            <w:tcMar>
              <w:top w:w="90" w:type="dxa"/>
              <w:bottom w:w="90" w:type="dxa"/>
              <w:left w:w="100" w:type="dxa"/>
              <w:right w:w="100" w:type="dxa"/>
            </w:tcMar>
            <w:vAlign w:val="center"/>
          </w:tcPr>
          <w:p>
            <w:pPr>
              <w:spacing w:after="0" w:line="276" w:lineRule="auto"/>
            </w:pPr>
            <w:r>
              <w:rPr>
                <w:rFonts w:ascii="Calibri" w:hAnsi="Calibri"/>
                <w:b w:val="0"/>
                <w:i w:val="0"/>
                <w:color w:val="1E293B"/>
                <w:sz w:val="18"/>
              </w:rPr>
              <w:t>Zayıf Yönler + Tehditler</w:t>
            </w:r>
          </w:p>
        </w:tc>
        <w:tc>
          <w:tcPr>
            <w:tcW w:type="dxa" w:w="2880"/>
            <w:shd w:fill="F8FAFC"/>
            <w:tcMar>
              <w:top w:w="90" w:type="dxa"/>
              <w:bottom w:w="90" w:type="dxa"/>
              <w:left w:w="100" w:type="dxa"/>
              <w:right w:w="100" w:type="dxa"/>
            </w:tcMar>
            <w:vAlign w:val="center"/>
          </w:tcPr>
          <w:p>
            <w:pPr>
              <w:spacing w:after="0" w:line="276" w:lineRule="auto"/>
            </w:pPr>
            <w:r>
              <w:rPr>
                <w:rFonts w:ascii="Calibri" w:hAnsi="Calibri"/>
                <w:b w:val="0"/>
                <w:i w:val="0"/>
                <w:color w:val="1E293B"/>
                <w:sz w:val="18"/>
              </w:rPr>
              <w:t>Eski sensörlerin bulunduğu alt hatlar VLAN ve endüstriyel güvenlik duvarı ile kontrol hattından tamamen tecrit edilmeli, audit logları güvenli Syslog sunucusuna yönlendirilmelidir.</w:t>
            </w:r>
          </w:p>
        </w:tc>
      </w:tr>
    </w:tbl>
    <w:p>
      <w:pPr>
        <w:spacing w:before="0" w:after="8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