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0"/>
        <w:ind/>
        <w:jc w:val="center"/>
        <w:rPr>
          <w:rFonts w:ascii="Times New Roman" w:hAnsi="Times New Roman"/>
          <w:b w:val="0"/>
          <w:bCs w:val="0"/>
          <w:i w:val="0"/>
          <w:sz w:val="40"/>
          <w:szCs w:val="40"/>
          <w14:ligatures w14:val="none"/>
        </w:rPr>
      </w:pPr>
      <w:r>
        <w:rPr>
          <w:rFonts w:ascii="Times New Roman" w:hAnsi="Times New Roman"/>
          <w:b w:val="0"/>
          <w:bCs w:val="0"/>
          <w:i w:val="0"/>
          <w:iCs w:val="0"/>
          <w:sz w:val="40"/>
          <w:szCs w:val="40"/>
        </w:rPr>
      </w:r>
      <w:r>
        <w:rPr>
          <w:rFonts w:ascii="Times New Roman" w:hAnsi="Times New Roman"/>
          <w:b w:val="0"/>
          <w:bCs w:val="0"/>
          <w:i w:val="0"/>
          <w:iCs w:val="0"/>
          <w:sz w:val="40"/>
          <w:szCs w:val="40"/>
        </w:rPr>
        <w:t xml:space="preserve">Sıfır-Atış Tüketici Şikayeti Sınıflandırmasında Açık Kaynaklı Büyük Dil Modelleri, Ticari API Tabanlı Modellerle Rekabet Edebilir mi?</w:t>
      </w:r>
      <w:r>
        <w:rPr>
          <w:rFonts w:ascii="Times New Roman" w:hAnsi="Times New Roman"/>
          <w:b w:val="0"/>
          <w:bCs w:val="0"/>
          <w:i w:val="0"/>
          <w:sz w:val="40"/>
          <w:szCs w:val="40"/>
          <w14:ligatures w14:val="none"/>
        </w:rPr>
      </w:r>
      <w:r>
        <w:rPr>
          <w:rFonts w:ascii="Times New Roman" w:hAnsi="Times New Roman"/>
          <w:b w:val="0"/>
          <w:bCs w:val="0"/>
          <w:i w:val="0"/>
          <w:sz w:val="40"/>
          <w:szCs w:val="40"/>
          <w14:ligatures w14:val="none"/>
        </w:rPr>
      </w:r>
    </w:p>
    <w:p>
      <w:pPr>
        <w:pBdr/>
        <w:spacing/>
        <w:ind/>
        <w:rPr/>
      </w:pPr>
      <w:r/>
      <w:r/>
    </w:p>
    <w:p>
      <w:pPr>
        <w:pBdr/>
        <w:spacing/>
        <w:ind/>
        <w:rPr/>
      </w:pPr>
      <w:r>
        <w:t xml:space="preserve">YAZAR BİLGİLERİ KISMI MAKALE KABUL EDİLİRSE SON YÜKLEME ESNASINDA EKLENECEKTİR.</w:t>
      </w:r>
      <w:r/>
    </w:p>
    <w:p>
      <w:pPr>
        <w:pBdr/>
        <w:spacing/>
        <w:ind/>
        <w:rPr/>
      </w:pPr>
      <w:r/>
      <w:r/>
    </w:p>
    <w:p>
      <w:pPr>
        <w:pBdr/>
        <w:spacing w:after="100" w:before="100"/>
        <w:ind/>
        <w:jc w:val="both"/>
        <w:rPr>
          <w:rFonts w:ascii="Times New Roman" w:hAnsi="Times New Roman"/>
          <w:b w:val="0"/>
          <w:bCs w:val="0"/>
          <w:i w:val="0"/>
          <w:sz w:val="20"/>
          <w:szCs w:val="20"/>
          <w14:ligatures w14:val="none"/>
        </w:rPr>
      </w:pPr>
      <w:r>
        <w:rPr>
          <w:rFonts w:ascii="Times New Roman" w:hAnsi="Times New Roman"/>
          <w:b w:val="0"/>
          <w:bCs w:val="0"/>
          <w:i w:val="0"/>
          <w:iCs w:val="0"/>
          <w:sz w:val="20"/>
          <w:szCs w:val="20"/>
        </w:rPr>
      </w:r>
      <w:r>
        <w:rPr>
          <w:rFonts w:ascii="Times New Roman" w:hAnsi="Times New Roman"/>
          <w:b w:val="0"/>
          <w:bCs w:val="0"/>
          <w:i w:val="0"/>
          <w:iCs w:val="0"/>
          <w:sz w:val="20"/>
          <w:szCs w:val="20"/>
        </w:rPr>
        <w:t xml:space="preserve">Ö</w:t>
      </w:r>
      <w:r>
        <w:rPr>
          <w:rFonts w:ascii="Times New Roman" w:hAnsi="Times New Roman"/>
          <w:b w:val="0"/>
          <w:bCs w:val="0"/>
          <w:i w:val="0"/>
          <w:iCs w:val="0"/>
          <w:sz w:val="20"/>
          <w:szCs w:val="20"/>
        </w:rPr>
        <w:t xml:space="preserve">zet— Tüketici finansal şikayetlerinin otomatik sınıflandırılması, düzenleyici denetim ve müşteri hizmetlerinde önceliklendirme açısından önemli bir görevdir. Son çalışmalar, ticari büyük dil modeli (LLM) API'leri ile sıfır-atış sınıflandırmada başarılı son</w:t>
      </w:r>
      <w:r>
        <w:rPr>
          <w:rFonts w:ascii="Times New Roman" w:hAnsi="Times New Roman"/>
          <w:b w:val="0"/>
          <w:bCs w:val="0"/>
          <w:i w:val="0"/>
          <w:iCs w:val="0"/>
          <w:sz w:val="20"/>
          <w:szCs w:val="20"/>
        </w:rPr>
        <w:t xml:space="preserve">u</w:t>
      </w:r>
      <w:r>
        <w:rPr>
          <w:rFonts w:ascii="Times New Roman" w:hAnsi="Times New Roman"/>
          <w:b w:val="0"/>
          <w:bCs w:val="0"/>
          <w:i w:val="0"/>
          <w:iCs w:val="0"/>
          <w:sz w:val="20"/>
          <w:szCs w:val="20"/>
        </w:rPr>
        <w:t xml:space="preserve">çlar elde edildiğini göstermiştir. Ancak bu yaklaşımlar sürekli maliyet oluşturmaktadır. Bu çalışmada, yerel olarak çalıştırılan açık kaynaklı LLM'lerin, ticari API tabanlı modellere benzer performans sağlayıp sağlayamayacağı araştırılmıştır. CFPB veri set</w:t>
      </w:r>
      <w:r>
        <w:rPr>
          <w:rFonts w:ascii="Times New Roman" w:hAnsi="Times New Roman"/>
          <w:b w:val="0"/>
          <w:bCs w:val="0"/>
          <w:i w:val="0"/>
          <w:iCs w:val="0"/>
          <w:sz w:val="20"/>
          <w:szCs w:val="20"/>
        </w:rPr>
        <w:t xml:space="preserve">i</w:t>
      </w:r>
      <w:r>
        <w:rPr>
          <w:rFonts w:ascii="Times New Roman" w:hAnsi="Times New Roman"/>
          <w:b w:val="0"/>
          <w:bCs w:val="0"/>
          <w:i w:val="0"/>
          <w:iCs w:val="0"/>
          <w:sz w:val="20"/>
          <w:szCs w:val="20"/>
        </w:rPr>
        <w:t xml:space="preserve"> üzerindeki beş kategorili sıfır-atış görevinde, altısı standart ve beşi akıl yürütme modeli olmak üzere toplam on bir açık ağırlıklı model değerlendirilmiştir. Deneyler, dengeli ve dengesiz veri dağılımlarında, üç rastgele tohum ve iki farklı metin uzunlu</w:t>
      </w:r>
      <w:r>
        <w:rPr>
          <w:rFonts w:ascii="Times New Roman" w:hAnsi="Times New Roman"/>
          <w:b w:val="0"/>
          <w:bCs w:val="0"/>
          <w:i w:val="0"/>
          <w:iCs w:val="0"/>
          <w:sz w:val="20"/>
          <w:szCs w:val="20"/>
        </w:rPr>
        <w:t xml:space="preserve">ğ</w:t>
      </w:r>
      <w:r>
        <w:rPr>
          <w:rFonts w:ascii="Times New Roman" w:hAnsi="Times New Roman"/>
          <w:b w:val="0"/>
          <w:bCs w:val="0"/>
          <w:i w:val="0"/>
          <w:iCs w:val="0"/>
          <w:sz w:val="20"/>
          <w:szCs w:val="20"/>
        </w:rPr>
        <w:t xml:space="preserve">u sınırı (250 ve 500 karakter) altında gerçekleştirilmiştir. En başarılı model olan gemma4:12b, dengeli değerlendirmede 0,774 ± 0,016 ortalama ağırlıklı F1 skoru elde etmiş; bu sonuç, protokol eşleşmeli koşullarda GPT-4.5 (0,7763) ve o1 (0,7764) ile rekabe</w:t>
      </w:r>
      <w:r>
        <w:rPr>
          <w:rFonts w:ascii="Times New Roman" w:hAnsi="Times New Roman"/>
          <w:b w:val="0"/>
          <w:bCs w:val="0"/>
          <w:i w:val="0"/>
          <w:iCs w:val="0"/>
          <w:sz w:val="20"/>
          <w:szCs w:val="20"/>
        </w:rPr>
        <w:t xml:space="preserve">t</w:t>
      </w:r>
      <w:r>
        <w:rPr>
          <w:rFonts w:ascii="Times New Roman" w:hAnsi="Times New Roman"/>
          <w:b w:val="0"/>
          <w:bCs w:val="0"/>
          <w:i w:val="0"/>
          <w:iCs w:val="0"/>
          <w:sz w:val="20"/>
          <w:szCs w:val="20"/>
        </w:rPr>
        <w:t xml:space="preserve"> edebilir düzeyde bulunmuştur. Ayrıca, en yüksek performansın akıl yürütme özelliği bulunmayan 12 milyar parametreli bir modelden elde edilmesi, yapılandırılmış sınıflandırma görevlerinde akıl yürütme modellerinin gerekliliğini sorgulamaktadır. Son olarak,</w:t>
      </w:r>
      <w:r>
        <w:rPr>
          <w:rFonts w:ascii="Times New Roman" w:hAnsi="Times New Roman"/>
          <w:b w:val="0"/>
          <w:bCs w:val="0"/>
          <w:i w:val="0"/>
          <w:iCs w:val="0"/>
          <w:sz w:val="20"/>
          <w:szCs w:val="20"/>
        </w:rPr>
        <w:t xml:space="preserve"> modellerin etiket kümesi dışındaki tahmin davranışları incelenmiş ve gecikme-doğruluk dengesi temelinde kullanım önerileri sunulmuştur.</w:t>
      </w:r>
      <w:r>
        <w:rPr>
          <w:rFonts w:ascii="Times New Roman" w:hAnsi="Times New Roman"/>
          <w:b w:val="0"/>
          <w:bCs w:val="0"/>
          <w:i w:val="0"/>
          <w:sz w:val="20"/>
          <w:szCs w:val="20"/>
          <w14:ligatures w14:val="none"/>
        </w:rPr>
      </w:r>
      <w:r>
        <w:rPr>
          <w:rFonts w:ascii="Times New Roman" w:hAnsi="Times New Roman"/>
          <w:b w:val="0"/>
          <w:bCs w:val="0"/>
          <w:i w:val="0"/>
          <w:sz w:val="20"/>
          <w:szCs w:val="20"/>
          <w14:ligatures w14:val="none"/>
        </w:rPr>
      </w:r>
    </w:p>
    <w:p>
      <w:pPr>
        <w:pBdr/>
        <w:spacing w:after="100" w:before="100"/>
        <w:ind/>
        <w:jc w:val="both"/>
        <w:rPr>
          <w:rFonts w:ascii="Times New Roman" w:hAnsi="Times New Roman"/>
          <w:b w:val="0"/>
          <w:bCs/>
          <w:i/>
          <w:sz w:val="20"/>
          <w:szCs w:val="20"/>
          <w14:ligatures w14:val="none"/>
        </w:rPr>
      </w:pPr>
      <w:r>
        <w:rPr>
          <w:rFonts w:ascii="Times New Roman" w:hAnsi="Times New Roman"/>
          <w:b/>
          <w:bCs/>
          <w:i/>
          <w:iCs/>
          <w:sz w:val="20"/>
          <w:szCs w:val="20"/>
        </w:rPr>
        <w:t xml:space="preserve">Anahtar Kelimeler</w:t>
      </w:r>
      <w:r>
        <w:rPr>
          <w:rFonts w:ascii="Times New Roman" w:hAnsi="Times New Roman"/>
          <w:b w:val="0"/>
          <w:bCs w:val="0"/>
          <w:i/>
          <w:iCs/>
          <w:sz w:val="20"/>
          <w:szCs w:val="20"/>
        </w:rPr>
        <w:t xml:space="preserve">— </w:t>
      </w:r>
      <w:r>
        <w:rPr>
          <w:rFonts w:ascii="Times New Roman" w:hAnsi="Times New Roman"/>
          <w:b w:val="0"/>
          <w:bCs w:val="0"/>
          <w:i/>
          <w:iCs/>
          <w:sz w:val="20"/>
          <w:szCs w:val="20"/>
        </w:rPr>
        <w:t xml:space="preserve">tüketici şikayeti sınıflandırması, büyük dil modelleri, sıfır-atış öğrenme, açık kaynaklı büyük dil modelleri, CFPB, akıl yürütme modelleri, doğal dil işleme</w:t>
      </w:r>
      <w:r>
        <w:rPr>
          <w:rFonts w:ascii="Times New Roman" w:hAnsi="Times New Roman"/>
          <w:b w:val="0"/>
          <w:bCs w:val="0"/>
          <w:i/>
          <w:iCs/>
          <w:sz w:val="20"/>
          <w:szCs w:val="20"/>
        </w:rPr>
      </w:r>
      <w:r>
        <w:rPr>
          <w:rFonts w:ascii="Times New Roman" w:hAnsi="Times New Roman"/>
          <w:b w:val="0"/>
          <w:bCs/>
          <w:i/>
          <w:sz w:val="20"/>
          <w:szCs w:val="20"/>
          <w14:ligatures w14:val="none"/>
        </w:rPr>
      </w:r>
    </w:p>
    <w:p>
      <w:pPr>
        <w:pBdr/>
        <w:spacing/>
        <w:ind/>
        <w:rPr/>
      </w:pPr>
      <w:r/>
      <w:r/>
    </w:p>
    <w:p>
      <w:pPr>
        <w:pBdr/>
        <w:spacing w:after="0" w:before="0"/>
        <w:ind/>
        <w:jc w:val="center"/>
        <w:rPr/>
      </w:pPr>
      <w:r>
        <w:rPr>
          <w:rFonts w:ascii="Times New Roman" w:hAnsi="Times New Roman"/>
          <w:b w:val="0"/>
          <w:i w:val="0"/>
          <w:sz w:val="40"/>
        </w:rPr>
        <w:t xml:space="preserve">Can Open-Source LLMs Replace Paid APIs for Zero-Shot Consumer Complaint Classification?</w:t>
      </w:r>
      <w:r/>
    </w:p>
    <w:p>
      <w:pPr>
        <w:pBdr/>
        <w:spacing/>
        <w:ind/>
        <w:rPr/>
      </w:pPr>
      <w:r/>
      <w:r/>
    </w:p>
    <w:p>
      <w:pPr>
        <w:pBdr/>
        <w:spacing/>
        <w:ind/>
        <w:rPr/>
      </w:pPr>
      <w:r/>
      <w:r/>
    </w:p>
    <w:p>
      <w:pPr>
        <w:pBdr/>
        <w:spacing w:after="100" w:before="100"/>
        <w:ind/>
        <w:jc w:val="both"/>
        <w:rPr/>
      </w:pPr>
      <w:r>
        <w:rPr>
          <w:rFonts w:ascii="Times New Roman" w:hAnsi="Times New Roman"/>
          <w:b/>
          <w:i/>
          <w:sz w:val="20"/>
        </w:rPr>
        <w:t xml:space="preserve">Abstract— </w:t>
      </w:r>
      <w:r>
        <w:rPr>
          <w:rFonts w:ascii="Times New Roman" w:hAnsi="Times New Roman"/>
          <w:b w:val="0"/>
          <w:i w:val="0"/>
          <w:sz w:val="20"/>
        </w:rPr>
        <w:t xml:space="preserve">Automated classification of consumer financial complaints has significant implications for regulatory ov</w:t>
      </w:r>
      <w:r>
        <w:rPr>
          <w:rFonts w:ascii="Times New Roman" w:hAnsi="Times New Roman"/>
          <w:b w:val="0"/>
          <w:i w:val="0"/>
          <w:sz w:val="20"/>
        </w:rPr>
        <w:t xml:space="preserve">ersight and customer service prioritisation. While recent studies have demonstrated strong zero-shot performance using large proprietary language model (LLM) APIs, those approaches incur substantial and recurring monetary costs. In this paper we investigat</w:t>
      </w:r>
      <w:r>
        <w:rPr>
          <w:rFonts w:ascii="Times New Roman" w:hAnsi="Times New Roman"/>
          <w:b w:val="0"/>
          <w:i w:val="0"/>
          <w:sz w:val="20"/>
        </w:rPr>
        <w:t xml:space="preserve">e whether open-source, locally deployed LLMs can match the classification quality of their paid-API counterparts with no commercial API expenditure. We benchmark eleven open-weight models (six standard and five reasoning) on the Consumer Financial Protecti</w:t>
      </w:r>
      <w:r>
        <w:rPr>
          <w:rFonts w:ascii="Times New Roman" w:hAnsi="Times New Roman"/>
          <w:b w:val="0"/>
          <w:i w:val="0"/>
          <w:sz w:val="20"/>
        </w:rPr>
        <w:t xml:space="preserve">on Bureau (CFPB) five-category zero-shot task, across two experimental conditions (balanced and imbalanced), three random seeds, and two narrative length limits (250 and 500 characters). Our best model, gemma4:12b, achieves a mean weighted F1 of 0.774 +/- </w:t>
      </w:r>
      <w:r>
        <w:rPr>
          <w:rFonts w:ascii="Times New Roman" w:hAnsi="Times New Roman"/>
          <w:b w:val="0"/>
          <w:i w:val="0"/>
          <w:sz w:val="20"/>
        </w:rPr>
        <w:t xml:space="preserve">0.016 on the balanced evaluation - performance competitive with paid GPT-4.5 (F1 0.7763) and o1 (F1 0.7764) under a protocol-matched evaluation setting, with no commercial API expenditure. Notably, this top result comes from a 12B standard (non-reasoning) </w:t>
      </w:r>
      <w:r>
        <w:rPr>
          <w:rFonts w:ascii="Times New Roman" w:hAnsi="Times New Roman"/>
          <w:b w:val="0"/>
          <w:i w:val="0"/>
          <w:sz w:val="20"/>
        </w:rPr>
        <w:t xml:space="preserve">model, challenging the view that reasoning models are necessary for structured classification tasks. We analyse off-label prediction behaviour and provide deployment recommendations based on the latency-accuracy trade-off observed across all eleven models.</w:t>
      </w:r>
      <w:r/>
    </w:p>
    <w:p>
      <w:pPr>
        <w:pBdr/>
        <w:spacing w:after="100" w:before="100"/>
        <w:ind/>
        <w:jc w:val="both"/>
        <w:rPr/>
      </w:pPr>
      <w:r>
        <w:rPr>
          <w:rFonts w:ascii="Times New Roman" w:hAnsi="Times New Roman"/>
          <w:b/>
          <w:i/>
          <w:sz w:val="20"/>
        </w:rPr>
        <w:t xml:space="preserve">Keywords— </w:t>
      </w:r>
      <w:r>
        <w:rPr>
          <w:rFonts w:ascii="Times New Roman" w:hAnsi="Times New Roman"/>
          <w:b w:val="0"/>
          <w:i w:val="0"/>
          <w:sz w:val="20"/>
        </w:rPr>
        <w:t xml:space="preserve">consumer complaint classification, large language models, zero-shot learning, open-source LLMs, CFPB, reasoning models, natural language processing</w:t>
      </w:r>
      <w:r/>
    </w:p>
    <w:p>
      <w:pPr>
        <w:pBdr/>
        <w:spacing/>
        <w:ind/>
        <w:rPr/>
      </w:pPr>
      <w:r/>
      <w:r/>
    </w:p>
    <w:p>
      <w:pPr>
        <w:pBdr/>
        <w:spacing w:after="100" w:before="100"/>
        <w:ind/>
        <w:jc w:val="left"/>
        <w:rPr/>
      </w:pPr>
      <w:r>
        <w:rPr>
          <w:rFonts w:ascii="Times New Roman" w:hAnsi="Times New Roman"/>
          <w:b/>
          <w:i w:val="0"/>
          <w:sz w:val="20"/>
        </w:rPr>
        <w:t xml:space="preserve">1. INTRODUCTION</w:t>
      </w:r>
      <w:r/>
    </w:p>
    <w:p>
      <w:pPr>
        <w:pBdr/>
        <w:spacing w:after="100" w:before="100"/>
        <w:ind w:firstLine="283"/>
        <w:jc w:val="both"/>
        <w:rPr/>
      </w:pPr>
      <w:r>
        <w:rPr>
          <w:rFonts w:ascii="Times New Roman" w:hAnsi="Times New Roman"/>
          <w:b w:val="0"/>
          <w:i w:val="0"/>
          <w:sz w:val="20"/>
        </w:rPr>
        <w:t xml:space="preserve">The Consumer Financial Protection Bureau (CFPB) publishes a public database of consumer complaints submitted against financial institutions in the </w:t>
      </w:r>
      <w:r>
        <w:rPr>
          <w:rFonts w:ascii="Times New Roman" w:hAnsi="Times New Roman"/>
          <w:b w:val="0"/>
          <w:i w:val="0"/>
          <w:sz w:val="20"/>
        </w:rPr>
        <w:t xml:space="preserve">United States. The dataset spans dozens of product categories and hundreds of thousands of narratives, making it one of the most accessible and practically relevant corpora for natural language processing (NLP) research in the financial domain. Accurately </w:t>
      </w:r>
      <w:r>
        <w:rPr>
          <w:rFonts w:ascii="Times New Roman" w:hAnsi="Times New Roman"/>
          <w:b w:val="0"/>
          <w:i w:val="0"/>
          <w:sz w:val="20"/>
        </w:rPr>
        <w:t xml:space="preserve">routing and categorising these complaints has direct implications for regulatory efficiency, bank compliance teams, and consumer advocacy organisations: a miscategorised complaint may be forwarded to the wrong department, delayed, or deprioritised [1,2,3].</w:t>
      </w:r>
      <w:r/>
    </w:p>
    <w:p>
      <w:pPr>
        <w:pBdr/>
        <w:spacing w:after="100" w:before="100"/>
        <w:ind w:firstLine="283"/>
        <w:jc w:val="both"/>
        <w:rPr/>
      </w:pPr>
      <w:r>
        <w:rPr>
          <w:rFonts w:ascii="Times New Roman" w:hAnsi="Times New Roman"/>
          <w:b w:val="0"/>
          <w:i w:val="0"/>
          <w:sz w:val="20"/>
        </w:rPr>
        <w:t xml:space="preserve">Unlike many benchmark text-classification datasets, consumer complaint narratives are not merely short to</w:t>
      </w:r>
      <w:r>
        <w:rPr>
          <w:rFonts w:ascii="Times New Roman" w:hAnsi="Times New Roman"/>
          <w:b w:val="0"/>
          <w:i w:val="0"/>
          <w:sz w:val="20"/>
        </w:rPr>
        <w:t xml:space="preserve">pic labels embedded in clean prose. They often contain informal descriptions of stressful financial events, institution names, dates, partial account details, and overlapping product issues. A single complaint may mention credit reporting, debt collection,</w:t>
      </w:r>
      <w:r>
        <w:rPr>
          <w:rFonts w:ascii="Times New Roman" w:hAnsi="Times New Roman"/>
          <w:b w:val="0"/>
          <w:i w:val="0"/>
          <w:sz w:val="20"/>
        </w:rPr>
        <w:t xml:space="preserve"> and a credit card dispute in the same narrative, while the supervised label assigns only one product category. This ambiguity makes the task more realistic than many standard NLP benchmarks and more valuable as a test bed for instruction-following models.</w:t>
      </w:r>
      <w:r/>
    </w:p>
    <w:p>
      <w:pPr>
        <w:pBdr/>
        <w:spacing w:after="100" w:before="100"/>
        <w:ind w:firstLine="283"/>
        <w:jc w:val="both"/>
        <w:rPr/>
      </w:pPr>
      <w:r>
        <w:rPr>
          <w:rFonts w:ascii="Times New Roman" w:hAnsi="Times New Roman"/>
          <w:b w:val="0"/>
          <w:i w:val="0"/>
          <w:sz w:val="20"/>
        </w:rPr>
        <w:t xml:space="preserve">The prac</w:t>
      </w:r>
      <w:r>
        <w:rPr>
          <w:rFonts w:ascii="Times New Roman" w:hAnsi="Times New Roman"/>
          <w:b w:val="0"/>
          <w:i w:val="0"/>
          <w:sz w:val="20"/>
        </w:rPr>
        <w:t xml:space="preserve">tical motivation is equally strong. Complaint triage is a high-volume activity in which automation can reduce manual screening time, support earlier detection of recurring institutional problems, and provide consistent first-pass routing [4]. Furthermore, </w:t>
      </w:r>
      <w:r>
        <w:rPr>
          <w:rFonts w:ascii="Times New Roman" w:hAnsi="Times New Roman"/>
          <w:b w:val="0"/>
          <w:i w:val="0"/>
          <w:sz w:val="20"/>
        </w:rPr>
        <w:t xml:space="preserve">financial complaint text is operationally sensitive: banks and regulators operate under GDPR [5], the EU AI Act [6], and the EBA Guidelines on Outsourcing Arrangements [7], which may restrict the transfer of personal financial data to third-party API provi</w:t>
      </w:r>
      <w:r>
        <w:rPr>
          <w:rFonts w:ascii="Times New Roman" w:hAnsi="Times New Roman"/>
          <w:b w:val="0"/>
          <w:i w:val="0"/>
          <w:sz w:val="20"/>
        </w:rPr>
        <w:t xml:space="preserve">ders. A classification pipeline that depends on external API calls is therefore not merely more expensive but potentially non-compliant, making local inference and on-premises data residency prerequisites for compliant deployment in regulated environments.</w:t>
      </w:r>
      <w:r/>
    </w:p>
    <w:p>
      <w:pPr>
        <w:pBdr/>
        <w:spacing w:after="100" w:before="100"/>
        <w:ind w:firstLine="283"/>
        <w:jc w:val="both"/>
        <w:rPr/>
      </w:pPr>
      <w:r>
        <w:rPr>
          <w:rFonts w:ascii="Times New Roman" w:hAnsi="Times New Roman"/>
          <w:b w:val="0"/>
          <w:i w:val="0"/>
          <w:sz w:val="20"/>
        </w:rPr>
        <w:t xml:space="preserve">Traditional approaches to complaint classifica</w:t>
      </w:r>
      <w:r>
        <w:rPr>
          <w:rFonts w:ascii="Times New Roman" w:hAnsi="Times New Roman"/>
          <w:b w:val="0"/>
          <w:i w:val="0"/>
          <w:sz w:val="20"/>
        </w:rPr>
        <w:t xml:space="preserve">tion relied on bag-of-words representations, support vector machines, and logistic regression. The emergence of BERT [8] and its domain-adapted successors marked a step change, pushing classification accuracy above 90% in fine-tuned settings [9]. More rece</w:t>
      </w:r>
      <w:r>
        <w:rPr>
          <w:rFonts w:ascii="Times New Roman" w:hAnsi="Times New Roman"/>
          <w:b w:val="0"/>
          <w:i w:val="0"/>
          <w:sz w:val="20"/>
        </w:rPr>
        <w:t xml:space="preserve">ntly, instruction-following LLMs such as GPT-3 [10] opened the possibility of zero-shot classification: a model is given the candidate categories in a prompt and is asked to assign the most appropriate one, requiring no task-specific training data [11,12].</w:t>
      </w:r>
      <w:r/>
    </w:p>
    <w:p>
      <w:pPr>
        <w:pBdr/>
        <w:spacing w:after="100" w:before="100"/>
        <w:ind w:firstLine="283"/>
        <w:jc w:val="both"/>
        <w:rPr/>
      </w:pPr>
      <w:r>
        <w:rPr>
          <w:rFonts w:ascii="Times New Roman" w:hAnsi="Times New Roman"/>
          <w:b w:val="0"/>
          <w:i w:val="0"/>
          <w:sz w:val="20"/>
        </w:rPr>
        <w:t xml:space="preserve">Roumeliotis et al. [13] conducted a comprehensive zero-shot benchmark of 14 state-of-the-ar</w:t>
      </w:r>
      <w:r>
        <w:rPr>
          <w:rFonts w:ascii="Times New Roman" w:hAnsi="Times New Roman"/>
          <w:b w:val="0"/>
          <w:i w:val="0"/>
          <w:sz w:val="20"/>
        </w:rPr>
        <w:t xml:space="preserve">t proprietary models - including GPT-4o, GPT-4.5, Claude 3.5/3.7, Gemini 2.0, o1, o3-mini, and DeepSeek (API) - on the same CFPB dataset and five-category task. They reported that the best model, OpenAI's o1, achieved accuracy 0.777 and F1 0.7764 at a cost</w:t>
      </w:r>
      <w:r>
        <w:rPr>
          <w:rFonts w:ascii="Times New Roman" w:hAnsi="Times New Roman"/>
          <w:b w:val="0"/>
          <w:i w:val="0"/>
          <w:sz w:val="20"/>
        </w:rPr>
        <w:t xml:space="preserve"> of $24.24 per thousand predictions. Their study is the closest antecedent to the present work; however, every model was accessed through a paid commercial API, creating a barrier to reproduction and deployment in low-budget or data-sensitive environments.</w:t>
      </w:r>
      <w:r/>
    </w:p>
    <w:p>
      <w:pPr>
        <w:pBdr/>
        <w:spacing w:after="100" w:before="100"/>
        <w:ind w:firstLine="283"/>
        <w:jc w:val="both"/>
        <w:rPr/>
      </w:pPr>
      <w:r>
        <w:rPr>
          <w:rFonts w:ascii="Times New Roman" w:hAnsi="Times New Roman"/>
          <w:b w:val="0"/>
          <w:i w:val="0"/>
          <w:sz w:val="20"/>
        </w:rPr>
        <w:t xml:space="preserve">The present paper addresses this gap directly. Our contributions are: (1) the</w:t>
      </w:r>
      <w:r>
        <w:rPr>
          <w:rFonts w:ascii="Times New Roman" w:hAnsi="Times New Roman"/>
          <w:b w:val="0"/>
          <w:i w:val="0"/>
          <w:sz w:val="20"/>
        </w:rPr>
        <w:t xml:space="preserve"> first deployment-oriented benchmark of eleven open-weight LLMs on the CFPB five-category zero-shot task at zero API cost on HPC infrastructure; (2) a complete, reproducible inference pipeline on the TRUBA ARF HPC cluster using Ollama and SLURM; (3) a seco</w:t>
      </w:r>
      <w:r>
        <w:rPr>
          <w:rFonts w:ascii="Times New Roman" w:hAnsi="Times New Roman"/>
          <w:b w:val="0"/>
          <w:i w:val="0"/>
          <w:sz w:val="20"/>
        </w:rPr>
        <w:t xml:space="preserve">nd experiment using the natural (imbalanced) class distribution; (4) a direct quantitative comparison with the paid-API results of Roumeliotis et al. [13]; and (5) analysis of off-label prediction behaviour as a proxy for instruction-following reliability.</w:t>
      </w:r>
      <w:r/>
    </w:p>
    <w:p>
      <w:pPr>
        <w:pBdr/>
        <w:spacing/>
        <w:ind/>
        <w:rPr/>
      </w:pPr>
      <w:r/>
      <w:r/>
    </w:p>
    <w:p>
      <w:pPr>
        <w:pBdr/>
        <w:spacing w:after="100" w:before="100"/>
        <w:ind/>
        <w:jc w:val="left"/>
        <w:rPr/>
      </w:pPr>
      <w:r>
        <w:rPr>
          <w:rFonts w:ascii="Times New Roman" w:hAnsi="Times New Roman"/>
          <w:b/>
          <w:i w:val="0"/>
          <w:sz w:val="20"/>
        </w:rPr>
        <w:t xml:space="preserve">2. RELATED WORK</w:t>
      </w:r>
      <w:r/>
    </w:p>
    <w:p>
      <w:pPr>
        <w:pBdr/>
        <w:spacing w:after="100" w:before="100"/>
        <w:ind/>
        <w:jc w:val="left"/>
        <w:rPr/>
      </w:pPr>
      <w:r>
        <w:rPr>
          <w:rFonts w:ascii="Times New Roman" w:hAnsi="Times New Roman"/>
          <w:b w:val="0"/>
          <w:i/>
          <w:sz w:val="20"/>
        </w:rPr>
        <w:t xml:space="preserve">2.1. From Rule-Based Systems to Transformer Models</w:t>
      </w:r>
      <w:r/>
    </w:p>
    <w:p>
      <w:pPr>
        <w:pBdr/>
        <w:spacing w:after="100" w:before="100"/>
        <w:ind w:firstLine="283"/>
        <w:jc w:val="both"/>
        <w:rPr/>
      </w:pPr>
      <w:r>
        <w:rPr>
          <w:rFonts w:ascii="Times New Roman" w:hAnsi="Times New Roman"/>
          <w:b w:val="0"/>
          <w:i w:val="0"/>
          <w:sz w:val="20"/>
        </w:rPr>
        <w:t xml:space="preserve">The challenge of automatically classifying consumer complaints mirrors the broader trajectory of NLP research. Early systems relied on keyword matching and hand-crafted feature engineering paired with SVMs and naive Bayes. These approac</w:t>
      </w:r>
      <w:r>
        <w:rPr>
          <w:rFonts w:ascii="Times New Roman" w:hAnsi="Times New Roman"/>
          <w:b w:val="0"/>
          <w:i w:val="0"/>
          <w:sz w:val="20"/>
        </w:rPr>
        <w:t xml:space="preserve">hes proved brittle in the face of the linguistic diversity found in real-world financial complaint corpora [3,14]. Lilleberg et al. [15] demonstrated that pairing SVMs with Word2Vec embeddings improves text classification over purely bag-of-words features.</w:t>
      </w:r>
      <w:r/>
    </w:p>
    <w:p>
      <w:pPr>
        <w:pBdr/>
        <w:spacing w:after="100" w:before="100"/>
        <w:ind w:firstLine="283"/>
        <w:jc w:val="both"/>
        <w:rPr/>
      </w:pPr>
      <w:r>
        <w:rPr>
          <w:rFonts w:ascii="Times New Roman" w:hAnsi="Times New Roman"/>
          <w:b w:val="0"/>
          <w:i w:val="0"/>
          <w:sz w:val="20"/>
        </w:rPr>
        <w:t xml:space="preserve">The introduction of BERT [8] triggered </w:t>
      </w:r>
      <w:r>
        <w:rPr>
          <w:rFonts w:ascii="Times New Roman" w:hAnsi="Times New Roman"/>
          <w:b w:val="0"/>
          <w:i w:val="0"/>
          <w:sz w:val="20"/>
        </w:rPr>
        <w:t xml:space="preserve">a significant paradigm shift. Raju et al. [14] applied BERTopic [16], FinBERT, DistilBERT, and RoBERTa to a corpus of 684,653 CFPB complaints. Vairetti et al. [9] used the Spanish BERT variant BETO for complaint prioritisation, achieving 92.1% accuracy, il</w:t>
      </w:r>
      <w:r>
        <w:rPr>
          <w:rFonts w:ascii="Times New Roman" w:hAnsi="Times New Roman"/>
          <w:b w:val="0"/>
          <w:i w:val="0"/>
          <w:sz w:val="20"/>
        </w:rPr>
        <w:t xml:space="preserve">lustrating that the BERT paradigm transfers well across languages. Das et al. [1] coupled transformer-based classifiers with explainability techniques. Liu et al. [2] proposed a structured LLM-based categorisation framework (CCF) with real-time monitoring.</w:t>
      </w:r>
      <w:r/>
    </w:p>
    <w:p>
      <w:pPr>
        <w:pBdr/>
        <w:spacing w:after="100" w:before="100"/>
        <w:ind/>
        <w:jc w:val="left"/>
        <w:rPr/>
      </w:pPr>
      <w:r>
        <w:rPr>
          <w:rFonts w:ascii="Times New Roman" w:hAnsi="Times New Roman"/>
          <w:b w:val="0"/>
          <w:i/>
          <w:sz w:val="20"/>
        </w:rPr>
        <w:t xml:space="preserve">2.2. The LLM Era and the Zero-Shot Paradigm</w:t>
      </w:r>
      <w:r/>
    </w:p>
    <w:p>
      <w:pPr>
        <w:pBdr/>
        <w:spacing w:after="100" w:before="100"/>
        <w:ind w:firstLine="283"/>
        <w:jc w:val="both"/>
        <w:rPr/>
      </w:pPr>
      <w:r>
        <w:rPr>
          <w:rFonts w:ascii="Times New Roman" w:hAnsi="Times New Roman"/>
          <w:b w:val="0"/>
          <w:i w:val="0"/>
          <w:sz w:val="20"/>
        </w:rPr>
        <w:t xml:space="preserve">The release of GPT-3 [10] introduced the zero-shot paradigm. Zhao et al. [17] provide a comprehensive survey of LLM capabilities. In the f</w:t>
      </w:r>
      <w:r>
        <w:rPr>
          <w:rFonts w:ascii="Times New Roman" w:hAnsi="Times New Roman"/>
          <w:b w:val="0"/>
          <w:i w:val="0"/>
          <w:sz w:val="20"/>
        </w:rPr>
        <w:t xml:space="preserve">inancial complaint domain, Correa et al. [18] demonstrated that generative AI can simultaneously classify, summarise, and draft responses to CFPB complaints with 88% accuracy in a zero-shot setting. Roumeliotis et al. [19] compared GPT-4 Omni and BERT for </w:t>
      </w:r>
      <w:r>
        <w:rPr>
          <w:rFonts w:ascii="Times New Roman" w:hAnsi="Times New Roman"/>
          <w:b w:val="0"/>
          <w:i w:val="0"/>
          <w:sz w:val="20"/>
        </w:rPr>
        <w:t xml:space="preserve">customer review classification in tourism, finding that GPT-4o achieved 67% accuracy zero-shot versus 60.6% for fine-tuned BERT. In a related e-commerce study, Roumeliotis et al. [20] compared GPT-3.5 and LLaMA-2 alongside BERT and RoBERTa for product revi</w:t>
      </w:r>
      <w:r>
        <w:rPr>
          <w:rFonts w:ascii="Times New Roman" w:hAnsi="Times New Roman"/>
          <w:b w:val="0"/>
          <w:i w:val="0"/>
          <w:sz w:val="20"/>
        </w:rPr>
        <w:t xml:space="preserve">ew sentiment classification, confirming that LLMs achieve competitive performance across diverse consumer feedback domains. Li et al. [21] further showed that fine-tuned open-source LLMs can match proprietary counterparts on domain-specific dialogue tasks.</w:t>
      </w:r>
      <w:r/>
    </w:p>
    <w:p>
      <w:pPr>
        <w:pBdr/>
        <w:spacing w:after="100" w:before="100"/>
        <w:ind w:firstLine="283"/>
        <w:jc w:val="both"/>
        <w:rPr/>
      </w:pPr>
      <w:r>
        <w:rPr>
          <w:rFonts w:ascii="Times New Roman" w:hAnsi="Times New Roman"/>
          <w:b w:val="0"/>
          <w:i w:val="0"/>
          <w:sz w:val="20"/>
        </w:rPr>
        <w:t xml:space="preserve">Shin et al. [22] analysed over</w:t>
      </w:r>
      <w:r>
        <w:rPr>
          <w:rFonts w:ascii="Times New Roman" w:hAnsi="Times New Roman"/>
          <w:b w:val="0"/>
          <w:i w:val="0"/>
          <w:sz w:val="20"/>
        </w:rPr>
        <w:t xml:space="preserve"> 1.1 million CFPB complaints and found that approximately 9.8% of complaints submitted after the public release of ChatGPT exhibit evidence of LLM assistance. Liang et al. [23] independently estimated that roughly 18% of recent complaints are LLM-assisted.</w:t>
      </w:r>
      <w:r/>
    </w:p>
    <w:p>
      <w:pPr>
        <w:pBdr/>
        <w:spacing w:after="100" w:before="100"/>
        <w:ind/>
        <w:jc w:val="left"/>
        <w:rPr/>
      </w:pPr>
      <w:r>
        <w:rPr>
          <w:rFonts w:ascii="Times New Roman" w:hAnsi="Times New Roman"/>
          <w:b w:val="0"/>
          <w:i/>
          <w:sz w:val="20"/>
        </w:rPr>
        <w:t xml:space="preserve">2.3. Reasoning Models and the State of the Art</w:t>
      </w:r>
      <w:r/>
    </w:p>
    <w:p>
      <w:pPr>
        <w:pBdr/>
        <w:spacing w:after="100" w:before="100"/>
        <w:ind w:firstLine="283"/>
        <w:jc w:val="both"/>
        <w:rPr/>
      </w:pPr>
      <w:r>
        <w:rPr>
          <w:rFonts w:ascii="Times New Roman" w:hAnsi="Times New Roman"/>
          <w:b w:val="0"/>
          <w:i w:val="0"/>
          <w:sz w:val="20"/>
        </w:rPr>
        <w:t xml:space="preserve">Chain-o</w:t>
      </w:r>
      <w:r>
        <w:rPr>
          <w:rFonts w:ascii="Times New Roman" w:hAnsi="Times New Roman"/>
          <w:b w:val="0"/>
          <w:i w:val="0"/>
          <w:sz w:val="20"/>
        </w:rPr>
        <w:t xml:space="preserve">f-thought reasoning models [24] generate intermediate reasoning steps before arriving at a final answer. DeepSeek-AI [25] demonstrated that open-source models trained with careful scaling laws can match GPT-3.5 tier performance. Guo et al. [26] introduced </w:t>
      </w:r>
      <w:r>
        <w:rPr>
          <w:rFonts w:ascii="Times New Roman" w:hAnsi="Times New Roman"/>
          <w:b w:val="0"/>
          <w:i w:val="0"/>
          <w:sz w:val="20"/>
        </w:rPr>
        <w:t xml:space="preserve">DeepSeek-R1, trained via reinforcement learning to produce structured reasoning traces, achieving performance competitive with proprietary frontier models. Similarly, the Qwen3 series [27] introduced an explicit thinking mode that can be toggled per query.</w:t>
      </w:r>
      <w:r/>
    </w:p>
    <w:p>
      <w:pPr>
        <w:pBdr/>
        <w:spacing w:after="100" w:before="100"/>
        <w:ind w:firstLine="283"/>
        <w:jc w:val="both"/>
        <w:rPr/>
      </w:pPr>
      <w:r>
        <w:rPr>
          <w:rFonts w:ascii="Times New Roman" w:hAnsi="Times New Roman"/>
          <w:b w:val="0"/>
          <w:i w:val="0"/>
          <w:sz w:val="20"/>
        </w:rPr>
        <w:t xml:space="preserve">Roumeliotis et al. [13] brought the reasoning paradigm directly to complaint classification, finding that o1 (F1 0.7764) and GPT-4.5 (F1 0.7763) outperformed their non-reasoni</w:t>
      </w:r>
      <w:r>
        <w:rPr>
          <w:rFonts w:ascii="Times New Roman" w:hAnsi="Times New Roman"/>
          <w:b w:val="0"/>
          <w:i w:val="0"/>
          <w:sz w:val="20"/>
        </w:rPr>
        <w:t xml:space="preserve">ng counterparts. Bulgakov and Turchin [28] proposed a two-stage framework combining a reasoning model with a lightweight logistic-regression corrector. Gullu et al. [29] fine-tuned LLaMA-3.1-8B on the same five-category CFPB task, reaching 89.99% accuracy.</w:t>
      </w:r>
      <w:r/>
    </w:p>
    <w:p>
      <w:pPr>
        <w:pBdr/>
        <w:spacing w:after="100" w:before="100"/>
        <w:ind/>
        <w:jc w:val="left"/>
        <w:rPr/>
      </w:pPr>
      <w:r>
        <w:rPr>
          <w:rFonts w:ascii="Times New Roman" w:hAnsi="Times New Roman"/>
          <w:b w:val="0"/>
          <w:i/>
          <w:sz w:val="20"/>
        </w:rPr>
        <w:t xml:space="preserve">2.4. The Open-Source Gap</w:t>
      </w:r>
      <w:r/>
    </w:p>
    <w:p>
      <w:pPr>
        <w:pBdr/>
        <w:spacing w:after="100" w:before="100"/>
        <w:ind w:firstLine="283"/>
        <w:jc w:val="both"/>
        <w:rPr/>
      </w:pPr>
      <w:r>
        <w:rPr>
          <w:rFonts w:ascii="Times New Roman" w:hAnsi="Times New Roman"/>
          <w:b w:val="0"/>
          <w:i w:val="0"/>
          <w:sz w:val="20"/>
        </w:rPr>
        <w:t xml:space="preserve">Despite these advances, every paper benchmarking LLMs on CFPB complaint classification has relied either on paid commercial APIs or on fine-tuned models requiring substantial labelled training data. The pr</w:t>
      </w:r>
      <w:r>
        <w:rPr>
          <w:rFonts w:ascii="Times New Roman" w:hAnsi="Times New Roman"/>
          <w:b w:val="0"/>
          <w:i w:val="0"/>
          <w:sz w:val="20"/>
        </w:rPr>
        <w:t xml:space="preserve">esent paper fills this gap by restricting itself entirely to open-weight models deployed locally on shared HPC infrastructure, demonstrating that competitive zero-shot complaint classification is achievable without any API cost or proprietary model access.</w:t>
      </w:r>
      <w:r/>
    </w:p>
    <w:p>
      <w:pPr>
        <w:pBdr/>
        <w:spacing/>
        <w:ind/>
        <w:rPr/>
      </w:pPr>
      <w:r/>
      <w:r/>
    </w:p>
    <w:p>
      <w:pPr>
        <w:pBdr/>
        <w:spacing w:after="100" w:before="100"/>
        <w:ind/>
        <w:jc w:val="left"/>
        <w:rPr/>
      </w:pPr>
      <w:r>
        <w:rPr>
          <w:rFonts w:ascii="Times New Roman" w:hAnsi="Times New Roman"/>
          <w:b/>
          <w:i w:val="0"/>
          <w:sz w:val="20"/>
        </w:rPr>
        <w:t xml:space="preserve">3. DATASET AND PREPROCESSING</w:t>
      </w:r>
      <w:r/>
    </w:p>
    <w:p>
      <w:pPr>
        <w:pBdr/>
        <w:spacing w:after="100" w:before="100"/>
        <w:ind/>
        <w:jc w:val="left"/>
        <w:rPr/>
      </w:pPr>
      <w:r>
        <w:rPr>
          <w:rFonts w:ascii="Times New Roman" w:hAnsi="Times New Roman"/>
          <w:b w:val="0"/>
          <w:i/>
          <w:sz w:val="20"/>
        </w:rPr>
        <w:t xml:space="preserve">3.1. Data Source</w:t>
      </w:r>
      <w:r/>
    </w:p>
    <w:p>
      <w:pPr>
        <w:pBdr/>
        <w:spacing w:after="100" w:before="100"/>
        <w:ind w:firstLine="283"/>
        <w:jc w:val="both"/>
        <w:rPr/>
      </w:pPr>
      <w:r>
        <w:rPr>
          <w:rFonts w:ascii="Times New Roman" w:hAnsi="Times New Roman"/>
          <w:b w:val="0"/>
          <w:i w:val="0"/>
          <w:sz w:val="20"/>
        </w:rPr>
        <w:t xml:space="preserve">We use the CFPB Consumer Compla</w:t>
      </w:r>
      <w:r>
        <w:rPr>
          <w:rFonts w:ascii="Times New Roman" w:hAnsi="Times New Roman"/>
          <w:b w:val="0"/>
          <w:i w:val="0"/>
          <w:sz w:val="20"/>
        </w:rPr>
        <w:t xml:space="preserve">ints dataset published by Tiwari [30] on Kaggle, which covers complaints submitted between March 2020 and March 2021 and contains three columns: an unnamed index, product (the category label), and narrative (the free-text complaint). The raw file comprises</w:t>
      </w:r>
      <w:r>
        <w:rPr>
          <w:rFonts w:ascii="Times New Roman" w:hAnsi="Times New Roman"/>
          <w:b w:val="0"/>
          <w:i w:val="0"/>
          <w:sz w:val="20"/>
        </w:rPr>
        <w:t xml:space="preserve"> 162,421 records consolidated to five target product categories: retail_banking, credit_reporting, credit_card, mortgages_and_loans, and debt_collection. This is the same dataset and label set used by Roumeliotis et al. [13], ensuring direct comparability.</w:t>
      </w:r>
      <w:r/>
    </w:p>
    <w:p>
      <w:pPr>
        <w:pBdr/>
        <w:spacing w:after="100" w:before="100"/>
        <w:ind/>
        <w:jc w:val="left"/>
        <w:rPr/>
      </w:pPr>
      <w:r>
        <w:rPr>
          <w:rFonts w:ascii="Times New Roman" w:hAnsi="Times New Roman"/>
          <w:b w:val="0"/>
          <w:i/>
          <w:sz w:val="20"/>
        </w:rPr>
        <w:t xml:space="preserve">3.2. Class Distribution</w:t>
      </w:r>
      <w:r/>
    </w:p>
    <w:p>
      <w:pPr>
        <w:pBdr/>
        <w:spacing w:after="100" w:before="100"/>
        <w:ind w:firstLine="283"/>
        <w:jc w:val="both"/>
        <w:rPr/>
      </w:pPr>
      <w:r>
        <w:rPr>
          <w:rFonts w:ascii="Times New Roman" w:hAnsi="Times New Roman"/>
          <w:b w:val="0"/>
          <w:i w:val="0"/>
          <w:sz w:val="20"/>
        </w:rPr>
        <w:t xml:space="preserve">The original data are heavily imbalanced. After removing records with empty product or narrative fiel</w:t>
      </w:r>
      <w:r>
        <w:rPr>
          <w:rFonts w:ascii="Times New Roman" w:hAnsi="Times New Roman"/>
          <w:b w:val="0"/>
          <w:i w:val="0"/>
          <w:sz w:val="20"/>
        </w:rPr>
        <w:t xml:space="preserve">ds (10 rows removed, 162,411 remaining) and discarding narratives exceeding 500 characters (resulting in 103,915 usable records), the class distribution shifts to: credit_reporting 63.6%, debt_collection 14.1%, mortgages_and_loans 7.7%, credit_card 7.5%, a</w:t>
      </w:r>
      <w:r>
        <w:rPr>
          <w:rFonts w:ascii="Times New Roman" w:hAnsi="Times New Roman"/>
          <w:b w:val="0"/>
          <w:i w:val="0"/>
          <w:sz w:val="20"/>
        </w:rPr>
        <w:t xml:space="preserve">nd retail_banking 7.1%. Figure 1 illustrates how this skew propagates into the experimental subsets: the imbalanced condition retains the dominant credit_reporting class at 51.1%, while the balanced condition enforces equal class sizes of 200 samples each.</w:t>
      </w:r>
      <w:r/>
    </w:p>
    <w:p>
      <w:pPr>
        <w:pBdr/>
        <w:spacing w:after="40" w:before="100"/>
        <w:ind/>
        <w:jc w:val="center"/>
        <w:rPr/>
      </w:pPr>
      <w:r>
        <mc:AlternateContent>
          <mc:Choice Requires="wpg">
            <w:drawing>
              <wp:inline xmlns:wp="http://schemas.openxmlformats.org/drawingml/2006/wordprocessingDrawing" distT="0" distB="0" distL="0" distR="0">
                <wp:extent cx="5040000" cy="248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a:picLocks noChangeAspect="1"/>
                        </pic:cNvPicPr>
                        <pic:nvPr/>
                      </pic:nvPicPr>
                      <pic:blipFill rotWithShape="1">
                        <a:blip r:embed="rId10"/>
                        <a:stretch/>
                      </pic:blipFill>
                      <pic:spPr bwMode="auto">
                        <a:xfrm>
                          <a:off x="0" y="0"/>
                          <a:ext cx="5040000" cy="24838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85pt;height:195.58pt;mso-wrap-distance-left:0.00pt;mso-wrap-distance-top:0.00pt;mso-wrap-distance-right:0.00pt;mso-wrap-distance-bottom:0.00pt;z-index:1;" stroked="false">
                <v:imagedata r:id="rId10" o:title=""/>
                <o:lock v:ext="edit" rotation="t"/>
              </v:shape>
            </w:pict>
          </mc:Fallback>
        </mc:AlternateContent>
      </w:r>
      <w:r/>
    </w:p>
    <w:p>
      <w:pPr>
        <w:pBdr/>
        <w:spacing w:after="100" w:before="40"/>
        <w:ind/>
        <w:jc w:val="center"/>
        <w:rPr/>
      </w:pPr>
      <w:r>
        <w:rPr>
          <w:rFonts w:ascii="Times New Roman" w:hAnsi="Times New Roman"/>
          <w:b w:val="0"/>
          <w:i w:val="0"/>
          <w:sz w:val="20"/>
        </w:rPr>
        <w:t xml:space="preserve">Figure 1. Class proportions (%) in the full post-filter dataset (N=103,915), the imbalanced experimental subset (N=1,000), and the balanced subset (N=1,000). In the imbalanced condition, credit_reporting is the dominant class at 51.1%.</w:t>
      </w:r>
      <w:r/>
    </w:p>
    <w:p>
      <w:pPr>
        <w:pBdr/>
        <w:spacing w:after="100" w:before="100"/>
        <w:ind/>
        <w:jc w:val="left"/>
        <w:rPr/>
      </w:pPr>
      <w:r>
        <w:rPr>
          <w:rFonts w:ascii="Times New Roman" w:hAnsi="Times New Roman"/>
          <w:b w:val="0"/>
          <w:i/>
          <w:sz w:val="20"/>
        </w:rPr>
        <w:t xml:space="preserve">3.3. Preprocessing Pipeline</w:t>
      </w:r>
      <w:r/>
    </w:p>
    <w:p>
      <w:pPr>
        <w:pBdr/>
        <w:spacing w:after="100" w:before="100"/>
        <w:ind w:firstLine="283"/>
        <w:jc w:val="both"/>
        <w:rPr/>
      </w:pPr>
      <w:r>
        <w:rPr>
          <w:rFonts w:ascii="Times New Roman" w:hAnsi="Times New Roman"/>
          <w:b w:val="0"/>
          <w:i w:val="0"/>
          <w:sz w:val="20"/>
        </w:rPr>
        <w:t xml:space="preserve">The preprocessing steps, implemented in Python using pandas, are applied in the following order to every record: (1) drop rows with empty product or narrative; (2) retain only records belonging to the five target categories; (3)</w:t>
      </w:r>
      <w:r>
        <w:rPr>
          <w:rFonts w:ascii="Times New Roman" w:hAnsi="Times New Roman"/>
          <w:b w:val="0"/>
          <w:i w:val="0"/>
          <w:sz w:val="20"/>
        </w:rPr>
        <w:t xml:space="preserve"> remove narratives longer than 500 characters, reducing processing time and GPU memory pressure while avoiding truncation artefacts during inference; (4) standardise narrative text: convert to lowercase, remove special characters, and normalise whitespace.</w:t>
      </w:r>
      <w:r/>
    </w:p>
    <w:p>
      <w:pPr>
        <w:pBdr/>
        <w:spacing w:after="100" w:before="100"/>
        <w:ind/>
        <w:jc w:val="left"/>
        <w:rPr/>
      </w:pPr>
      <w:r>
        <w:rPr>
          <w:rFonts w:ascii="Times New Roman" w:hAnsi="Times New Roman"/>
          <w:b w:val="0"/>
          <w:i/>
          <w:sz w:val="20"/>
        </w:rPr>
        <w:t xml:space="preserve">3.4. Experimental Subsets</w:t>
      </w:r>
      <w:r/>
    </w:p>
    <w:p>
      <w:pPr>
        <w:pBdr/>
        <w:spacing w:after="100" w:before="100"/>
        <w:ind w:firstLine="283"/>
        <w:jc w:val="both"/>
        <w:rPr/>
      </w:pPr>
      <w:r>
        <w:rPr>
          <w:rFonts w:ascii="Times New Roman" w:hAnsi="Times New Roman"/>
          <w:b w:val="0"/>
          <w:i w:val="0"/>
          <w:sz w:val="20"/>
        </w:rPr>
        <w:t xml:space="preserve">Two e</w:t>
      </w:r>
      <w:r>
        <w:rPr>
          <w:rFonts w:ascii="Times New Roman" w:hAnsi="Times New Roman"/>
          <w:b w:val="0"/>
          <w:i w:val="0"/>
          <w:sz w:val="20"/>
        </w:rPr>
        <w:t xml:space="preserve">xperimental conditions are defined, each evaluated under a multi-seed, multi-size design. Experiment A (Balanced): 200 records are sampled uniformly at random from each of the five categories (N=1,000 total) using stratified undersampling, following the ev</w:t>
      </w:r>
      <w:r>
        <w:rPr>
          <w:rFonts w:ascii="Times New Roman" w:hAnsi="Times New Roman"/>
          <w:b w:val="0"/>
          <w:i w:val="0"/>
          <w:sz w:val="20"/>
        </w:rPr>
        <w:t xml:space="preserve">aluation protocol of Roumeliotis et al. [13]. Experiment B (Imbalanced): records are sampled with proportions reflecting the post-filter natural class distribution, subject to a minimum of 100 samples per class, yielding N=1,000 with credit_reporting 51.1%</w:t>
      </w:r>
      <w:r>
        <w:rPr>
          <w:rFonts w:ascii="Times New Roman" w:hAnsi="Times New Roman"/>
          <w:b w:val="0"/>
          <w:i w:val="0"/>
          <w:sz w:val="20"/>
        </w:rPr>
        <w:t xml:space="preserve">. Each condition is replicated with three independent random seeds and at two narrative character-length limits (250 and 500 characters), yielding 12 datasets per model and 132 inference runs in total (11 models x 3 seeds x 2 conditions x 2 length limits).</w:t>
      </w:r>
      <w:r/>
    </w:p>
    <w:p>
      <w:pPr>
        <w:pBdr/>
        <w:spacing w:after="40" w:before="100"/>
        <w:ind/>
        <w:jc w:val="center"/>
        <w:rPr/>
      </w:pPr>
      <w:r>
        <mc:AlternateContent>
          <mc:Choice Requires="wpg">
            <w:drawing>
              <wp:inline xmlns:wp="http://schemas.openxmlformats.org/drawingml/2006/wordprocessingDrawing" distT="0" distB="0" distL="0" distR="0">
                <wp:extent cx="5040000" cy="2478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_length_histogram.png"/>
                        <pic:cNvPicPr>
                          <a:picLocks noChangeAspect="1"/>
                        </pic:cNvPicPr>
                        <pic:nvPr/>
                      </pic:nvPicPr>
                      <pic:blipFill rotWithShape="1">
                        <a:blip r:embed="rId11"/>
                        <a:stretch/>
                      </pic:blipFill>
                      <pic:spPr bwMode="auto">
                        <a:xfrm>
                          <a:off x="0" y="0"/>
                          <a:ext cx="5040000" cy="24786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85pt;height:195.17pt;mso-wrap-distance-left:0.00pt;mso-wrap-distance-top:0.00pt;mso-wrap-distance-right:0.00pt;mso-wrap-distance-bottom:0.00pt;z-index:1;" stroked="false">
                <v:imagedata r:id="rId11" o:title=""/>
                <o:lock v:ext="edit" rotation="t"/>
              </v:shape>
            </w:pict>
          </mc:Fallback>
        </mc:AlternateContent>
      </w:r>
      <w:r/>
    </w:p>
    <w:p>
      <w:pPr>
        <w:pBdr/>
        <w:spacing w:after="100" w:before="40"/>
        <w:ind/>
        <w:jc w:val="center"/>
        <w:rPr/>
      </w:pPr>
      <w:r>
        <w:rPr>
          <w:rFonts w:ascii="Times New Roman" w:hAnsi="Times New Roman"/>
          <w:b w:val="0"/>
          <w:i w:val="0"/>
          <w:sz w:val="20"/>
        </w:rPr>
        <w:t xml:space="preserve">Figure 2. Narrative character-length distribution across three balanced N=1,000 subsets (seeds 1-3, different colours). The dashed line marks the 250-character evaluation limit; the solid line marks 500 characters.</w:t>
      </w:r>
      <w:r/>
    </w:p>
    <w:p>
      <w:pPr>
        <w:pBdr/>
        <w:spacing/>
        <w:ind/>
        <w:rPr/>
      </w:pPr>
      <w:r/>
      <w:r/>
    </w:p>
    <w:p>
      <w:pPr>
        <w:pBdr/>
        <w:spacing w:after="100" w:before="100"/>
        <w:ind/>
        <w:jc w:val="left"/>
        <w:rPr/>
      </w:pPr>
      <w:r>
        <w:rPr>
          <w:rFonts w:ascii="Times New Roman" w:hAnsi="Times New Roman"/>
          <w:b/>
          <w:i w:val="0"/>
          <w:sz w:val="20"/>
        </w:rPr>
        <w:t xml:space="preserve">4. EXPERIMENTAL SETUP</w:t>
      </w:r>
      <w:r/>
    </w:p>
    <w:p>
      <w:pPr>
        <w:pBdr/>
        <w:spacing w:after="100" w:before="100"/>
        <w:ind/>
        <w:jc w:val="left"/>
        <w:rPr/>
      </w:pPr>
      <w:r>
        <w:rPr>
          <w:rFonts w:ascii="Times New Roman" w:hAnsi="Times New Roman"/>
          <w:b w:val="0"/>
          <w:i/>
          <w:sz w:val="20"/>
        </w:rPr>
        <w:t xml:space="preserve">4.1. Infrastructure</w:t>
      </w:r>
      <w:r/>
    </w:p>
    <w:p>
      <w:pPr>
        <w:pBdr/>
        <w:spacing w:after="100" w:before="100"/>
        <w:ind w:firstLine="283"/>
        <w:jc w:val="both"/>
        <w:rPr/>
      </w:pPr>
      <w:r>
        <w:rPr>
          <w:rFonts w:ascii="Times New Roman" w:hAnsi="Times New Roman"/>
          <w:b w:val="0"/>
          <w:i w:val="0"/>
          <w:sz w:val="20"/>
        </w:rPr>
        <w:t xml:space="preserve">All inference experiments are conducted on the TRUBA ARF cluster, the Turkish national high-performance computing facility. </w:t>
      </w:r>
      <w:r>
        <w:rPr>
          <w:rFonts w:ascii="Times New Roman" w:hAnsi="Times New Roman"/>
          <w:b w:val="0"/>
          <w:i w:val="0"/>
          <w:sz w:val="20"/>
        </w:rPr>
        <w:t xml:space="preserve">Jobs are submitted via the SLURM scheduler to the akya-cuda partition. Each job is allocated a single NVIDIA Tesla V100-SXM2-16 GB GPU (16 GB VRAM), 10 CPU cores, and a 24-hour wall-clock time limit. All models are pre-downloaded to shared storage before j</w:t>
      </w:r>
      <w:r>
        <w:rPr>
          <w:rFonts w:ascii="Times New Roman" w:hAnsi="Times New Roman"/>
          <w:b w:val="0"/>
          <w:i w:val="0"/>
          <w:sz w:val="20"/>
        </w:rPr>
        <w:t xml:space="preserve">ob submission, ensuring fully offline inference on compute nodes - a configuration that mirrors regulated or air-gapped deployment environments. Model inference is handled by Ollama v0.30.6. Up to eight jobs run concurrently across the akya-cuda partition.</w:t>
      </w:r>
      <w:r/>
    </w:p>
    <w:p>
      <w:pPr>
        <w:pBdr/>
        <w:spacing w:after="100" w:before="100"/>
        <w:ind/>
        <w:jc w:val="left"/>
        <w:rPr/>
      </w:pPr>
      <w:r>
        <w:rPr>
          <w:rFonts w:ascii="Times New Roman" w:hAnsi="Times New Roman"/>
          <w:b w:val="0"/>
          <w:i/>
          <w:sz w:val="20"/>
        </w:rPr>
        <w:t xml:space="preserve">4.2. Models</w:t>
      </w:r>
      <w:r/>
    </w:p>
    <w:p>
      <w:pPr>
        <w:pBdr/>
        <w:spacing w:after="100" w:before="100"/>
        <w:ind w:firstLine="283"/>
        <w:jc w:val="both"/>
        <w:rPr/>
      </w:pPr>
      <w:r>
        <w:rPr>
          <w:rFonts w:ascii="Times New Roman" w:hAnsi="Times New Roman"/>
          <w:b w:val="0"/>
          <w:i w:val="0"/>
          <w:sz w:val="20"/>
        </w:rPr>
        <w:t xml:space="preserve">Table 1 lists all eleven models. Six are standard (non-reasoning) instruction-tuned models; five are reasoning models that generate chai</w:t>
      </w:r>
      <w:r>
        <w:rPr>
          <w:rFonts w:ascii="Times New Roman" w:hAnsi="Times New Roman"/>
          <w:b w:val="0"/>
          <w:i w:val="0"/>
          <w:sz w:val="20"/>
        </w:rPr>
        <w:t xml:space="preserve">n-of-thought traces before producing a final answer. The model set spans two scale tiers within each family (approximately 7-9B and 12-14B parameters). All models use 4-bit quantisation (Q4_K_M GGUF format, Ollama default). The largest model, gpt-oss:20b, </w:t>
      </w:r>
      <w:r>
        <w:rPr>
          <w:rFonts w:ascii="Times New Roman" w:hAnsi="Times New Roman"/>
          <w:b w:val="0"/>
          <w:i w:val="0"/>
          <w:sz w:val="20"/>
        </w:rPr>
        <w:t xml:space="preserve">requires 13.0 GB VRAM and fits within a single V100. gpt-oss:20b is an open-weight reasoning model released by OpenAI and distributed through the Ollama registry; it requires no API key and its weights are publicly accessible via "ollama pull gpt-oss:20b".</w:t>
      </w:r>
      <w:r/>
    </w:p>
    <w:p>
      <w:pPr>
        <w:pBdr/>
        <w:spacing w:after="40" w:before="100"/>
        <w:ind/>
        <w:jc w:val="center"/>
        <w:rPr/>
      </w:pPr>
      <w:r>
        <w:rPr>
          <w:rFonts w:ascii="Times New Roman" w:hAnsi="Times New Roman"/>
          <w:b w:val="0"/>
          <w:i w:val="0"/>
          <w:sz w:val="20"/>
        </w:rPr>
        <w:t xml:space="preserve">Table 1. Open-Source Models Evaluated (Q4_K_M Quantisation)</w:t>
      </w:r>
      <w:r/>
    </w:p>
    <w:tbl>
      <w:tblPr>
        <w:tblStyle w:val="934"/>
        <w:jc w:val="center"/>
        <w:tblW w:w="0" w:type="auto"/>
        <w:tblBorders/>
        <w:tblLook w:val="04A0" w:firstRow="1" w:lastRow="0" w:firstColumn="1" w:lastColumn="0" w:noHBand="0" w:noVBand="1"/>
      </w:tblPr>
      <w:tblGrid>
        <w:gridCol w:w="1928"/>
        <w:gridCol w:w="1928"/>
        <w:gridCol w:w="1928"/>
        <w:gridCol w:w="1928"/>
        <w:gridCol w:w="1928"/>
      </w:tblGrid>
      <w:tr>
        <w:trPr/>
        <w:tc>
          <w:tcPr>
            <w:tcBorders/>
            <w:tcW w:w="1928" w:type="dxa"/>
          </w:tcPr>
          <w:p>
            <w:pPr>
              <w:pBdr/>
              <w:spacing/>
              <w:ind/>
              <w:jc w:val="center"/>
              <w:rPr/>
            </w:pPr>
            <w:r>
              <w:rPr>
                <w:rFonts w:ascii="Times New Roman" w:hAnsi="Times New Roman"/>
                <w:b/>
                <w:i w:val="0"/>
                <w:sz w:val="18"/>
              </w:rPr>
              <w:t xml:space="preserve">Model</w:t>
            </w:r>
            <w:r/>
          </w:p>
        </w:tc>
        <w:tc>
          <w:tcPr>
            <w:tcBorders/>
            <w:tcW w:w="1928" w:type="dxa"/>
          </w:tcPr>
          <w:p>
            <w:pPr>
              <w:pBdr/>
              <w:spacing/>
              <w:ind/>
              <w:jc w:val="center"/>
              <w:rPr/>
            </w:pPr>
            <w:r>
              <w:rPr>
                <w:rFonts w:ascii="Times New Roman" w:hAnsi="Times New Roman"/>
                <w:b/>
                <w:i w:val="0"/>
                <w:sz w:val="18"/>
              </w:rPr>
              <w:t xml:space="preserve">Family</w:t>
            </w:r>
            <w:r/>
          </w:p>
        </w:tc>
        <w:tc>
          <w:tcPr>
            <w:tcBorders/>
            <w:tcW w:w="1928" w:type="dxa"/>
          </w:tcPr>
          <w:p>
            <w:pPr>
              <w:pBdr/>
              <w:spacing/>
              <w:ind/>
              <w:jc w:val="center"/>
              <w:rPr/>
            </w:pPr>
            <w:r>
              <w:rPr>
                <w:rFonts w:ascii="Times New Roman" w:hAnsi="Times New Roman"/>
                <w:b/>
                <w:i w:val="0"/>
                <w:sz w:val="18"/>
              </w:rPr>
              <w:t xml:space="preserve">Type</w:t>
            </w:r>
            <w:r/>
          </w:p>
        </w:tc>
        <w:tc>
          <w:tcPr>
            <w:tcBorders/>
            <w:tcW w:w="1928" w:type="dxa"/>
          </w:tcPr>
          <w:p>
            <w:pPr>
              <w:pBdr/>
              <w:spacing/>
              <w:ind/>
              <w:jc w:val="center"/>
              <w:rPr/>
            </w:pPr>
            <w:r>
              <w:rPr>
                <w:rFonts w:ascii="Times New Roman" w:hAnsi="Times New Roman"/>
                <w:b/>
                <w:i w:val="0"/>
                <w:sz w:val="18"/>
              </w:rPr>
              <w:t xml:space="preserve">Parameters</w:t>
            </w:r>
            <w:r/>
          </w:p>
        </w:tc>
        <w:tc>
          <w:tcPr>
            <w:tcBorders/>
            <w:tcW w:w="1928" w:type="dxa"/>
          </w:tcPr>
          <w:p>
            <w:pPr>
              <w:pBdr/>
              <w:spacing/>
              <w:ind/>
              <w:jc w:val="center"/>
              <w:rPr/>
            </w:pPr>
            <w:r>
              <w:rPr>
                <w:rFonts w:ascii="Times New Roman" w:hAnsi="Times New Roman"/>
                <w:b/>
                <w:i w:val="0"/>
                <w:sz w:val="18"/>
              </w:rPr>
              <w:t xml:space="preserve">VRAM</w:t>
            </w:r>
            <w:r/>
          </w:p>
        </w:tc>
      </w:tr>
      <w:tr>
        <w:trPr/>
        <w:tc>
          <w:tcPr>
            <w:tcBorders/>
            <w:tcW w:w="1928" w:type="dxa"/>
          </w:tcPr>
          <w:p>
            <w:pPr>
              <w:pBdr/>
              <w:spacing/>
              <w:ind/>
              <w:jc w:val="center"/>
              <w:rPr/>
            </w:pPr>
            <w:r>
              <w:rPr>
                <w:rFonts w:ascii="Times New Roman" w:hAnsi="Times New Roman"/>
                <w:b w:val="0"/>
                <w:i w:val="0"/>
                <w:sz w:val="18"/>
              </w:rPr>
              <w:t xml:space="preserve">gemma2:9b</w:t>
            </w:r>
            <w:r/>
          </w:p>
        </w:tc>
        <w:tc>
          <w:tcPr>
            <w:tcBorders/>
            <w:tcW w:w="1928" w:type="dxa"/>
          </w:tcPr>
          <w:p>
            <w:pPr>
              <w:pBdr/>
              <w:spacing/>
              <w:ind/>
              <w:jc w:val="center"/>
              <w:rPr/>
            </w:pPr>
            <w:r>
              <w:rPr>
                <w:rFonts w:ascii="Times New Roman" w:hAnsi="Times New Roman"/>
                <w:b w:val="0"/>
                <w:i w:val="0"/>
                <w:sz w:val="18"/>
              </w:rPr>
              <w:t xml:space="preserve">Google</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9B</w:t>
            </w:r>
            <w:r/>
          </w:p>
        </w:tc>
        <w:tc>
          <w:tcPr>
            <w:tcBorders/>
            <w:tcW w:w="1928" w:type="dxa"/>
          </w:tcPr>
          <w:p>
            <w:pPr>
              <w:pBdr/>
              <w:spacing/>
              <w:ind/>
              <w:jc w:val="center"/>
              <w:rPr/>
            </w:pPr>
            <w:r>
              <w:rPr>
                <w:rFonts w:ascii="Times New Roman" w:hAnsi="Times New Roman"/>
                <w:b w:val="0"/>
                <w:i w:val="0"/>
                <w:sz w:val="18"/>
              </w:rPr>
              <w:t xml:space="preserve">5.4 GB</w:t>
            </w:r>
            <w:r/>
          </w:p>
        </w:tc>
      </w:tr>
      <w:tr>
        <w:trPr/>
        <w:tc>
          <w:tcPr>
            <w:tcBorders/>
            <w:tcW w:w="1928" w:type="dxa"/>
          </w:tcPr>
          <w:p>
            <w:pPr>
              <w:pBdr/>
              <w:spacing/>
              <w:ind/>
              <w:jc w:val="center"/>
              <w:rPr/>
            </w:pPr>
            <w:r>
              <w:rPr>
                <w:rFonts w:ascii="Times New Roman" w:hAnsi="Times New Roman"/>
                <w:b w:val="0"/>
                <w:i w:val="0"/>
                <w:sz w:val="18"/>
              </w:rPr>
              <w:t xml:space="preserve">gemma4:12b</w:t>
            </w:r>
            <w:r/>
          </w:p>
        </w:tc>
        <w:tc>
          <w:tcPr>
            <w:tcBorders/>
            <w:tcW w:w="1928" w:type="dxa"/>
          </w:tcPr>
          <w:p>
            <w:pPr>
              <w:pBdr/>
              <w:spacing/>
              <w:ind/>
              <w:jc w:val="center"/>
              <w:rPr/>
            </w:pPr>
            <w:r>
              <w:rPr>
                <w:rFonts w:ascii="Times New Roman" w:hAnsi="Times New Roman"/>
                <w:b w:val="0"/>
                <w:i w:val="0"/>
                <w:sz w:val="18"/>
              </w:rPr>
              <w:t xml:space="preserve">Google</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12B</w:t>
            </w:r>
            <w:r/>
          </w:p>
        </w:tc>
        <w:tc>
          <w:tcPr>
            <w:tcBorders/>
            <w:tcW w:w="1928" w:type="dxa"/>
          </w:tcPr>
          <w:p>
            <w:pPr>
              <w:pBdr/>
              <w:spacing/>
              <w:ind/>
              <w:jc w:val="center"/>
              <w:rPr/>
            </w:pPr>
            <w:r>
              <w:rPr>
                <w:rFonts w:ascii="Times New Roman" w:hAnsi="Times New Roman"/>
                <w:b w:val="0"/>
                <w:i w:val="0"/>
                <w:sz w:val="18"/>
              </w:rPr>
              <w:t xml:space="preserve">7.6 GB</w:t>
            </w:r>
            <w:r/>
          </w:p>
        </w:tc>
      </w:tr>
      <w:tr>
        <w:trPr/>
        <w:tc>
          <w:tcPr>
            <w:tcBorders/>
            <w:tcW w:w="1928" w:type="dxa"/>
          </w:tcPr>
          <w:p>
            <w:pPr>
              <w:pBdr/>
              <w:spacing/>
              <w:ind/>
              <w:jc w:val="center"/>
              <w:rPr/>
            </w:pPr>
            <w:r>
              <w:rPr>
                <w:rFonts w:ascii="Times New Roman" w:hAnsi="Times New Roman"/>
                <w:b w:val="0"/>
                <w:i w:val="0"/>
                <w:sz w:val="18"/>
              </w:rPr>
              <w:t xml:space="preserve">mistral:7b</w:t>
            </w:r>
            <w:r/>
          </w:p>
        </w:tc>
        <w:tc>
          <w:tcPr>
            <w:tcBorders/>
            <w:tcW w:w="1928" w:type="dxa"/>
          </w:tcPr>
          <w:p>
            <w:pPr>
              <w:pBdr/>
              <w:spacing/>
              <w:ind/>
              <w:jc w:val="center"/>
              <w:rPr/>
            </w:pPr>
            <w:r>
              <w:rPr>
                <w:rFonts w:ascii="Times New Roman" w:hAnsi="Times New Roman"/>
                <w:b w:val="0"/>
                <w:i w:val="0"/>
                <w:sz w:val="18"/>
              </w:rPr>
              <w:t xml:space="preserve">Mistral</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7B</w:t>
            </w:r>
            <w:r/>
          </w:p>
        </w:tc>
        <w:tc>
          <w:tcPr>
            <w:tcBorders/>
            <w:tcW w:w="1928" w:type="dxa"/>
          </w:tcPr>
          <w:p>
            <w:pPr>
              <w:pBdr/>
              <w:spacing/>
              <w:ind/>
              <w:jc w:val="center"/>
              <w:rPr/>
            </w:pPr>
            <w:r>
              <w:rPr>
                <w:rFonts w:ascii="Times New Roman" w:hAnsi="Times New Roman"/>
                <w:b w:val="0"/>
                <w:i w:val="0"/>
                <w:sz w:val="18"/>
              </w:rPr>
              <w:t xml:space="preserve">4.4 GB</w:t>
            </w:r>
            <w:r/>
          </w:p>
        </w:tc>
      </w:tr>
      <w:tr>
        <w:trPr/>
        <w:tc>
          <w:tcPr>
            <w:tcBorders/>
            <w:tcW w:w="1928" w:type="dxa"/>
          </w:tcPr>
          <w:p>
            <w:pPr>
              <w:pBdr/>
              <w:spacing/>
              <w:ind/>
              <w:jc w:val="center"/>
              <w:rPr/>
            </w:pPr>
            <w:r>
              <w:rPr>
                <w:rFonts w:ascii="Times New Roman" w:hAnsi="Times New Roman"/>
                <w:b w:val="0"/>
                <w:i w:val="0"/>
                <w:sz w:val="18"/>
              </w:rPr>
              <w:t xml:space="preserve">mistral-nemo:12b</w:t>
            </w:r>
            <w:r/>
          </w:p>
        </w:tc>
        <w:tc>
          <w:tcPr>
            <w:tcBorders/>
            <w:tcW w:w="1928" w:type="dxa"/>
          </w:tcPr>
          <w:p>
            <w:pPr>
              <w:pBdr/>
              <w:spacing/>
              <w:ind/>
              <w:jc w:val="center"/>
              <w:rPr/>
            </w:pPr>
            <w:r>
              <w:rPr>
                <w:rFonts w:ascii="Times New Roman" w:hAnsi="Times New Roman"/>
                <w:b w:val="0"/>
                <w:i w:val="0"/>
                <w:sz w:val="18"/>
              </w:rPr>
              <w:t xml:space="preserve">Mistral</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12B</w:t>
            </w:r>
            <w:r/>
          </w:p>
        </w:tc>
        <w:tc>
          <w:tcPr>
            <w:tcBorders/>
            <w:tcW w:w="1928" w:type="dxa"/>
          </w:tcPr>
          <w:p>
            <w:pPr>
              <w:pBdr/>
              <w:spacing/>
              <w:ind/>
              <w:jc w:val="center"/>
              <w:rPr/>
            </w:pPr>
            <w:r>
              <w:rPr>
                <w:rFonts w:ascii="Times New Roman" w:hAnsi="Times New Roman"/>
                <w:b w:val="0"/>
                <w:i w:val="0"/>
                <w:sz w:val="18"/>
              </w:rPr>
              <w:t xml:space="preserve">7.1 GB</w:t>
            </w:r>
            <w:r/>
          </w:p>
        </w:tc>
      </w:tr>
      <w:tr>
        <w:trPr/>
        <w:tc>
          <w:tcPr>
            <w:tcBorders/>
            <w:tcW w:w="1928" w:type="dxa"/>
          </w:tcPr>
          <w:p>
            <w:pPr>
              <w:pBdr/>
              <w:spacing/>
              <w:ind/>
              <w:jc w:val="center"/>
              <w:rPr/>
            </w:pPr>
            <w:r>
              <w:rPr>
                <w:rFonts w:ascii="Times New Roman" w:hAnsi="Times New Roman"/>
                <w:b w:val="0"/>
                <w:i w:val="0"/>
                <w:sz w:val="18"/>
              </w:rPr>
              <w:t xml:space="preserve">llama3.1:8b</w:t>
            </w:r>
            <w:r/>
          </w:p>
        </w:tc>
        <w:tc>
          <w:tcPr>
            <w:tcBorders/>
            <w:tcW w:w="1928" w:type="dxa"/>
          </w:tcPr>
          <w:p>
            <w:pPr>
              <w:pBdr/>
              <w:spacing/>
              <w:ind/>
              <w:jc w:val="center"/>
              <w:rPr/>
            </w:pPr>
            <w:r>
              <w:rPr>
                <w:rFonts w:ascii="Times New Roman" w:hAnsi="Times New Roman"/>
                <w:b w:val="0"/>
                <w:i w:val="0"/>
                <w:sz w:val="18"/>
              </w:rPr>
              <w:t xml:space="preserve">Meta</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8B</w:t>
            </w:r>
            <w:r/>
          </w:p>
        </w:tc>
        <w:tc>
          <w:tcPr>
            <w:tcBorders/>
            <w:tcW w:w="1928" w:type="dxa"/>
          </w:tcPr>
          <w:p>
            <w:pPr>
              <w:pBdr/>
              <w:spacing/>
              <w:ind/>
              <w:jc w:val="center"/>
              <w:rPr/>
            </w:pPr>
            <w:r>
              <w:rPr>
                <w:rFonts w:ascii="Times New Roman" w:hAnsi="Times New Roman"/>
                <w:b w:val="0"/>
                <w:i w:val="0"/>
                <w:sz w:val="18"/>
              </w:rPr>
              <w:t xml:space="preserve">4.9 GB</w:t>
            </w:r>
            <w:r/>
          </w:p>
        </w:tc>
      </w:tr>
      <w:tr>
        <w:trPr/>
        <w:tc>
          <w:tcPr>
            <w:tcBorders/>
            <w:tcW w:w="1928" w:type="dxa"/>
          </w:tcPr>
          <w:p>
            <w:pPr>
              <w:pBdr/>
              <w:spacing/>
              <w:ind/>
              <w:jc w:val="center"/>
              <w:rPr/>
            </w:pPr>
            <w:r>
              <w:rPr>
                <w:rFonts w:ascii="Times New Roman" w:hAnsi="Times New Roman"/>
                <w:b w:val="0"/>
                <w:i w:val="0"/>
                <w:sz w:val="18"/>
              </w:rPr>
              <w:t xml:space="preserve">phi4:14b</w:t>
            </w:r>
            <w:r/>
          </w:p>
        </w:tc>
        <w:tc>
          <w:tcPr>
            <w:tcBorders/>
            <w:tcW w:w="1928" w:type="dxa"/>
          </w:tcPr>
          <w:p>
            <w:pPr>
              <w:pBdr/>
              <w:spacing/>
              <w:ind/>
              <w:jc w:val="center"/>
              <w:rPr/>
            </w:pPr>
            <w:r>
              <w:rPr>
                <w:rFonts w:ascii="Times New Roman" w:hAnsi="Times New Roman"/>
                <w:b w:val="0"/>
                <w:i w:val="0"/>
                <w:sz w:val="18"/>
              </w:rPr>
              <w:t xml:space="preserve">Microsoft</w:t>
            </w:r>
            <w:r/>
          </w:p>
        </w:tc>
        <w:tc>
          <w:tcPr>
            <w:tcBorders/>
            <w:tcW w:w="1928" w:type="dxa"/>
          </w:tcPr>
          <w:p>
            <w:pPr>
              <w:pBdr/>
              <w:spacing/>
              <w:ind/>
              <w:jc w:val="center"/>
              <w:rPr/>
            </w:pPr>
            <w:r>
              <w:rPr>
                <w:rFonts w:ascii="Times New Roman" w:hAnsi="Times New Roman"/>
                <w:b w:val="0"/>
                <w:i w:val="0"/>
                <w:sz w:val="18"/>
              </w:rPr>
              <w:t xml:space="preserve">Standard</w:t>
            </w:r>
            <w:r/>
          </w:p>
        </w:tc>
        <w:tc>
          <w:tcPr>
            <w:tcBorders/>
            <w:tcW w:w="1928" w:type="dxa"/>
          </w:tcPr>
          <w:p>
            <w:pPr>
              <w:pBdr/>
              <w:spacing/>
              <w:ind/>
              <w:jc w:val="center"/>
              <w:rPr/>
            </w:pPr>
            <w:r>
              <w:rPr>
                <w:rFonts w:ascii="Times New Roman" w:hAnsi="Times New Roman"/>
                <w:b w:val="0"/>
                <w:i w:val="0"/>
                <w:sz w:val="18"/>
              </w:rPr>
              <w:t xml:space="preserve">14B</w:t>
            </w:r>
            <w:r/>
          </w:p>
        </w:tc>
        <w:tc>
          <w:tcPr>
            <w:tcBorders/>
            <w:tcW w:w="1928" w:type="dxa"/>
          </w:tcPr>
          <w:p>
            <w:pPr>
              <w:pBdr/>
              <w:spacing/>
              <w:ind/>
              <w:jc w:val="center"/>
              <w:rPr/>
            </w:pPr>
            <w:r>
              <w:rPr>
                <w:rFonts w:ascii="Times New Roman" w:hAnsi="Times New Roman"/>
                <w:b w:val="0"/>
                <w:i w:val="0"/>
                <w:sz w:val="18"/>
              </w:rPr>
              <w:t xml:space="preserve">9.1 GB</w:t>
            </w:r>
            <w:r/>
          </w:p>
        </w:tc>
      </w:tr>
      <w:tr>
        <w:trPr/>
        <w:tc>
          <w:tcPr>
            <w:tcBorders/>
            <w:tcW w:w="1928" w:type="dxa"/>
          </w:tcPr>
          <w:p>
            <w:pPr>
              <w:pBdr/>
              <w:spacing/>
              <w:ind/>
              <w:jc w:val="center"/>
              <w:rPr/>
            </w:pPr>
            <w:r>
              <w:rPr>
                <w:rFonts w:ascii="Times New Roman" w:hAnsi="Times New Roman"/>
                <w:b w:val="0"/>
                <w:i w:val="0"/>
                <w:sz w:val="18"/>
              </w:rPr>
              <w:t xml:space="preserve">deepseek-r1:8b</w:t>
            </w:r>
            <w:r/>
          </w:p>
        </w:tc>
        <w:tc>
          <w:tcPr>
            <w:tcBorders/>
            <w:tcW w:w="1928" w:type="dxa"/>
          </w:tcPr>
          <w:p>
            <w:pPr>
              <w:pBdr/>
              <w:spacing/>
              <w:ind/>
              <w:jc w:val="center"/>
              <w:rPr/>
            </w:pPr>
            <w:r>
              <w:rPr>
                <w:rFonts w:ascii="Times New Roman" w:hAnsi="Times New Roman"/>
                <w:b w:val="0"/>
                <w:i w:val="0"/>
                <w:sz w:val="18"/>
              </w:rPr>
              <w:t xml:space="preserve">DeepSeek</w:t>
            </w:r>
            <w:r/>
          </w:p>
        </w:tc>
        <w:tc>
          <w:tcPr>
            <w:tcBorders/>
            <w:tcW w:w="1928" w:type="dxa"/>
          </w:tcPr>
          <w:p>
            <w:pPr>
              <w:pBdr/>
              <w:spacing/>
              <w:ind/>
              <w:jc w:val="center"/>
              <w:rPr/>
            </w:pPr>
            <w:r>
              <w:rPr>
                <w:rFonts w:ascii="Times New Roman" w:hAnsi="Times New Roman"/>
                <w:b w:val="0"/>
                <w:i w:val="0"/>
                <w:sz w:val="18"/>
              </w:rPr>
              <w:t xml:space="preserve">Reasoning</w:t>
            </w:r>
            <w:r/>
          </w:p>
        </w:tc>
        <w:tc>
          <w:tcPr>
            <w:tcBorders/>
            <w:tcW w:w="1928" w:type="dxa"/>
          </w:tcPr>
          <w:p>
            <w:pPr>
              <w:pBdr/>
              <w:spacing/>
              <w:ind/>
              <w:jc w:val="center"/>
              <w:rPr/>
            </w:pPr>
            <w:r>
              <w:rPr>
                <w:rFonts w:ascii="Times New Roman" w:hAnsi="Times New Roman"/>
                <w:b w:val="0"/>
                <w:i w:val="0"/>
                <w:sz w:val="18"/>
              </w:rPr>
              <w:t xml:space="preserve">8B</w:t>
            </w:r>
            <w:r/>
          </w:p>
        </w:tc>
        <w:tc>
          <w:tcPr>
            <w:tcBorders/>
            <w:tcW w:w="1928" w:type="dxa"/>
          </w:tcPr>
          <w:p>
            <w:pPr>
              <w:pBdr/>
              <w:spacing/>
              <w:ind/>
              <w:jc w:val="center"/>
              <w:rPr/>
            </w:pPr>
            <w:r>
              <w:rPr>
                <w:rFonts w:ascii="Times New Roman" w:hAnsi="Times New Roman"/>
                <w:b w:val="0"/>
                <w:i w:val="0"/>
                <w:sz w:val="18"/>
              </w:rPr>
              <w:t xml:space="preserve">5.2 GB</w:t>
            </w:r>
            <w:r/>
          </w:p>
        </w:tc>
      </w:tr>
      <w:tr>
        <w:trPr/>
        <w:tc>
          <w:tcPr>
            <w:tcBorders/>
            <w:tcW w:w="1928" w:type="dxa"/>
          </w:tcPr>
          <w:p>
            <w:pPr>
              <w:pBdr/>
              <w:spacing/>
              <w:ind/>
              <w:jc w:val="center"/>
              <w:rPr/>
            </w:pPr>
            <w:r>
              <w:rPr>
                <w:rFonts w:ascii="Times New Roman" w:hAnsi="Times New Roman"/>
                <w:b w:val="0"/>
                <w:i w:val="0"/>
                <w:sz w:val="18"/>
              </w:rPr>
              <w:t xml:space="preserve">deepseek-r1:14b</w:t>
            </w:r>
            <w:r/>
          </w:p>
        </w:tc>
        <w:tc>
          <w:tcPr>
            <w:tcBorders/>
            <w:tcW w:w="1928" w:type="dxa"/>
          </w:tcPr>
          <w:p>
            <w:pPr>
              <w:pBdr/>
              <w:spacing/>
              <w:ind/>
              <w:jc w:val="center"/>
              <w:rPr/>
            </w:pPr>
            <w:r>
              <w:rPr>
                <w:rFonts w:ascii="Times New Roman" w:hAnsi="Times New Roman"/>
                <w:b w:val="0"/>
                <w:i w:val="0"/>
                <w:sz w:val="18"/>
              </w:rPr>
              <w:t xml:space="preserve">DeepSeek</w:t>
            </w:r>
            <w:r/>
          </w:p>
        </w:tc>
        <w:tc>
          <w:tcPr>
            <w:tcBorders/>
            <w:tcW w:w="1928" w:type="dxa"/>
          </w:tcPr>
          <w:p>
            <w:pPr>
              <w:pBdr/>
              <w:spacing/>
              <w:ind/>
              <w:jc w:val="center"/>
              <w:rPr/>
            </w:pPr>
            <w:r>
              <w:rPr>
                <w:rFonts w:ascii="Times New Roman" w:hAnsi="Times New Roman"/>
                <w:b w:val="0"/>
                <w:i w:val="0"/>
                <w:sz w:val="18"/>
              </w:rPr>
              <w:t xml:space="preserve">Reasoning</w:t>
            </w:r>
            <w:r/>
          </w:p>
        </w:tc>
        <w:tc>
          <w:tcPr>
            <w:tcBorders/>
            <w:tcW w:w="1928" w:type="dxa"/>
          </w:tcPr>
          <w:p>
            <w:pPr>
              <w:pBdr/>
              <w:spacing/>
              <w:ind/>
              <w:jc w:val="center"/>
              <w:rPr/>
            </w:pPr>
            <w:r>
              <w:rPr>
                <w:rFonts w:ascii="Times New Roman" w:hAnsi="Times New Roman"/>
                <w:b w:val="0"/>
                <w:i w:val="0"/>
                <w:sz w:val="18"/>
              </w:rPr>
              <w:t xml:space="preserve">14B</w:t>
            </w:r>
            <w:r/>
          </w:p>
        </w:tc>
        <w:tc>
          <w:tcPr>
            <w:tcBorders/>
            <w:tcW w:w="1928" w:type="dxa"/>
          </w:tcPr>
          <w:p>
            <w:pPr>
              <w:pBdr/>
              <w:spacing/>
              <w:ind/>
              <w:jc w:val="center"/>
              <w:rPr/>
            </w:pPr>
            <w:r>
              <w:rPr>
                <w:rFonts w:ascii="Times New Roman" w:hAnsi="Times New Roman"/>
                <w:b w:val="0"/>
                <w:i w:val="0"/>
                <w:sz w:val="18"/>
              </w:rPr>
              <w:t xml:space="preserve">9.0 GB</w:t>
            </w:r>
            <w:r/>
          </w:p>
        </w:tc>
      </w:tr>
      <w:tr>
        <w:trPr/>
        <w:tc>
          <w:tcPr>
            <w:tcBorders/>
            <w:tcW w:w="1928" w:type="dxa"/>
          </w:tcPr>
          <w:p>
            <w:pPr>
              <w:pBdr/>
              <w:spacing/>
              <w:ind/>
              <w:jc w:val="center"/>
              <w:rPr/>
            </w:pPr>
            <w:r>
              <w:rPr>
                <w:rFonts w:ascii="Times New Roman" w:hAnsi="Times New Roman"/>
                <w:b w:val="0"/>
                <w:i w:val="0"/>
                <w:sz w:val="18"/>
              </w:rPr>
              <w:t xml:space="preserve">qwen3:8b</w:t>
            </w:r>
            <w:r/>
          </w:p>
        </w:tc>
        <w:tc>
          <w:tcPr>
            <w:tcBorders/>
            <w:tcW w:w="1928" w:type="dxa"/>
          </w:tcPr>
          <w:p>
            <w:pPr>
              <w:pBdr/>
              <w:spacing/>
              <w:ind/>
              <w:jc w:val="center"/>
              <w:rPr/>
            </w:pPr>
            <w:r>
              <w:rPr>
                <w:rFonts w:ascii="Times New Roman" w:hAnsi="Times New Roman"/>
                <w:b w:val="0"/>
                <w:i w:val="0"/>
                <w:sz w:val="18"/>
              </w:rPr>
              <w:t xml:space="preserve">Alibaba</w:t>
            </w:r>
            <w:r/>
          </w:p>
        </w:tc>
        <w:tc>
          <w:tcPr>
            <w:tcBorders/>
            <w:tcW w:w="1928" w:type="dxa"/>
          </w:tcPr>
          <w:p>
            <w:pPr>
              <w:pBdr/>
              <w:spacing/>
              <w:ind/>
              <w:jc w:val="center"/>
              <w:rPr/>
            </w:pPr>
            <w:r>
              <w:rPr>
                <w:rFonts w:ascii="Times New Roman" w:hAnsi="Times New Roman"/>
                <w:b w:val="0"/>
                <w:i w:val="0"/>
                <w:sz w:val="18"/>
              </w:rPr>
              <w:t xml:space="preserve">Reasoning</w:t>
            </w:r>
            <w:r/>
          </w:p>
        </w:tc>
        <w:tc>
          <w:tcPr>
            <w:tcBorders/>
            <w:tcW w:w="1928" w:type="dxa"/>
          </w:tcPr>
          <w:p>
            <w:pPr>
              <w:pBdr/>
              <w:spacing/>
              <w:ind/>
              <w:jc w:val="center"/>
              <w:rPr/>
            </w:pPr>
            <w:r>
              <w:rPr>
                <w:rFonts w:ascii="Times New Roman" w:hAnsi="Times New Roman"/>
                <w:b w:val="0"/>
                <w:i w:val="0"/>
                <w:sz w:val="18"/>
              </w:rPr>
              <w:t xml:space="preserve">8B</w:t>
            </w:r>
            <w:r/>
          </w:p>
        </w:tc>
        <w:tc>
          <w:tcPr>
            <w:tcBorders/>
            <w:tcW w:w="1928" w:type="dxa"/>
          </w:tcPr>
          <w:p>
            <w:pPr>
              <w:pBdr/>
              <w:spacing/>
              <w:ind/>
              <w:jc w:val="center"/>
              <w:rPr/>
            </w:pPr>
            <w:r>
              <w:rPr>
                <w:rFonts w:ascii="Times New Roman" w:hAnsi="Times New Roman"/>
                <w:b w:val="0"/>
                <w:i w:val="0"/>
                <w:sz w:val="18"/>
              </w:rPr>
              <w:t xml:space="preserve">5.2 GB</w:t>
            </w:r>
            <w:r/>
          </w:p>
        </w:tc>
      </w:tr>
      <w:tr>
        <w:trPr/>
        <w:tc>
          <w:tcPr>
            <w:tcBorders/>
            <w:tcW w:w="1928" w:type="dxa"/>
          </w:tcPr>
          <w:p>
            <w:pPr>
              <w:pBdr/>
              <w:spacing/>
              <w:ind/>
              <w:jc w:val="center"/>
              <w:rPr/>
            </w:pPr>
            <w:r>
              <w:rPr>
                <w:rFonts w:ascii="Times New Roman" w:hAnsi="Times New Roman"/>
                <w:b w:val="0"/>
                <w:i w:val="0"/>
                <w:sz w:val="18"/>
              </w:rPr>
              <w:t xml:space="preserve">qwen3:14b</w:t>
            </w:r>
            <w:r/>
          </w:p>
        </w:tc>
        <w:tc>
          <w:tcPr>
            <w:tcBorders/>
            <w:tcW w:w="1928" w:type="dxa"/>
          </w:tcPr>
          <w:p>
            <w:pPr>
              <w:pBdr/>
              <w:spacing/>
              <w:ind/>
              <w:jc w:val="center"/>
              <w:rPr/>
            </w:pPr>
            <w:r>
              <w:rPr>
                <w:rFonts w:ascii="Times New Roman" w:hAnsi="Times New Roman"/>
                <w:b w:val="0"/>
                <w:i w:val="0"/>
                <w:sz w:val="18"/>
              </w:rPr>
              <w:t xml:space="preserve">Alibaba</w:t>
            </w:r>
            <w:r/>
          </w:p>
        </w:tc>
        <w:tc>
          <w:tcPr>
            <w:tcBorders/>
            <w:tcW w:w="1928" w:type="dxa"/>
          </w:tcPr>
          <w:p>
            <w:pPr>
              <w:pBdr/>
              <w:spacing/>
              <w:ind/>
              <w:jc w:val="center"/>
              <w:rPr/>
            </w:pPr>
            <w:r>
              <w:rPr>
                <w:rFonts w:ascii="Times New Roman" w:hAnsi="Times New Roman"/>
                <w:b w:val="0"/>
                <w:i w:val="0"/>
                <w:sz w:val="18"/>
              </w:rPr>
              <w:t xml:space="preserve">Reasoning</w:t>
            </w:r>
            <w:r/>
          </w:p>
        </w:tc>
        <w:tc>
          <w:tcPr>
            <w:tcBorders/>
            <w:tcW w:w="1928" w:type="dxa"/>
          </w:tcPr>
          <w:p>
            <w:pPr>
              <w:pBdr/>
              <w:spacing/>
              <w:ind/>
              <w:jc w:val="center"/>
              <w:rPr/>
            </w:pPr>
            <w:r>
              <w:rPr>
                <w:rFonts w:ascii="Times New Roman" w:hAnsi="Times New Roman"/>
                <w:b w:val="0"/>
                <w:i w:val="0"/>
                <w:sz w:val="18"/>
              </w:rPr>
              <w:t xml:space="preserve">14B</w:t>
            </w:r>
            <w:r/>
          </w:p>
        </w:tc>
        <w:tc>
          <w:tcPr>
            <w:tcBorders/>
            <w:tcW w:w="1928" w:type="dxa"/>
          </w:tcPr>
          <w:p>
            <w:pPr>
              <w:pBdr/>
              <w:spacing/>
              <w:ind/>
              <w:jc w:val="center"/>
              <w:rPr/>
            </w:pPr>
            <w:r>
              <w:rPr>
                <w:rFonts w:ascii="Times New Roman" w:hAnsi="Times New Roman"/>
                <w:b w:val="0"/>
                <w:i w:val="0"/>
                <w:sz w:val="18"/>
              </w:rPr>
              <w:t xml:space="preserve">9.3 GB</w:t>
            </w:r>
            <w:r/>
          </w:p>
        </w:tc>
      </w:tr>
      <w:tr>
        <w:trPr/>
        <w:tc>
          <w:tcPr>
            <w:tcBorders/>
            <w:tcW w:w="1928" w:type="dxa"/>
          </w:tcPr>
          <w:p>
            <w:pPr>
              <w:pBdr/>
              <w:spacing/>
              <w:ind/>
              <w:jc w:val="center"/>
              <w:rPr/>
            </w:pPr>
            <w:r>
              <w:rPr>
                <w:rFonts w:ascii="Times New Roman" w:hAnsi="Times New Roman"/>
                <w:b w:val="0"/>
                <w:i w:val="0"/>
                <w:sz w:val="18"/>
              </w:rPr>
              <w:t xml:space="preserve">gpt-oss:20b</w:t>
            </w:r>
            <w:r/>
          </w:p>
        </w:tc>
        <w:tc>
          <w:tcPr>
            <w:tcBorders/>
            <w:tcW w:w="1928" w:type="dxa"/>
          </w:tcPr>
          <w:p>
            <w:pPr>
              <w:pBdr/>
              <w:spacing/>
              <w:ind/>
              <w:jc w:val="center"/>
              <w:rPr/>
            </w:pPr>
            <w:r>
              <w:rPr>
                <w:rFonts w:ascii="Times New Roman" w:hAnsi="Times New Roman"/>
                <w:b w:val="0"/>
                <w:i w:val="0"/>
                <w:sz w:val="18"/>
              </w:rPr>
              <w:t xml:space="preserve">OpenAI</w:t>
            </w:r>
            <w:r/>
          </w:p>
        </w:tc>
        <w:tc>
          <w:tcPr>
            <w:tcBorders/>
            <w:tcW w:w="1928" w:type="dxa"/>
          </w:tcPr>
          <w:p>
            <w:pPr>
              <w:pBdr/>
              <w:spacing/>
              <w:ind/>
              <w:jc w:val="center"/>
              <w:rPr/>
            </w:pPr>
            <w:r>
              <w:rPr>
                <w:rFonts w:ascii="Times New Roman" w:hAnsi="Times New Roman"/>
                <w:b w:val="0"/>
                <w:i w:val="0"/>
                <w:sz w:val="18"/>
              </w:rPr>
              <w:t xml:space="preserve">Reasoning</w:t>
            </w:r>
            <w:r/>
          </w:p>
        </w:tc>
        <w:tc>
          <w:tcPr>
            <w:tcBorders/>
            <w:tcW w:w="1928" w:type="dxa"/>
          </w:tcPr>
          <w:p>
            <w:pPr>
              <w:pBdr/>
              <w:spacing/>
              <w:ind/>
              <w:jc w:val="center"/>
              <w:rPr/>
            </w:pPr>
            <w:r>
              <w:rPr>
                <w:rFonts w:ascii="Times New Roman" w:hAnsi="Times New Roman"/>
                <w:b w:val="0"/>
                <w:i w:val="0"/>
                <w:sz w:val="18"/>
              </w:rPr>
              <w:t xml:space="preserve">20B</w:t>
            </w:r>
            <w:r/>
          </w:p>
        </w:tc>
        <w:tc>
          <w:tcPr>
            <w:tcBorders/>
            <w:tcW w:w="1928" w:type="dxa"/>
          </w:tcPr>
          <w:p>
            <w:pPr>
              <w:pBdr/>
              <w:spacing/>
              <w:ind/>
              <w:jc w:val="center"/>
              <w:rPr/>
            </w:pPr>
            <w:r>
              <w:rPr>
                <w:rFonts w:ascii="Times New Roman" w:hAnsi="Times New Roman"/>
                <w:b w:val="0"/>
                <w:i w:val="0"/>
                <w:sz w:val="18"/>
              </w:rPr>
              <w:t xml:space="preserve">13.0 GB</w:t>
            </w:r>
            <w:r/>
          </w:p>
        </w:tc>
      </w:tr>
    </w:tbl>
    <w:p>
      <w:pPr>
        <w:pBdr/>
        <w:spacing w:after="100" w:before="100"/>
        <w:ind/>
        <w:jc w:val="left"/>
        <w:rPr/>
      </w:pPr>
      <w:r>
        <w:rPr>
          <w:rFonts w:ascii="Times New Roman" w:hAnsi="Times New Roman"/>
          <w:b w:val="0"/>
          <w:i/>
          <w:sz w:val="20"/>
        </w:rPr>
        <w:t xml:space="preserve">4.3. Prompt Design</w:t>
      </w:r>
      <w:r/>
    </w:p>
    <w:p>
      <w:pPr>
        <w:pBdr/>
        <w:spacing w:after="100" w:before="100"/>
        <w:ind w:firstLine="283"/>
        <w:jc w:val="both"/>
        <w:rPr/>
      </w:pPr>
      <w:r>
        <w:rPr>
          <w:rFonts w:ascii="Times New Roman" w:hAnsi="Times New Roman"/>
          <w:b w:val="0"/>
          <w:i w:val="0"/>
          <w:sz w:val="20"/>
        </w:rPr>
        <w:t xml:space="preserve">A single, model-agnostic prompt is used for all models and all experiments. The prompt follows the five-label JSON-output template used by R</w:t>
      </w:r>
      <w:r>
        <w:rPr>
          <w:rFonts w:ascii="Times New Roman" w:hAnsi="Times New Roman"/>
          <w:b w:val="0"/>
          <w:i w:val="0"/>
          <w:sz w:val="20"/>
        </w:rPr>
        <w:t xml:space="preserve">oumeliotis et al. [13] to ensure comparability: "You are an AI assistant specializing in consumer complaint classification. Your task is to analyze a consumer complaint and classify it into the most appropriate category from the predefined list: [retail_ba</w:t>
      </w:r>
      <w:r>
        <w:rPr>
          <w:rFonts w:ascii="Times New Roman" w:hAnsi="Times New Roman"/>
          <w:b w:val="0"/>
          <w:i w:val="0"/>
          <w:sz w:val="20"/>
        </w:rPr>
        <w:t xml:space="preserve">nking, credit_reporting, credit_card, mortgages_and_loans, debt_collection]. Provide your final classification in the following JSON format without explanations: {\"product\": \"chosen_category_name\"}. Complaint: [NARRATIVE]". The temperature parameter is</w:t>
      </w:r>
      <w:r>
        <w:rPr>
          <w:rFonts w:ascii="Times New Roman" w:hAnsi="Times New Roman"/>
          <w:b w:val="0"/>
          <w:i w:val="0"/>
          <w:sz w:val="20"/>
        </w:rPr>
        <w:t xml:space="preserve"> set to 0 for all models. The inference script extracts the final JSON object from the response by searching for the last valid {"product": "..."} occurrence using a regular expression, accounting for models that prepend reasoning traces before the answer.</w:t>
      </w:r>
      <w:r/>
    </w:p>
    <w:p>
      <w:pPr>
        <w:pBdr/>
        <w:spacing w:after="100" w:before="100"/>
        <w:ind/>
        <w:jc w:val="left"/>
        <w:rPr/>
      </w:pPr>
      <w:r>
        <w:rPr>
          <w:rFonts w:ascii="Times New Roman" w:hAnsi="Times New Roman"/>
          <w:b w:val="0"/>
          <w:i/>
          <w:sz w:val="20"/>
        </w:rPr>
        <w:t xml:space="preserve">4.4. Evaluation Metrics</w:t>
      </w:r>
      <w:r/>
    </w:p>
    <w:p>
      <w:pPr>
        <w:pBdr/>
        <w:spacing w:after="100" w:before="100"/>
        <w:ind w:firstLine="283"/>
        <w:jc w:val="both"/>
        <w:rPr/>
      </w:pPr>
      <w:r>
        <w:rPr>
          <w:rFonts w:ascii="Times New Roman" w:hAnsi="Times New Roman"/>
          <w:b w:val="0"/>
          <w:i w:val="0"/>
          <w:sz w:val="20"/>
        </w:rPr>
        <w:t xml:space="preserve">F</w:t>
      </w:r>
      <w:r>
        <w:rPr>
          <w:rFonts w:ascii="Times New Roman" w:hAnsi="Times New Roman"/>
          <w:b w:val="0"/>
          <w:i w:val="0"/>
          <w:sz w:val="20"/>
        </w:rPr>
        <w:t xml:space="preserve">ollowing the closest antecedent benchmark [13], we compute exact-match accuracy, weighted precision, weighted recall, weighted F1-score, and macro-F1 over all N=1,000 predictions per run. We additionally record mean latency (seconds per prediction, wall-cl</w:t>
      </w:r>
      <w:r>
        <w:rPr>
          <w:rFonts w:ascii="Times New Roman" w:hAnsi="Times New Roman"/>
          <w:b w:val="0"/>
          <w:i w:val="0"/>
          <w:sz w:val="20"/>
        </w:rPr>
        <w:t xml:space="preserve">ock time) and the number of off-label predictions - responses where the model returned a category name not in the prescribed five, or failed to return valid JSON entirely. Off-label predictions are counted as errors. The API cost for all experiments is $0.</w:t>
      </w:r>
      <w:r/>
    </w:p>
    <w:p>
      <w:pPr>
        <w:pBdr/>
        <w:spacing/>
        <w:ind/>
        <w:rPr/>
      </w:pPr>
      <w:r/>
      <w:r/>
    </w:p>
    <w:p>
      <w:pPr>
        <w:pBdr/>
        <w:spacing w:after="100" w:before="100"/>
        <w:ind/>
        <w:jc w:val="left"/>
        <w:rPr/>
      </w:pPr>
      <w:r>
        <w:rPr>
          <w:rFonts w:ascii="Times New Roman" w:hAnsi="Times New Roman"/>
          <w:b/>
          <w:i w:val="0"/>
          <w:sz w:val="20"/>
        </w:rPr>
        <w:t xml:space="preserve">5. RESULTS</w:t>
      </w:r>
      <w:r/>
    </w:p>
    <w:p>
      <w:pPr>
        <w:pBdr/>
        <w:spacing w:after="100" w:before="100"/>
        <w:ind/>
        <w:jc w:val="left"/>
        <w:rPr/>
      </w:pPr>
      <w:r>
        <w:rPr>
          <w:rFonts w:ascii="Times New Roman" w:hAnsi="Times New Roman"/>
          <w:b w:val="0"/>
          <w:i/>
          <w:sz w:val="20"/>
        </w:rPr>
        <w:t xml:space="preserve">5.1. Experiment A: Balanced Evaluation</w:t>
      </w:r>
      <w:r/>
    </w:p>
    <w:p>
      <w:pPr>
        <w:pBdr/>
        <w:spacing w:after="100" w:before="100"/>
        <w:ind w:firstLine="283"/>
        <w:jc w:val="both"/>
        <w:rPr/>
      </w:pPr>
      <w:r>
        <w:rPr>
          <w:rFonts w:ascii="Times New Roman" w:hAnsi="Times New Roman"/>
          <w:b w:val="0"/>
          <w:i w:val="0"/>
          <w:sz w:val="20"/>
        </w:rPr>
        <w:t xml:space="preserve">Table 2 presents the full results for Experiment A, reported as means over three independent seeds. The gemma4:12b standard model achieves the highest accuracy (0.774 +/- 0.017) and weighted F1 (0.774 +/- 0.016), surpassing all reasoning models incl</w:t>
      </w:r>
      <w:r>
        <w:rPr>
          <w:rFonts w:ascii="Times New Roman" w:hAnsi="Times New Roman"/>
          <w:b w:val="0"/>
          <w:i w:val="0"/>
          <w:sz w:val="20"/>
        </w:rPr>
        <w:t xml:space="preserve">uding the larger gpt-oss:20b (F1 0.749 +/- 0.019). This is the most striking finding: a 12B non-reasoning model outperforms a 20B reasoning model. Second place goes to qwen3:14b (F1 0.750 +/- 0.011), followed by gpt-oss:20b in third. The weakest model is m</w:t>
      </w:r>
      <w:r>
        <w:rPr>
          <w:rFonts w:ascii="Times New Roman" w:hAnsi="Times New Roman"/>
          <w:b w:val="0"/>
          <w:i w:val="0"/>
          <w:sz w:val="20"/>
        </w:rPr>
        <w:t xml:space="preserve">istral-nemo:12b (F1 0.540 +/- 0.025, rank 11), which despite being a 12B model scores below both mistral:7b (F1 0.587) and llama3.1:8b (F1 0.587). The low standard deviations across most models confirm that the ranking is stable across independent samples.</w:t>
      </w:r>
      <w:r/>
    </w:p>
    <w:p>
      <w:pPr>
        <w:pBdr/>
        <w:spacing w:after="40" w:before="100"/>
        <w:ind/>
        <w:jc w:val="center"/>
        <w:rPr/>
      </w:pPr>
      <w:r>
        <w:rPr>
          <w:rFonts w:ascii="Times New Roman" w:hAnsi="Times New Roman"/>
          <w:b w:val="0"/>
          <w:i w:val="0"/>
          <w:sz w:val="20"/>
        </w:rPr>
        <w:t xml:space="preserve">Table 2. Experiment A Results - Balanced (N=1,000, mean of 3 seeds; std in parentheses)</w:t>
      </w:r>
      <w:r/>
    </w:p>
    <w:tbl>
      <w:tblPr>
        <w:tblStyle w:val="934"/>
        <w:jc w:val="center"/>
        <w:tblW w:w="0" w:type="auto"/>
        <w:tblBorders/>
        <w:tblLook w:val="04A0" w:firstRow="1" w:lastRow="0" w:firstColumn="1" w:lastColumn="0" w:noHBand="0" w:noVBand="1"/>
      </w:tblPr>
      <w:tblGrid>
        <w:gridCol w:w="1377"/>
        <w:gridCol w:w="1377"/>
        <w:gridCol w:w="1377"/>
        <w:gridCol w:w="1377"/>
        <w:gridCol w:w="1377"/>
        <w:gridCol w:w="1377"/>
        <w:gridCol w:w="1377"/>
      </w:tblGrid>
      <w:tr>
        <w:trPr/>
        <w:tc>
          <w:tcPr>
            <w:tcBorders/>
            <w:tcW w:w="1377" w:type="dxa"/>
          </w:tcPr>
          <w:p>
            <w:pPr>
              <w:pBdr/>
              <w:spacing/>
              <w:ind/>
              <w:jc w:val="center"/>
              <w:rPr/>
            </w:pPr>
            <w:r>
              <w:rPr>
                <w:rFonts w:ascii="Times New Roman" w:hAnsi="Times New Roman"/>
                <w:b/>
                <w:i w:val="0"/>
                <w:sz w:val="16"/>
              </w:rPr>
              <w:t xml:space="preserve">Model</w:t>
            </w:r>
            <w:r/>
          </w:p>
        </w:tc>
        <w:tc>
          <w:tcPr>
            <w:tcBorders/>
            <w:tcW w:w="1377" w:type="dxa"/>
          </w:tcPr>
          <w:p>
            <w:pPr>
              <w:pBdr/>
              <w:spacing/>
              <w:ind/>
              <w:jc w:val="center"/>
              <w:rPr/>
            </w:pPr>
            <w:r>
              <w:rPr>
                <w:rFonts w:ascii="Times New Roman" w:hAnsi="Times New Roman"/>
                <w:b/>
                <w:i w:val="0"/>
                <w:sz w:val="16"/>
              </w:rPr>
              <w:t xml:space="preserve">Type</w:t>
            </w:r>
            <w:r/>
          </w:p>
        </w:tc>
        <w:tc>
          <w:tcPr>
            <w:tcBorders/>
            <w:tcW w:w="1377" w:type="dxa"/>
          </w:tcPr>
          <w:p>
            <w:pPr>
              <w:pBdr/>
              <w:spacing/>
              <w:ind/>
              <w:jc w:val="center"/>
              <w:rPr/>
            </w:pPr>
            <w:r>
              <w:rPr>
                <w:rFonts w:ascii="Times New Roman" w:hAnsi="Times New Roman"/>
                <w:b/>
                <w:i w:val="0"/>
                <w:sz w:val="16"/>
              </w:rPr>
              <w:t xml:space="preserve">Accuracy</w:t>
            </w:r>
            <w:r/>
          </w:p>
        </w:tc>
        <w:tc>
          <w:tcPr>
            <w:tcBorders/>
            <w:tcW w:w="1377" w:type="dxa"/>
          </w:tcPr>
          <w:p>
            <w:pPr>
              <w:pBdr/>
              <w:spacing/>
              <w:ind/>
              <w:jc w:val="center"/>
              <w:rPr/>
            </w:pPr>
            <w:r>
              <w:rPr>
                <w:rFonts w:ascii="Times New Roman" w:hAnsi="Times New Roman"/>
                <w:b/>
                <w:i w:val="0"/>
                <w:sz w:val="16"/>
              </w:rPr>
              <w:t xml:space="preserve">F1w</w:t>
            </w:r>
            <w:r/>
          </w:p>
        </w:tc>
        <w:tc>
          <w:tcPr>
            <w:tcBorders/>
            <w:tcW w:w="1377" w:type="dxa"/>
          </w:tcPr>
          <w:p>
            <w:pPr>
              <w:pBdr/>
              <w:spacing/>
              <w:ind/>
              <w:jc w:val="center"/>
              <w:rPr/>
            </w:pPr>
            <w:r>
              <w:rPr>
                <w:rFonts w:ascii="Times New Roman" w:hAnsi="Times New Roman"/>
                <w:b/>
                <w:i w:val="0"/>
                <w:sz w:val="16"/>
              </w:rPr>
              <w:t xml:space="preserve">F1m</w:t>
            </w:r>
            <w:r/>
          </w:p>
        </w:tc>
        <w:tc>
          <w:tcPr>
            <w:tcBorders/>
            <w:tcW w:w="1377" w:type="dxa"/>
          </w:tcPr>
          <w:p>
            <w:pPr>
              <w:pBdr/>
              <w:spacing/>
              <w:ind/>
              <w:jc w:val="center"/>
              <w:rPr/>
            </w:pPr>
            <w:r>
              <w:rPr>
                <w:rFonts w:ascii="Times New Roman" w:hAnsi="Times New Roman"/>
                <w:b/>
                <w:i w:val="0"/>
                <w:sz w:val="16"/>
              </w:rPr>
              <w:t xml:space="preserve">Latency (s)</w:t>
            </w:r>
            <w:r/>
          </w:p>
        </w:tc>
        <w:tc>
          <w:tcPr>
            <w:tcBorders/>
            <w:tcW w:w="1377" w:type="dxa"/>
          </w:tcPr>
          <w:p>
            <w:pPr>
              <w:pBdr/>
              <w:spacing/>
              <w:ind/>
              <w:jc w:val="center"/>
              <w:rPr/>
            </w:pPr>
            <w:r>
              <w:rPr>
                <w:rFonts w:ascii="Times New Roman" w:hAnsi="Times New Roman"/>
                <w:b/>
                <w:i w:val="0"/>
                <w:sz w:val="16"/>
              </w:rPr>
              <w:t xml:space="preserve">Off-label</w:t>
            </w:r>
            <w:r/>
          </w:p>
        </w:tc>
      </w:tr>
      <w:tr>
        <w:trPr/>
        <w:tc>
          <w:tcPr>
            <w:tcBorders/>
            <w:tcW w:w="1377" w:type="dxa"/>
          </w:tcPr>
          <w:p>
            <w:pPr>
              <w:pBdr/>
              <w:spacing/>
              <w:ind/>
              <w:jc w:val="center"/>
              <w:rPr/>
            </w:pPr>
            <w:r>
              <w:rPr>
                <w:rFonts w:ascii="Times New Roman" w:hAnsi="Times New Roman"/>
                <w:b w:val="0"/>
                <w:i w:val="0"/>
                <w:sz w:val="16"/>
              </w:rPr>
              <w:t xml:space="preserve">gemma4:12b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0.774 (±.017)</w:t>
            </w:r>
            <w:r/>
          </w:p>
        </w:tc>
        <w:tc>
          <w:tcPr>
            <w:tcBorders/>
            <w:tcW w:w="1377" w:type="dxa"/>
          </w:tcPr>
          <w:p>
            <w:pPr>
              <w:pBdr/>
              <w:spacing/>
              <w:ind/>
              <w:jc w:val="center"/>
              <w:rPr/>
            </w:pPr>
            <w:r>
              <w:rPr>
                <w:rFonts w:ascii="Times New Roman" w:hAnsi="Times New Roman"/>
                <w:b w:val="0"/>
                <w:i w:val="0"/>
                <w:sz w:val="16"/>
              </w:rPr>
              <w:t xml:space="preserve">0.774 (±.016)</w:t>
            </w:r>
            <w:r/>
          </w:p>
        </w:tc>
        <w:tc>
          <w:tcPr>
            <w:tcBorders/>
            <w:tcW w:w="1377" w:type="dxa"/>
          </w:tcPr>
          <w:p>
            <w:pPr>
              <w:pBdr/>
              <w:spacing/>
              <w:ind/>
              <w:jc w:val="center"/>
              <w:rPr/>
            </w:pPr>
            <w:r>
              <w:rPr>
                <w:rFonts w:ascii="Times New Roman" w:hAnsi="Times New Roman"/>
                <w:b w:val="0"/>
                <w:i w:val="0"/>
                <w:sz w:val="16"/>
              </w:rPr>
              <w:t xml:space="preserve">0.774</w:t>
            </w:r>
            <w:r/>
          </w:p>
        </w:tc>
        <w:tc>
          <w:tcPr>
            <w:tcBorders/>
            <w:tcW w:w="1377" w:type="dxa"/>
          </w:tcPr>
          <w:p>
            <w:pPr>
              <w:pBdr/>
              <w:spacing/>
              <w:ind/>
              <w:jc w:val="center"/>
              <w:rPr/>
            </w:pPr>
            <w:r>
              <w:rPr>
                <w:rFonts w:ascii="Times New Roman" w:hAnsi="Times New Roman"/>
                <w:b w:val="0"/>
                <w:i w:val="0"/>
                <w:sz w:val="16"/>
              </w:rPr>
              <w:t xml:space="preserve">17.11</w:t>
            </w:r>
            <w:r/>
          </w:p>
        </w:tc>
        <w:tc>
          <w:tcPr>
            <w:tcBorders/>
            <w:tcW w:w="1377" w:type="dxa"/>
          </w:tcPr>
          <w:p>
            <w:pPr>
              <w:pBdr/>
              <w:spacing/>
              <w:ind/>
              <w:jc w:val="center"/>
              <w:rPr/>
            </w:pPr>
            <w:r>
              <w:rPr>
                <w:rFonts w:ascii="Times New Roman" w:hAnsi="Times New Roman"/>
                <w:b w:val="0"/>
                <w:i w:val="0"/>
                <w:sz w:val="16"/>
              </w:rPr>
              <w:t xml:space="preserve">3.7</w:t>
            </w:r>
            <w:r/>
          </w:p>
        </w:tc>
      </w:tr>
      <w:tr>
        <w:trPr/>
        <w:tc>
          <w:tcPr>
            <w:tcBorders/>
            <w:tcW w:w="1377" w:type="dxa"/>
          </w:tcPr>
          <w:p>
            <w:pPr>
              <w:pBdr/>
              <w:spacing/>
              <w:ind/>
              <w:jc w:val="center"/>
              <w:rPr/>
            </w:pPr>
            <w:r>
              <w:rPr>
                <w:rFonts w:ascii="Times New Roman" w:hAnsi="Times New Roman"/>
                <w:b w:val="0"/>
                <w:i w:val="0"/>
                <w:sz w:val="16"/>
              </w:rPr>
              <w:t xml:space="preserve">qwen3:14b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0.751 (±.011)</w:t>
            </w:r>
            <w:r/>
          </w:p>
        </w:tc>
        <w:tc>
          <w:tcPr>
            <w:tcBorders/>
            <w:tcW w:w="1377" w:type="dxa"/>
          </w:tcPr>
          <w:p>
            <w:pPr>
              <w:pBdr/>
              <w:spacing/>
              <w:ind/>
              <w:jc w:val="center"/>
              <w:rPr/>
            </w:pPr>
            <w:r>
              <w:rPr>
                <w:rFonts w:ascii="Times New Roman" w:hAnsi="Times New Roman"/>
                <w:b w:val="0"/>
                <w:i w:val="0"/>
                <w:sz w:val="16"/>
              </w:rPr>
              <w:t xml:space="preserve">0.750 (±.011)</w:t>
            </w:r>
            <w:r/>
          </w:p>
        </w:tc>
        <w:tc>
          <w:tcPr>
            <w:tcBorders/>
            <w:tcW w:w="1377" w:type="dxa"/>
          </w:tcPr>
          <w:p>
            <w:pPr>
              <w:pBdr/>
              <w:spacing/>
              <w:ind/>
              <w:jc w:val="center"/>
              <w:rPr/>
            </w:pPr>
            <w:r>
              <w:rPr>
                <w:rFonts w:ascii="Times New Roman" w:hAnsi="Times New Roman"/>
                <w:b w:val="0"/>
                <w:i w:val="0"/>
                <w:sz w:val="16"/>
              </w:rPr>
              <w:t xml:space="preserve">0.750</w:t>
            </w:r>
            <w:r/>
          </w:p>
        </w:tc>
        <w:tc>
          <w:tcPr>
            <w:tcBorders/>
            <w:tcW w:w="1377" w:type="dxa"/>
          </w:tcPr>
          <w:p>
            <w:pPr>
              <w:pBdr/>
              <w:spacing/>
              <w:ind/>
              <w:jc w:val="center"/>
              <w:rPr/>
            </w:pPr>
            <w:r>
              <w:rPr>
                <w:rFonts w:ascii="Times New Roman" w:hAnsi="Times New Roman"/>
                <w:b w:val="0"/>
                <w:i w:val="0"/>
                <w:sz w:val="16"/>
              </w:rPr>
              <w:t xml:space="preserve">5.73</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gpt-oss:20b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0.748 (±.020)</w:t>
            </w:r>
            <w:r/>
          </w:p>
        </w:tc>
        <w:tc>
          <w:tcPr>
            <w:tcBorders/>
            <w:tcW w:w="1377" w:type="dxa"/>
          </w:tcPr>
          <w:p>
            <w:pPr>
              <w:pBdr/>
              <w:spacing/>
              <w:ind/>
              <w:jc w:val="center"/>
              <w:rPr/>
            </w:pPr>
            <w:r>
              <w:rPr>
                <w:rFonts w:ascii="Times New Roman" w:hAnsi="Times New Roman"/>
                <w:b w:val="0"/>
                <w:i w:val="0"/>
                <w:sz w:val="16"/>
              </w:rPr>
              <w:t xml:space="preserve">0.749 (±.019)</w:t>
            </w:r>
            <w:r/>
          </w:p>
        </w:tc>
        <w:tc>
          <w:tcPr>
            <w:tcBorders/>
            <w:tcW w:w="1377" w:type="dxa"/>
          </w:tcPr>
          <w:p>
            <w:pPr>
              <w:pBdr/>
              <w:spacing/>
              <w:ind/>
              <w:jc w:val="center"/>
              <w:rPr/>
            </w:pPr>
            <w:r>
              <w:rPr>
                <w:rFonts w:ascii="Times New Roman" w:hAnsi="Times New Roman"/>
                <w:b w:val="0"/>
                <w:i w:val="0"/>
                <w:sz w:val="16"/>
              </w:rPr>
              <w:t xml:space="preserve">0.749</w:t>
            </w:r>
            <w:r/>
          </w:p>
        </w:tc>
        <w:tc>
          <w:tcPr>
            <w:tcBorders/>
            <w:tcW w:w="1377" w:type="dxa"/>
          </w:tcPr>
          <w:p>
            <w:pPr>
              <w:pBdr/>
              <w:spacing/>
              <w:ind/>
              <w:jc w:val="center"/>
              <w:rPr/>
            </w:pPr>
            <w:r>
              <w:rPr>
                <w:rFonts w:ascii="Times New Roman" w:hAnsi="Times New Roman"/>
                <w:b w:val="0"/>
                <w:i w:val="0"/>
                <w:sz w:val="16"/>
              </w:rPr>
              <w:t xml:space="preserve">4.13</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deepseek-r1:14b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0.724 (±.006)</w:t>
            </w:r>
            <w:r/>
          </w:p>
        </w:tc>
        <w:tc>
          <w:tcPr>
            <w:tcBorders/>
            <w:tcW w:w="1377" w:type="dxa"/>
          </w:tcPr>
          <w:p>
            <w:pPr>
              <w:pBdr/>
              <w:spacing/>
              <w:ind/>
              <w:jc w:val="center"/>
              <w:rPr/>
            </w:pPr>
            <w:r>
              <w:rPr>
                <w:rFonts w:ascii="Times New Roman" w:hAnsi="Times New Roman"/>
                <w:b w:val="0"/>
                <w:i w:val="0"/>
                <w:sz w:val="16"/>
              </w:rPr>
              <w:t xml:space="preserve">0.724 (±.007)</w:t>
            </w:r>
            <w:r/>
          </w:p>
        </w:tc>
        <w:tc>
          <w:tcPr>
            <w:tcBorders/>
            <w:tcW w:w="1377" w:type="dxa"/>
          </w:tcPr>
          <w:p>
            <w:pPr>
              <w:pBdr/>
              <w:spacing/>
              <w:ind/>
              <w:jc w:val="center"/>
              <w:rPr/>
            </w:pPr>
            <w:r>
              <w:rPr>
                <w:rFonts w:ascii="Times New Roman" w:hAnsi="Times New Roman"/>
                <w:b w:val="0"/>
                <w:i w:val="0"/>
                <w:sz w:val="16"/>
              </w:rPr>
              <w:t xml:space="preserve">0.724</w:t>
            </w:r>
            <w:r/>
          </w:p>
        </w:tc>
        <w:tc>
          <w:tcPr>
            <w:tcBorders/>
            <w:tcW w:w="1377" w:type="dxa"/>
          </w:tcPr>
          <w:p>
            <w:pPr>
              <w:pBdr/>
              <w:spacing/>
              <w:ind/>
              <w:jc w:val="center"/>
              <w:rPr/>
            </w:pPr>
            <w:r>
              <w:rPr>
                <w:rFonts w:ascii="Times New Roman" w:hAnsi="Times New Roman"/>
                <w:b w:val="0"/>
                <w:i w:val="0"/>
                <w:sz w:val="16"/>
              </w:rPr>
              <w:t xml:space="preserve">9.33</w:t>
            </w:r>
            <w:r/>
          </w:p>
        </w:tc>
        <w:tc>
          <w:tcPr>
            <w:tcBorders/>
            <w:tcW w:w="1377" w:type="dxa"/>
          </w:tcPr>
          <w:p>
            <w:pPr>
              <w:pBdr/>
              <w:spacing/>
              <w:ind/>
              <w:jc w:val="center"/>
              <w:rPr/>
            </w:pPr>
            <w:r>
              <w:rPr>
                <w:rFonts w:ascii="Times New Roman" w:hAnsi="Times New Roman"/>
                <w:b w:val="0"/>
                <w:i w:val="0"/>
                <w:sz w:val="16"/>
              </w:rPr>
              <w:t xml:space="preserve">1.3</w:t>
            </w:r>
            <w:r/>
          </w:p>
        </w:tc>
      </w:tr>
      <w:tr>
        <w:trPr/>
        <w:tc>
          <w:tcPr>
            <w:tcBorders/>
            <w:tcW w:w="1377" w:type="dxa"/>
          </w:tcPr>
          <w:p>
            <w:pPr>
              <w:pBdr/>
              <w:spacing/>
              <w:ind/>
              <w:jc w:val="center"/>
              <w:rPr/>
            </w:pPr>
            <w:r>
              <w:rPr>
                <w:rFonts w:ascii="Times New Roman" w:hAnsi="Times New Roman"/>
                <w:b w:val="0"/>
                <w:i w:val="0"/>
                <w:sz w:val="16"/>
              </w:rPr>
              <w:t xml:space="preserve">qwen3:8b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0.717 (±.003)</w:t>
            </w:r>
            <w:r/>
          </w:p>
        </w:tc>
        <w:tc>
          <w:tcPr>
            <w:tcBorders/>
            <w:tcW w:w="1377" w:type="dxa"/>
          </w:tcPr>
          <w:p>
            <w:pPr>
              <w:pBdr/>
              <w:spacing/>
              <w:ind/>
              <w:jc w:val="center"/>
              <w:rPr/>
            </w:pPr>
            <w:r>
              <w:rPr>
                <w:rFonts w:ascii="Times New Roman" w:hAnsi="Times New Roman"/>
                <w:b w:val="0"/>
                <w:i w:val="0"/>
                <w:sz w:val="16"/>
              </w:rPr>
              <w:t xml:space="preserve">0.717 (±.002)</w:t>
            </w:r>
            <w:r/>
          </w:p>
        </w:tc>
        <w:tc>
          <w:tcPr>
            <w:tcBorders/>
            <w:tcW w:w="1377" w:type="dxa"/>
          </w:tcPr>
          <w:p>
            <w:pPr>
              <w:pBdr/>
              <w:spacing/>
              <w:ind/>
              <w:jc w:val="center"/>
              <w:rPr/>
            </w:pPr>
            <w:r>
              <w:rPr>
                <w:rFonts w:ascii="Times New Roman" w:hAnsi="Times New Roman"/>
                <w:b w:val="0"/>
                <w:i w:val="0"/>
                <w:sz w:val="16"/>
              </w:rPr>
              <w:t xml:space="preserve">0.717</w:t>
            </w:r>
            <w:r/>
          </w:p>
        </w:tc>
        <w:tc>
          <w:tcPr>
            <w:tcBorders/>
            <w:tcW w:w="1377" w:type="dxa"/>
          </w:tcPr>
          <w:p>
            <w:pPr>
              <w:pBdr/>
              <w:spacing/>
              <w:ind/>
              <w:jc w:val="center"/>
              <w:rPr/>
            </w:pPr>
            <w:r>
              <w:rPr>
                <w:rFonts w:ascii="Times New Roman" w:hAnsi="Times New Roman"/>
                <w:b w:val="0"/>
                <w:i w:val="0"/>
                <w:sz w:val="16"/>
              </w:rPr>
              <w:t xml:space="preserve">5.19</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phi4:14b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0.705 (±.012)</w:t>
            </w:r>
            <w:r/>
          </w:p>
        </w:tc>
        <w:tc>
          <w:tcPr>
            <w:tcBorders/>
            <w:tcW w:w="1377" w:type="dxa"/>
          </w:tcPr>
          <w:p>
            <w:pPr>
              <w:pBdr/>
              <w:spacing/>
              <w:ind/>
              <w:jc w:val="center"/>
              <w:rPr/>
            </w:pPr>
            <w:r>
              <w:rPr>
                <w:rFonts w:ascii="Times New Roman" w:hAnsi="Times New Roman"/>
                <w:b w:val="0"/>
                <w:i w:val="0"/>
                <w:sz w:val="16"/>
              </w:rPr>
              <w:t xml:space="preserve">0.706 (±.011)</w:t>
            </w:r>
            <w:r/>
          </w:p>
        </w:tc>
        <w:tc>
          <w:tcPr>
            <w:tcBorders/>
            <w:tcW w:w="1377" w:type="dxa"/>
          </w:tcPr>
          <w:p>
            <w:pPr>
              <w:pBdr/>
              <w:spacing/>
              <w:ind/>
              <w:jc w:val="center"/>
              <w:rPr/>
            </w:pPr>
            <w:r>
              <w:rPr>
                <w:rFonts w:ascii="Times New Roman" w:hAnsi="Times New Roman"/>
                <w:b w:val="0"/>
                <w:i w:val="0"/>
                <w:sz w:val="16"/>
              </w:rPr>
              <w:t xml:space="preserve">0.706</w:t>
            </w:r>
            <w:r/>
          </w:p>
        </w:tc>
        <w:tc>
          <w:tcPr>
            <w:tcBorders/>
            <w:tcW w:w="1377" w:type="dxa"/>
          </w:tcPr>
          <w:p>
            <w:pPr>
              <w:pBdr/>
              <w:spacing/>
              <w:ind/>
              <w:jc w:val="center"/>
              <w:rPr/>
            </w:pPr>
            <w:r>
              <w:rPr>
                <w:rFonts w:ascii="Times New Roman" w:hAnsi="Times New Roman"/>
                <w:b w:val="0"/>
                <w:i w:val="0"/>
                <w:sz w:val="16"/>
              </w:rPr>
              <w:t xml:space="preserve">0.54</w:t>
            </w:r>
            <w:r/>
          </w:p>
        </w:tc>
        <w:tc>
          <w:tcPr>
            <w:tcBorders/>
            <w:tcW w:w="1377" w:type="dxa"/>
          </w:tcPr>
          <w:p>
            <w:pPr>
              <w:pBdr/>
              <w:spacing/>
              <w:ind/>
              <w:jc w:val="center"/>
              <w:rPr/>
            </w:pPr>
            <w:r>
              <w:rPr>
                <w:rFonts w:ascii="Times New Roman" w:hAnsi="Times New Roman"/>
                <w:b w:val="0"/>
                <w:i w:val="0"/>
                <w:sz w:val="16"/>
              </w:rPr>
              <w:t xml:space="preserve">1.0</w:t>
            </w:r>
            <w:r/>
          </w:p>
        </w:tc>
      </w:tr>
      <w:tr>
        <w:trPr/>
        <w:tc>
          <w:tcPr>
            <w:tcBorders/>
            <w:tcW w:w="1377" w:type="dxa"/>
          </w:tcPr>
          <w:p>
            <w:pPr>
              <w:pBdr/>
              <w:spacing/>
              <w:ind/>
              <w:jc w:val="center"/>
              <w:rPr/>
            </w:pPr>
            <w:r>
              <w:rPr>
                <w:rFonts w:ascii="Times New Roman" w:hAnsi="Times New Roman"/>
                <w:b w:val="0"/>
                <w:i w:val="0"/>
                <w:sz w:val="16"/>
              </w:rPr>
              <w:t xml:space="preserve">deepseek-r1:8b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0.684 (±.013)</w:t>
            </w:r>
            <w:r/>
          </w:p>
        </w:tc>
        <w:tc>
          <w:tcPr>
            <w:tcBorders/>
            <w:tcW w:w="1377" w:type="dxa"/>
          </w:tcPr>
          <w:p>
            <w:pPr>
              <w:pBdr/>
              <w:spacing/>
              <w:ind/>
              <w:jc w:val="center"/>
              <w:rPr/>
            </w:pPr>
            <w:r>
              <w:rPr>
                <w:rFonts w:ascii="Times New Roman" w:hAnsi="Times New Roman"/>
                <w:b w:val="0"/>
                <w:i w:val="0"/>
                <w:sz w:val="16"/>
              </w:rPr>
              <w:t xml:space="preserve">0.683 (±.012)</w:t>
            </w:r>
            <w:r/>
          </w:p>
        </w:tc>
        <w:tc>
          <w:tcPr>
            <w:tcBorders/>
            <w:tcW w:w="1377" w:type="dxa"/>
          </w:tcPr>
          <w:p>
            <w:pPr>
              <w:pBdr/>
              <w:spacing/>
              <w:ind/>
              <w:jc w:val="center"/>
              <w:rPr/>
            </w:pPr>
            <w:r>
              <w:rPr>
                <w:rFonts w:ascii="Times New Roman" w:hAnsi="Times New Roman"/>
                <w:b w:val="0"/>
                <w:i w:val="0"/>
                <w:sz w:val="16"/>
              </w:rPr>
              <w:t xml:space="preserve">0.683</w:t>
            </w:r>
            <w:r/>
          </w:p>
        </w:tc>
        <w:tc>
          <w:tcPr>
            <w:tcBorders/>
            <w:tcW w:w="1377" w:type="dxa"/>
          </w:tcPr>
          <w:p>
            <w:pPr>
              <w:pBdr/>
              <w:spacing/>
              <w:ind/>
              <w:jc w:val="center"/>
              <w:rPr/>
            </w:pPr>
            <w:r>
              <w:rPr>
                <w:rFonts w:ascii="Times New Roman" w:hAnsi="Times New Roman"/>
                <w:b w:val="0"/>
                <w:i w:val="0"/>
                <w:sz w:val="16"/>
              </w:rPr>
              <w:t xml:space="preserve">5.14</w:t>
            </w:r>
            <w:r/>
          </w:p>
        </w:tc>
        <w:tc>
          <w:tcPr>
            <w:tcBorders/>
            <w:tcW w:w="1377" w:type="dxa"/>
          </w:tcPr>
          <w:p>
            <w:pPr>
              <w:pBdr/>
              <w:spacing/>
              <w:ind/>
              <w:jc w:val="center"/>
              <w:rPr/>
            </w:pPr>
            <w:r>
              <w:rPr>
                <w:rFonts w:ascii="Times New Roman" w:hAnsi="Times New Roman"/>
                <w:b w:val="0"/>
                <w:i w:val="0"/>
                <w:sz w:val="16"/>
              </w:rPr>
              <w:t xml:space="preserve">2.0</w:t>
            </w:r>
            <w:r/>
          </w:p>
        </w:tc>
      </w:tr>
      <w:tr>
        <w:trPr/>
        <w:tc>
          <w:tcPr>
            <w:tcBorders/>
            <w:tcW w:w="1377" w:type="dxa"/>
          </w:tcPr>
          <w:p>
            <w:pPr>
              <w:pBdr/>
              <w:spacing/>
              <w:ind/>
              <w:jc w:val="center"/>
              <w:rPr/>
            </w:pPr>
            <w:r>
              <w:rPr>
                <w:rFonts w:ascii="Times New Roman" w:hAnsi="Times New Roman"/>
                <w:b w:val="0"/>
                <w:i w:val="0"/>
                <w:sz w:val="16"/>
              </w:rPr>
              <w:t xml:space="preserve">gemma2:9b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0.680 (±.006)</w:t>
            </w:r>
            <w:r/>
          </w:p>
        </w:tc>
        <w:tc>
          <w:tcPr>
            <w:tcBorders/>
            <w:tcW w:w="1377" w:type="dxa"/>
          </w:tcPr>
          <w:p>
            <w:pPr>
              <w:pBdr/>
              <w:spacing/>
              <w:ind/>
              <w:jc w:val="center"/>
              <w:rPr/>
            </w:pPr>
            <w:r>
              <w:rPr>
                <w:rFonts w:ascii="Times New Roman" w:hAnsi="Times New Roman"/>
                <w:b w:val="0"/>
                <w:i w:val="0"/>
                <w:sz w:val="16"/>
              </w:rPr>
              <w:t xml:space="preserve">0.676 (±.009)</w:t>
            </w:r>
            <w:r/>
          </w:p>
        </w:tc>
        <w:tc>
          <w:tcPr>
            <w:tcBorders/>
            <w:tcW w:w="1377" w:type="dxa"/>
          </w:tcPr>
          <w:p>
            <w:pPr>
              <w:pBdr/>
              <w:spacing/>
              <w:ind/>
              <w:jc w:val="center"/>
              <w:rPr/>
            </w:pPr>
            <w:r>
              <w:rPr>
                <w:rFonts w:ascii="Times New Roman" w:hAnsi="Times New Roman"/>
                <w:b w:val="0"/>
                <w:i w:val="0"/>
                <w:sz w:val="16"/>
              </w:rPr>
              <w:t xml:space="preserve">0.676</w:t>
            </w:r>
            <w:r/>
          </w:p>
        </w:tc>
        <w:tc>
          <w:tcPr>
            <w:tcBorders/>
            <w:tcW w:w="1377" w:type="dxa"/>
          </w:tcPr>
          <w:p>
            <w:pPr>
              <w:pBdr/>
              <w:spacing/>
              <w:ind/>
              <w:jc w:val="center"/>
              <w:rPr/>
            </w:pPr>
            <w:r>
              <w:rPr>
                <w:rFonts w:ascii="Times New Roman" w:hAnsi="Times New Roman"/>
                <w:b w:val="0"/>
                <w:i w:val="0"/>
                <w:sz w:val="16"/>
              </w:rPr>
              <w:t xml:space="preserve">0.67</w:t>
            </w:r>
            <w:r/>
          </w:p>
        </w:tc>
        <w:tc>
          <w:tcPr>
            <w:tcBorders/>
            <w:tcW w:w="1377" w:type="dxa"/>
          </w:tcPr>
          <w:p>
            <w:pPr>
              <w:pBdr/>
              <w:spacing/>
              <w:ind/>
              <w:jc w:val="center"/>
              <w:rPr/>
            </w:pPr>
            <w:r>
              <w:rPr>
                <w:rFonts w:ascii="Times New Roman" w:hAnsi="Times New Roman"/>
                <w:b w:val="0"/>
                <w:i w:val="0"/>
                <w:sz w:val="16"/>
              </w:rPr>
              <w:t xml:space="preserve">0.3</w:t>
            </w:r>
            <w:r/>
          </w:p>
        </w:tc>
      </w:tr>
      <w:tr>
        <w:trPr/>
        <w:tc>
          <w:tcPr>
            <w:tcBorders/>
            <w:tcW w:w="1377" w:type="dxa"/>
          </w:tcPr>
          <w:p>
            <w:pPr>
              <w:pBdr/>
              <w:spacing/>
              <w:ind/>
              <w:jc w:val="center"/>
              <w:rPr/>
            </w:pPr>
            <w:r>
              <w:rPr>
                <w:rFonts w:ascii="Times New Roman" w:hAnsi="Times New Roman"/>
                <w:b w:val="0"/>
                <w:i w:val="0"/>
                <w:sz w:val="16"/>
              </w:rPr>
              <w:t xml:space="preserve">mistral:7b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0.593 (±.002)</w:t>
            </w:r>
            <w:r/>
          </w:p>
        </w:tc>
        <w:tc>
          <w:tcPr>
            <w:tcBorders/>
            <w:tcW w:w="1377" w:type="dxa"/>
          </w:tcPr>
          <w:p>
            <w:pPr>
              <w:pBdr/>
              <w:spacing/>
              <w:ind/>
              <w:jc w:val="center"/>
              <w:rPr/>
            </w:pPr>
            <w:r>
              <w:rPr>
                <w:rFonts w:ascii="Times New Roman" w:hAnsi="Times New Roman"/>
                <w:b w:val="0"/>
                <w:i w:val="0"/>
                <w:sz w:val="16"/>
              </w:rPr>
              <w:t xml:space="preserve">0.587 (±.004)</w:t>
            </w:r>
            <w:r/>
          </w:p>
        </w:tc>
        <w:tc>
          <w:tcPr>
            <w:tcBorders/>
            <w:tcW w:w="1377" w:type="dxa"/>
          </w:tcPr>
          <w:p>
            <w:pPr>
              <w:pBdr/>
              <w:spacing/>
              <w:ind/>
              <w:jc w:val="center"/>
              <w:rPr/>
            </w:pPr>
            <w:r>
              <w:rPr>
                <w:rFonts w:ascii="Times New Roman" w:hAnsi="Times New Roman"/>
                <w:b w:val="0"/>
                <w:i w:val="0"/>
                <w:sz w:val="16"/>
              </w:rPr>
              <w:t xml:space="preserve">0.587</w:t>
            </w:r>
            <w:r/>
          </w:p>
        </w:tc>
        <w:tc>
          <w:tcPr>
            <w:tcBorders/>
            <w:tcW w:w="1377" w:type="dxa"/>
          </w:tcPr>
          <w:p>
            <w:pPr>
              <w:pBdr/>
              <w:spacing/>
              <w:ind/>
              <w:jc w:val="center"/>
              <w:rPr/>
            </w:pPr>
            <w:r>
              <w:rPr>
                <w:rFonts w:ascii="Times New Roman" w:hAnsi="Times New Roman"/>
                <w:b w:val="0"/>
                <w:i w:val="0"/>
                <w:sz w:val="16"/>
              </w:rPr>
              <w:t xml:space="preserve">0.23</w:t>
            </w:r>
            <w:r/>
          </w:p>
        </w:tc>
        <w:tc>
          <w:tcPr>
            <w:tcBorders/>
            <w:tcW w:w="1377" w:type="dxa"/>
          </w:tcPr>
          <w:p>
            <w:pPr>
              <w:pBdr/>
              <w:spacing/>
              <w:ind/>
              <w:jc w:val="center"/>
              <w:rPr/>
            </w:pPr>
            <w:r>
              <w:rPr>
                <w:rFonts w:ascii="Times New Roman" w:hAnsi="Times New Roman"/>
                <w:b w:val="0"/>
                <w:i w:val="0"/>
                <w:sz w:val="16"/>
              </w:rPr>
              <w:t xml:space="preserve">58.7</w:t>
            </w:r>
            <w:r/>
          </w:p>
        </w:tc>
      </w:tr>
      <w:tr>
        <w:trPr/>
        <w:tc>
          <w:tcPr>
            <w:tcBorders/>
            <w:tcW w:w="1377" w:type="dxa"/>
          </w:tcPr>
          <w:p>
            <w:pPr>
              <w:pBdr/>
              <w:spacing/>
              <w:ind/>
              <w:jc w:val="center"/>
              <w:rPr/>
            </w:pPr>
            <w:r>
              <w:rPr>
                <w:rFonts w:ascii="Times New Roman" w:hAnsi="Times New Roman"/>
                <w:b w:val="0"/>
                <w:i w:val="0"/>
                <w:sz w:val="16"/>
              </w:rPr>
              <w:t xml:space="preserve">llama3.1:8b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0.578 (±.005)</w:t>
            </w:r>
            <w:r/>
          </w:p>
        </w:tc>
        <w:tc>
          <w:tcPr>
            <w:tcBorders/>
            <w:tcW w:w="1377" w:type="dxa"/>
          </w:tcPr>
          <w:p>
            <w:pPr>
              <w:pBdr/>
              <w:spacing/>
              <w:ind/>
              <w:jc w:val="center"/>
              <w:rPr/>
            </w:pPr>
            <w:r>
              <w:rPr>
                <w:rFonts w:ascii="Times New Roman" w:hAnsi="Times New Roman"/>
                <w:b w:val="0"/>
                <w:i w:val="0"/>
                <w:sz w:val="16"/>
              </w:rPr>
              <w:t xml:space="preserve">0.587 (±.003)</w:t>
            </w:r>
            <w:r/>
          </w:p>
        </w:tc>
        <w:tc>
          <w:tcPr>
            <w:tcBorders/>
            <w:tcW w:w="1377" w:type="dxa"/>
          </w:tcPr>
          <w:p>
            <w:pPr>
              <w:pBdr/>
              <w:spacing/>
              <w:ind/>
              <w:jc w:val="center"/>
              <w:rPr/>
            </w:pPr>
            <w:r>
              <w:rPr>
                <w:rFonts w:ascii="Times New Roman" w:hAnsi="Times New Roman"/>
                <w:b w:val="0"/>
                <w:i w:val="0"/>
                <w:sz w:val="16"/>
              </w:rPr>
              <w:t xml:space="preserve">0.587</w:t>
            </w:r>
            <w:r/>
          </w:p>
        </w:tc>
        <w:tc>
          <w:tcPr>
            <w:tcBorders/>
            <w:tcW w:w="1377" w:type="dxa"/>
          </w:tcPr>
          <w:p>
            <w:pPr>
              <w:pBdr/>
              <w:spacing/>
              <w:ind/>
              <w:jc w:val="center"/>
              <w:rPr/>
            </w:pPr>
            <w:r>
              <w:rPr>
                <w:rFonts w:ascii="Times New Roman" w:hAnsi="Times New Roman"/>
                <w:b w:val="0"/>
                <w:i w:val="0"/>
                <w:sz w:val="16"/>
              </w:rPr>
              <w:t xml:space="preserve">2.97</w:t>
            </w:r>
            <w:r/>
          </w:p>
        </w:tc>
        <w:tc>
          <w:tcPr>
            <w:tcBorders/>
            <w:tcW w:w="1377" w:type="dxa"/>
          </w:tcPr>
          <w:p>
            <w:pPr>
              <w:pBdr/>
              <w:spacing/>
              <w:ind/>
              <w:jc w:val="center"/>
              <w:rPr/>
            </w:pPr>
            <w:r>
              <w:rPr>
                <w:rFonts w:ascii="Times New Roman" w:hAnsi="Times New Roman"/>
                <w:b w:val="0"/>
                <w:i w:val="0"/>
                <w:sz w:val="16"/>
              </w:rPr>
              <w:t xml:space="preserve">66.7</w:t>
            </w:r>
            <w:r/>
          </w:p>
        </w:tc>
      </w:tr>
      <w:tr>
        <w:trPr/>
        <w:tc>
          <w:tcPr>
            <w:tcBorders/>
            <w:tcW w:w="1377" w:type="dxa"/>
          </w:tcPr>
          <w:p>
            <w:pPr>
              <w:pBdr/>
              <w:spacing/>
              <w:ind/>
              <w:jc w:val="center"/>
              <w:rPr/>
            </w:pPr>
            <w:r>
              <w:rPr>
                <w:rFonts w:ascii="Times New Roman" w:hAnsi="Times New Roman"/>
                <w:b w:val="0"/>
                <w:i w:val="0"/>
                <w:sz w:val="16"/>
              </w:rPr>
              <w:t xml:space="preserve">mistral-nemo:12b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0.559 (±.019)</w:t>
            </w:r>
            <w:r/>
          </w:p>
        </w:tc>
        <w:tc>
          <w:tcPr>
            <w:tcBorders/>
            <w:tcW w:w="1377" w:type="dxa"/>
          </w:tcPr>
          <w:p>
            <w:pPr>
              <w:pBdr/>
              <w:spacing/>
              <w:ind/>
              <w:jc w:val="center"/>
              <w:rPr/>
            </w:pPr>
            <w:r>
              <w:rPr>
                <w:rFonts w:ascii="Times New Roman" w:hAnsi="Times New Roman"/>
                <w:b w:val="0"/>
                <w:i w:val="0"/>
                <w:sz w:val="16"/>
              </w:rPr>
              <w:t xml:space="preserve">0.540 (±.025)</w:t>
            </w:r>
            <w:r/>
          </w:p>
        </w:tc>
        <w:tc>
          <w:tcPr>
            <w:tcBorders/>
            <w:tcW w:w="1377" w:type="dxa"/>
          </w:tcPr>
          <w:p>
            <w:pPr>
              <w:pBdr/>
              <w:spacing/>
              <w:ind/>
              <w:jc w:val="center"/>
              <w:rPr/>
            </w:pPr>
            <w:r>
              <w:rPr>
                <w:rFonts w:ascii="Times New Roman" w:hAnsi="Times New Roman"/>
                <w:b w:val="0"/>
                <w:i w:val="0"/>
                <w:sz w:val="16"/>
              </w:rPr>
              <w:t xml:space="preserve">0.540</w:t>
            </w:r>
            <w:r/>
          </w:p>
        </w:tc>
        <w:tc>
          <w:tcPr>
            <w:tcBorders/>
            <w:tcW w:w="1377" w:type="dxa"/>
          </w:tcPr>
          <w:p>
            <w:pPr>
              <w:pBdr/>
              <w:spacing/>
              <w:ind/>
              <w:jc w:val="center"/>
              <w:rPr/>
            </w:pPr>
            <w:r>
              <w:rPr>
                <w:rFonts w:ascii="Times New Roman" w:hAnsi="Times New Roman"/>
                <w:b w:val="0"/>
                <w:i w:val="0"/>
                <w:sz w:val="16"/>
              </w:rPr>
              <w:t xml:space="preserve">0.59</w:t>
            </w:r>
            <w:r/>
          </w:p>
        </w:tc>
        <w:tc>
          <w:tcPr>
            <w:tcBorders/>
            <w:tcW w:w="1377" w:type="dxa"/>
          </w:tcPr>
          <w:p>
            <w:pPr>
              <w:pBdr/>
              <w:spacing/>
              <w:ind/>
              <w:jc w:val="center"/>
              <w:rPr/>
            </w:pPr>
            <w:r>
              <w:rPr>
                <w:rFonts w:ascii="Times New Roman" w:hAnsi="Times New Roman"/>
                <w:b w:val="0"/>
                <w:i w:val="0"/>
                <w:sz w:val="16"/>
              </w:rPr>
              <w:t xml:space="preserve">0.7</w:t>
            </w:r>
            <w:r/>
          </w:p>
        </w:tc>
      </w:tr>
    </w:tbl>
    <w:p>
      <w:pPr>
        <w:pBdr/>
        <w:spacing w:after="100" w:before="40"/>
        <w:ind/>
        <w:jc w:val="left"/>
        <w:rPr/>
      </w:pPr>
      <w:r>
        <w:rPr>
          <w:rFonts w:ascii="Times New Roman" w:hAnsi="Times New Roman"/>
          <w:b w:val="0"/>
          <w:i/>
          <w:sz w:val="16"/>
        </w:rPr>
        <w:t xml:space="preserve">F1w: weighted F1; F1m: macro F1; Lat.: mean latency per prediction.</w:t>
      </w:r>
      <w:r/>
    </w:p>
    <w:p>
      <w:pPr>
        <w:pBdr/>
        <w:spacing w:after="100" w:before="100"/>
        <w:ind w:firstLine="283"/>
        <w:jc w:val="both"/>
        <w:rPr/>
      </w:pPr>
      <w:r>
        <w:rPr>
          <w:rFonts w:ascii="Times New Roman" w:hAnsi="Times New Roman"/>
          <w:b w:val="0"/>
          <w:i w:val="0"/>
          <w:sz w:val="20"/>
        </w:rPr>
        <w:t xml:space="preserve">The off</w:t>
      </w:r>
      <w:r>
        <w:rPr>
          <w:rFonts w:ascii="Times New Roman" w:hAnsi="Times New Roman"/>
          <w:b w:val="0"/>
          <w:i w:val="0"/>
          <w:sz w:val="20"/>
        </w:rPr>
        <w:t xml:space="preserve">-label column is particularly informative. Three zero-off-label models among the top-five (qwen3:14b, gpt-oss:20b, and qwen3:8b) are all reasoning models. The two models with severe format-following failures are standard models: llama3.1:8b produces 67 off</w:t>
      </w:r>
      <w:r>
        <w:rPr>
          <w:rFonts w:ascii="Times New Roman" w:hAnsi="Times New Roman"/>
          <w:b w:val="0"/>
          <w:i w:val="0"/>
          <w:sz w:val="20"/>
        </w:rPr>
        <w:t xml:space="preserve">-label predictions and mistral:7b produces 59. Notably, gemma4:12b (rank 1, standard) produces only 3.7 off-label predictions on average, demonstrating that newer-generation standard models can achieve strong instruction adherence without chain-of-thought.</w:t>
      </w:r>
      <w:r/>
    </w:p>
    <w:p>
      <w:pPr>
        <w:pBdr/>
        <w:spacing w:after="100" w:before="100"/>
        <w:ind w:firstLine="283"/>
        <w:jc w:val="both"/>
        <w:rPr/>
      </w:pPr>
      <w:r>
        <w:rPr>
          <w:rFonts w:ascii="Times New Roman" w:hAnsi="Times New Roman"/>
          <w:b w:val="0"/>
          <w:i w:val="0"/>
          <w:sz w:val="20"/>
        </w:rPr>
        <w:t xml:space="preserve">We perform post-hoc exact McNemar tests (binomial, one-sided) on paired correctness outcomes for each of the three seeds independently, applying a Bonferroni-adjusted threshold of alpha=0.0125. The advantage of gemma4:12b over</w:t>
      </w:r>
      <w:r>
        <w:rPr>
          <w:rFonts w:ascii="Times New Roman" w:hAnsi="Times New Roman"/>
          <w:b w:val="0"/>
          <w:i w:val="0"/>
          <w:sz w:val="20"/>
        </w:rPr>
        <w:t xml:space="preserve"> deepseek-r1:14b and qwen3:8b is significant in all three seeds (p&lt;0.001 each). Comparisons with qwen3:14b and gpt-oss:20b reach significance in only one seed each (F1 gap &lt;=0.024), confirming that these three models form a statistical performance cluster.</w:t>
      </w:r>
      <w:r/>
    </w:p>
    <w:p>
      <w:pPr>
        <w:pBdr/>
        <w:spacing w:after="40" w:before="100"/>
        <w:ind/>
        <w:jc w:val="center"/>
        <w:rPr/>
      </w:pPr>
      <w:r>
        <mc:AlternateContent>
          <mc:Choice Requires="wpg">
            <w:drawing>
              <wp:inline xmlns:wp="http://schemas.openxmlformats.org/drawingml/2006/wordprocessingDrawing" distT="0" distB="0" distL="0" distR="0">
                <wp:extent cx="5040000" cy="2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balanced_errbar.png"/>
                        <pic:cNvPicPr>
                          <a:picLocks noChangeAspect="1"/>
                        </pic:cNvPicPr>
                        <pic:nvPr/>
                      </pic:nvPicPr>
                      <pic:blipFill rotWithShape="1">
                        <a:blip r:embed="rId12"/>
                        <a:stretch/>
                      </pic:blipFill>
                      <pic:spPr bwMode="auto">
                        <a:xfrm>
                          <a:off x="0" y="0"/>
                          <a:ext cx="5040000" cy="2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6.85pt;height:220.47pt;mso-wrap-distance-left:0.00pt;mso-wrap-distance-top:0.00pt;mso-wrap-distance-right:0.00pt;mso-wrap-distance-bottom:0.00pt;z-index:1;" stroked="false">
                <v:imagedata r:id="rId12" o:title=""/>
                <o:lock v:ext="edit" rotation="t"/>
              </v:shape>
            </w:pict>
          </mc:Fallback>
        </mc:AlternateContent>
      </w:r>
      <w:r/>
    </w:p>
    <w:p>
      <w:pPr>
        <w:pBdr/>
        <w:spacing w:after="100" w:before="40"/>
        <w:ind/>
        <w:jc w:val="center"/>
        <w:rPr/>
      </w:pPr>
      <w:r>
        <w:rPr>
          <w:rFonts w:ascii="Times New Roman" w:hAnsi="Times New Roman"/>
          <w:b w:val="0"/>
          <w:i w:val="0"/>
          <w:sz w:val="20"/>
        </w:rPr>
        <w:t xml:space="preserve">Figure 3. Weighted F1-scores for all eleven models in Experiment A (Balanced), shown as mean +/- std over three seeds. Reasoning models are shown in dark blue; standard models in light blue. gemma4:12b (standard) leads all reasoning models.</w:t>
      </w:r>
      <w:r/>
    </w:p>
    <w:p>
      <w:pPr>
        <w:pBdr/>
        <w:spacing w:after="40" w:before="100"/>
        <w:ind/>
        <w:jc w:val="center"/>
        <w:rPr/>
      </w:pPr>
      <w:r>
        <mc:AlternateContent>
          <mc:Choice Requires="wpg">
            <w:drawing>
              <wp:inline xmlns:wp="http://schemas.openxmlformats.org/drawingml/2006/wordprocessingDrawing" distT="0" distB="0" distL="0" distR="0">
                <wp:extent cx="1872000" cy="1215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gpt-oss_20b_balanced.png"/>
                        <pic:cNvPicPr>
                          <a:picLocks noChangeAspect="1"/>
                        </pic:cNvPicPr>
                        <pic:nvPr/>
                      </pic:nvPicPr>
                      <pic:blipFill rotWithShape="1">
                        <a:blip r:embed="rId13"/>
                        <a:stretch/>
                      </pic:blipFill>
                      <pic:spPr bwMode="auto">
                        <a:xfrm>
                          <a:off x="0" y="0"/>
                          <a:ext cx="1872000" cy="1215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7.40pt;height:95.74pt;mso-wrap-distance-left:0.00pt;mso-wrap-distance-top:0.00pt;mso-wrap-distance-right:0.00pt;mso-wrap-distance-bottom:0.00pt;z-index:1;" stroked="false">
                <v:imagedata r:id="rId13" o:title=""/>
                <o:lock v:ext="edit" rotation="t"/>
              </v:shape>
            </w:pict>
          </mc:Fallback>
        </mc:AlternateContent>
      </w:r>
      <w:r>
        <w:t xml:space="preserve"> </w:t>
      </w:r>
      <w:r>
        <mc:AlternateContent>
          <mc:Choice Requires="wpg">
            <w:drawing>
              <wp:inline xmlns:wp="http://schemas.openxmlformats.org/drawingml/2006/wordprocessingDrawing" distT="0" distB="0" distL="0" distR="0">
                <wp:extent cx="1872000" cy="1208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phi4_14b_balanced.png"/>
                        <pic:cNvPicPr>
                          <a:picLocks noChangeAspect="1"/>
                        </pic:cNvPicPr>
                        <pic:nvPr/>
                      </pic:nvPicPr>
                      <pic:blipFill rotWithShape="1">
                        <a:blip r:embed="rId14"/>
                        <a:stretch/>
                      </pic:blipFill>
                      <pic:spPr bwMode="auto">
                        <a:xfrm>
                          <a:off x="0" y="0"/>
                          <a:ext cx="1872000" cy="12087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7.40pt;height:95.18pt;mso-wrap-distance-left:0.00pt;mso-wrap-distance-top:0.00pt;mso-wrap-distance-right:0.00pt;mso-wrap-distance-bottom:0.00pt;z-index:1;" stroked="false">
                <v:imagedata r:id="rId14" o:title=""/>
                <o:lock v:ext="edit" rotation="t"/>
              </v:shape>
            </w:pict>
          </mc:Fallback>
        </mc:AlternateContent>
      </w:r>
      <w:r>
        <w:t xml:space="preserve"> </w:t>
      </w:r>
      <w:r>
        <mc:AlternateContent>
          <mc:Choice Requires="wpg">
            <w:drawing>
              <wp:inline xmlns:wp="http://schemas.openxmlformats.org/drawingml/2006/wordprocessingDrawing" distT="0" distB="0" distL="0" distR="0">
                <wp:extent cx="1872000" cy="12194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deepseek-r1_14b_balanced.png"/>
                        <pic:cNvPicPr>
                          <a:picLocks noChangeAspect="1"/>
                        </pic:cNvPicPr>
                        <pic:nvPr/>
                      </pic:nvPicPr>
                      <pic:blipFill rotWithShape="1">
                        <a:blip r:embed="rId15"/>
                        <a:stretch/>
                      </pic:blipFill>
                      <pic:spPr bwMode="auto">
                        <a:xfrm>
                          <a:off x="0" y="0"/>
                          <a:ext cx="1872000" cy="1219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7.40pt;height:96.02pt;mso-wrap-distance-left:0.00pt;mso-wrap-distance-top:0.00pt;mso-wrap-distance-right:0.00pt;mso-wrap-distance-bottom:0.00pt;z-index:1;" stroked="false">
                <v:imagedata r:id="rId15" o:title=""/>
                <o:lock v:ext="edit" rotation="t"/>
              </v:shape>
            </w:pict>
          </mc:Fallback>
        </mc:AlternateContent>
      </w:r>
      <w:r/>
    </w:p>
    <w:p>
      <w:pPr>
        <w:pBdr/>
        <w:spacing w:after="100" w:before="40"/>
        <w:ind/>
        <w:jc w:val="center"/>
        <w:rPr/>
      </w:pPr>
      <w:r>
        <w:rPr>
          <w:rFonts w:ascii="Times New Roman" w:hAnsi="Times New Roman"/>
          <w:b w:val="0"/>
          <w:i w:val="0"/>
          <w:sz w:val="20"/>
        </w:rPr>
        <w:t xml:space="preserve">Fi</w:t>
      </w:r>
      <w:r>
        <w:rPr>
          <w:rFonts w:ascii="Times New Roman" w:hAnsi="Times New Roman"/>
          <w:b w:val="0"/>
          <w:i w:val="0"/>
          <w:sz w:val="20"/>
        </w:rPr>
        <w:t xml:space="preserve">gure 4. Averaged confusion matrices for selected models (Experiment A, N=1,000, mean over 3 seeds). (a) gpt-oss:20b: top reasoning model. (b) phi4:14b: best sub-1-second standard model. (c) deepseek-r1:14b: second reasoning model, near-zero off-label rate.</w:t>
      </w:r>
      <w:r/>
    </w:p>
    <w:p>
      <w:pPr>
        <w:pBdr/>
        <w:spacing w:after="100" w:before="100"/>
        <w:ind/>
        <w:jc w:val="left"/>
        <w:rPr/>
      </w:pPr>
      <w:r>
        <w:rPr>
          <w:rFonts w:ascii="Times New Roman" w:hAnsi="Times New Roman"/>
          <w:b w:val="0"/>
          <w:i/>
          <w:sz w:val="20"/>
        </w:rPr>
        <w:t xml:space="preserve">5.2. Experiment B: Imbalanced Evaluation</w:t>
      </w:r>
      <w:r/>
    </w:p>
    <w:p>
      <w:pPr>
        <w:pBdr/>
        <w:spacing w:after="100" w:before="100"/>
        <w:ind w:firstLine="283"/>
        <w:jc w:val="both"/>
        <w:rPr/>
      </w:pPr>
      <w:r>
        <w:rPr>
          <w:rFonts w:ascii="Times New Roman" w:hAnsi="Times New Roman"/>
          <w:b w:val="0"/>
          <w:i w:val="0"/>
          <w:sz w:val="20"/>
        </w:rPr>
        <w:t xml:space="preserve">Table 3 presents results for Experiment B, again as means </w:t>
      </w:r>
      <w:r>
        <w:rPr>
          <w:rFonts w:ascii="Times New Roman" w:hAnsi="Times New Roman"/>
          <w:b w:val="0"/>
          <w:i w:val="0"/>
          <w:sz w:val="20"/>
        </w:rPr>
        <w:t xml:space="preserve">over three seeds. All eleven models show numerically higher accuracy and F1 compared to Experiment A. gpt-oss:20b regains the top position with mean accuracy 0.782 +/- 0.017 and F1 0.783 +/- 0.016. gemma4:12b follows closely in second place (F1 0.779 +/- 0</w:t>
      </w:r>
      <w:r>
        <w:rPr>
          <w:rFonts w:ascii="Times New Roman" w:hAnsi="Times New Roman"/>
          <w:b w:val="0"/>
          <w:i w:val="0"/>
          <w:sz w:val="20"/>
        </w:rPr>
        <w:t xml:space="preserve">.014), and qwen3:14b ranks third (F1 0.772 +/- 0.013). The gains for llama3.1:8b and mistral:7b should not be interpreted as genuine robustness improvements, as both still produce many off-label outputs and benefit from the dominant credit_reporting class.</w:t>
      </w:r>
      <w:r/>
    </w:p>
    <w:p>
      <w:pPr>
        <w:pBdr/>
        <w:spacing w:after="40" w:before="100"/>
        <w:ind/>
        <w:jc w:val="center"/>
        <w:rPr/>
      </w:pPr>
      <w:r>
        <w:rPr>
          <w:rFonts w:ascii="Times New Roman" w:hAnsi="Times New Roman"/>
          <w:b w:val="0"/>
          <w:i w:val="0"/>
          <w:sz w:val="20"/>
        </w:rPr>
        <w:t xml:space="preserve">Table 3. Experiment B Results - Imbalanced (N=1,000, mean of 3 seeds; std in parentheses)</w:t>
      </w:r>
      <w:r/>
    </w:p>
    <w:tbl>
      <w:tblPr>
        <w:tblStyle w:val="934"/>
        <w:jc w:val="center"/>
        <w:tblW w:w="0" w:type="auto"/>
        <w:tblBorders/>
        <w:tblLook w:val="04A0" w:firstRow="1" w:lastRow="0" w:firstColumn="1" w:lastColumn="0" w:noHBand="0" w:noVBand="1"/>
      </w:tblPr>
      <w:tblGrid>
        <w:gridCol w:w="1377"/>
        <w:gridCol w:w="1377"/>
        <w:gridCol w:w="1377"/>
        <w:gridCol w:w="1377"/>
        <w:gridCol w:w="1377"/>
        <w:gridCol w:w="1377"/>
        <w:gridCol w:w="1377"/>
      </w:tblGrid>
      <w:tr>
        <w:trPr/>
        <w:tc>
          <w:tcPr>
            <w:tcBorders/>
            <w:tcW w:w="1377" w:type="dxa"/>
          </w:tcPr>
          <w:p>
            <w:pPr>
              <w:pBdr/>
              <w:spacing/>
              <w:ind/>
              <w:jc w:val="center"/>
              <w:rPr/>
            </w:pPr>
            <w:r>
              <w:rPr>
                <w:rFonts w:ascii="Times New Roman" w:hAnsi="Times New Roman"/>
                <w:b/>
                <w:i w:val="0"/>
                <w:sz w:val="16"/>
              </w:rPr>
              <w:t xml:space="preserve">Model</w:t>
            </w:r>
            <w:r/>
          </w:p>
        </w:tc>
        <w:tc>
          <w:tcPr>
            <w:tcBorders/>
            <w:tcW w:w="1377" w:type="dxa"/>
          </w:tcPr>
          <w:p>
            <w:pPr>
              <w:pBdr/>
              <w:spacing/>
              <w:ind/>
              <w:jc w:val="center"/>
              <w:rPr/>
            </w:pPr>
            <w:r>
              <w:rPr>
                <w:rFonts w:ascii="Times New Roman" w:hAnsi="Times New Roman"/>
                <w:b/>
                <w:i w:val="0"/>
                <w:sz w:val="16"/>
              </w:rPr>
              <w:t xml:space="preserve">Type</w:t>
            </w:r>
            <w:r/>
          </w:p>
        </w:tc>
        <w:tc>
          <w:tcPr>
            <w:tcBorders/>
            <w:tcW w:w="1377" w:type="dxa"/>
          </w:tcPr>
          <w:p>
            <w:pPr>
              <w:pBdr/>
              <w:spacing/>
              <w:ind/>
              <w:jc w:val="center"/>
              <w:rPr/>
            </w:pPr>
            <w:r>
              <w:rPr>
                <w:rFonts w:ascii="Times New Roman" w:hAnsi="Times New Roman"/>
                <w:b/>
                <w:i w:val="0"/>
                <w:sz w:val="16"/>
              </w:rPr>
              <w:t xml:space="preserve">Accuracy</w:t>
            </w:r>
            <w:r/>
          </w:p>
        </w:tc>
        <w:tc>
          <w:tcPr>
            <w:tcBorders/>
            <w:tcW w:w="1377" w:type="dxa"/>
          </w:tcPr>
          <w:p>
            <w:pPr>
              <w:pBdr/>
              <w:spacing/>
              <w:ind/>
              <w:jc w:val="center"/>
              <w:rPr/>
            </w:pPr>
            <w:r>
              <w:rPr>
                <w:rFonts w:ascii="Times New Roman" w:hAnsi="Times New Roman"/>
                <w:b/>
                <w:i w:val="0"/>
                <w:sz w:val="16"/>
              </w:rPr>
              <w:t xml:space="preserve">F1w</w:t>
            </w:r>
            <w:r/>
          </w:p>
        </w:tc>
        <w:tc>
          <w:tcPr>
            <w:tcBorders/>
            <w:tcW w:w="1377" w:type="dxa"/>
          </w:tcPr>
          <w:p>
            <w:pPr>
              <w:pBdr/>
              <w:spacing/>
              <w:ind/>
              <w:jc w:val="center"/>
              <w:rPr/>
            </w:pPr>
            <w:r>
              <w:rPr>
                <w:rFonts w:ascii="Times New Roman" w:hAnsi="Times New Roman"/>
                <w:b/>
                <w:i w:val="0"/>
                <w:sz w:val="16"/>
              </w:rPr>
              <w:t xml:space="preserve">F1m</w:t>
            </w:r>
            <w:r/>
          </w:p>
        </w:tc>
        <w:tc>
          <w:tcPr>
            <w:tcBorders/>
            <w:tcW w:w="1377" w:type="dxa"/>
          </w:tcPr>
          <w:p>
            <w:pPr>
              <w:pBdr/>
              <w:spacing/>
              <w:ind/>
              <w:jc w:val="center"/>
              <w:rPr/>
            </w:pPr>
            <w:r>
              <w:rPr>
                <w:rFonts w:ascii="Times New Roman" w:hAnsi="Times New Roman"/>
                <w:b/>
                <w:i w:val="0"/>
                <w:sz w:val="16"/>
              </w:rPr>
              <w:t xml:space="preserve">Latency (s)</w:t>
            </w:r>
            <w:r/>
          </w:p>
        </w:tc>
        <w:tc>
          <w:tcPr>
            <w:tcBorders/>
            <w:tcW w:w="1377" w:type="dxa"/>
          </w:tcPr>
          <w:p>
            <w:pPr>
              <w:pBdr/>
              <w:spacing/>
              <w:ind/>
              <w:jc w:val="center"/>
              <w:rPr/>
            </w:pPr>
            <w:r>
              <w:rPr>
                <w:rFonts w:ascii="Times New Roman" w:hAnsi="Times New Roman"/>
                <w:b/>
                <w:i w:val="0"/>
                <w:sz w:val="16"/>
              </w:rPr>
              <w:t xml:space="preserve">Off-label</w:t>
            </w:r>
            <w:r/>
          </w:p>
        </w:tc>
      </w:tr>
      <w:tr>
        <w:trPr/>
        <w:tc>
          <w:tcPr>
            <w:tcBorders/>
            <w:tcW w:w="1377" w:type="dxa"/>
          </w:tcPr>
          <w:p>
            <w:pPr>
              <w:pBdr/>
              <w:spacing/>
              <w:ind/>
              <w:jc w:val="center"/>
              <w:rPr/>
            </w:pPr>
            <w:r>
              <w:rPr>
                <w:rFonts w:ascii="Times New Roman" w:hAnsi="Times New Roman"/>
                <w:b w:val="0"/>
                <w:i w:val="0"/>
                <w:sz w:val="16"/>
              </w:rPr>
              <w:t xml:space="preserve">gpt-oss:20b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0.782 (±.017)</w:t>
            </w:r>
            <w:r/>
          </w:p>
        </w:tc>
        <w:tc>
          <w:tcPr>
            <w:tcBorders/>
            <w:tcW w:w="1377" w:type="dxa"/>
          </w:tcPr>
          <w:p>
            <w:pPr>
              <w:pBdr/>
              <w:spacing/>
              <w:ind/>
              <w:jc w:val="center"/>
              <w:rPr/>
            </w:pPr>
            <w:r>
              <w:rPr>
                <w:rFonts w:ascii="Times New Roman" w:hAnsi="Times New Roman"/>
                <w:b w:val="0"/>
                <w:i w:val="0"/>
                <w:sz w:val="16"/>
              </w:rPr>
              <w:t xml:space="preserve">0.783 (±.016)</w:t>
            </w:r>
            <w:r/>
          </w:p>
        </w:tc>
        <w:tc>
          <w:tcPr>
            <w:tcBorders/>
            <w:tcW w:w="1377" w:type="dxa"/>
          </w:tcPr>
          <w:p>
            <w:pPr>
              <w:pBdr/>
              <w:spacing/>
              <w:ind/>
              <w:jc w:val="center"/>
              <w:rPr/>
            </w:pPr>
            <w:r>
              <w:rPr>
                <w:rFonts w:ascii="Times New Roman" w:hAnsi="Times New Roman"/>
                <w:b w:val="0"/>
                <w:i w:val="0"/>
                <w:sz w:val="16"/>
              </w:rPr>
              <w:t xml:space="preserve">0.740</w:t>
            </w:r>
            <w:r/>
          </w:p>
        </w:tc>
        <w:tc>
          <w:tcPr>
            <w:tcBorders/>
            <w:tcW w:w="1377" w:type="dxa"/>
          </w:tcPr>
          <w:p>
            <w:pPr>
              <w:pBdr/>
              <w:spacing/>
              <w:ind/>
              <w:jc w:val="center"/>
              <w:rPr/>
            </w:pPr>
            <w:r>
              <w:rPr>
                <w:rFonts w:ascii="Times New Roman" w:hAnsi="Times New Roman"/>
                <w:b w:val="0"/>
                <w:i w:val="0"/>
                <w:sz w:val="16"/>
              </w:rPr>
              <w:t xml:space="preserve">4.01</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gemma4:12b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0.776 (±.015)</w:t>
            </w:r>
            <w:r/>
          </w:p>
        </w:tc>
        <w:tc>
          <w:tcPr>
            <w:tcBorders/>
            <w:tcW w:w="1377" w:type="dxa"/>
          </w:tcPr>
          <w:p>
            <w:pPr>
              <w:pBdr/>
              <w:spacing/>
              <w:ind/>
              <w:jc w:val="center"/>
              <w:rPr/>
            </w:pPr>
            <w:r>
              <w:rPr>
                <w:rFonts w:ascii="Times New Roman" w:hAnsi="Times New Roman"/>
                <w:b w:val="0"/>
                <w:i w:val="0"/>
                <w:sz w:val="16"/>
              </w:rPr>
              <w:t xml:space="preserve">0.779 (±.014)</w:t>
            </w:r>
            <w:r/>
          </w:p>
        </w:tc>
        <w:tc>
          <w:tcPr>
            <w:tcBorders/>
            <w:tcW w:w="1377" w:type="dxa"/>
          </w:tcPr>
          <w:p>
            <w:pPr>
              <w:pBdr/>
              <w:spacing/>
              <w:ind/>
              <w:jc w:val="center"/>
              <w:rPr/>
            </w:pPr>
            <w:r>
              <w:rPr>
                <w:rFonts w:ascii="Times New Roman" w:hAnsi="Times New Roman"/>
                <w:b w:val="0"/>
                <w:i w:val="0"/>
                <w:sz w:val="16"/>
              </w:rPr>
              <w:t xml:space="preserve">0.741</w:t>
            </w:r>
            <w:r/>
          </w:p>
        </w:tc>
        <w:tc>
          <w:tcPr>
            <w:tcBorders/>
            <w:tcW w:w="1377" w:type="dxa"/>
          </w:tcPr>
          <w:p>
            <w:pPr>
              <w:pBdr/>
              <w:spacing/>
              <w:ind/>
              <w:jc w:val="center"/>
              <w:rPr/>
            </w:pPr>
            <w:r>
              <w:rPr>
                <w:rFonts w:ascii="Times New Roman" w:hAnsi="Times New Roman"/>
                <w:b w:val="0"/>
                <w:i w:val="0"/>
                <w:sz w:val="16"/>
              </w:rPr>
              <w:t xml:space="preserve">10.61</w:t>
            </w:r>
            <w:r/>
          </w:p>
        </w:tc>
        <w:tc>
          <w:tcPr>
            <w:tcBorders/>
            <w:tcW w:w="1377" w:type="dxa"/>
          </w:tcPr>
          <w:p>
            <w:pPr>
              <w:pBdr/>
              <w:spacing/>
              <w:ind/>
              <w:jc w:val="center"/>
              <w:rPr/>
            </w:pPr>
            <w:r>
              <w:rPr>
                <w:rFonts w:ascii="Times New Roman" w:hAnsi="Times New Roman"/>
                <w:b w:val="0"/>
                <w:i w:val="0"/>
                <w:sz w:val="16"/>
              </w:rPr>
              <w:t xml:space="preserve">2.7</w:t>
            </w:r>
            <w:r/>
          </w:p>
        </w:tc>
      </w:tr>
      <w:tr>
        <w:trPr/>
        <w:tc>
          <w:tcPr>
            <w:tcBorders/>
            <w:tcW w:w="1377" w:type="dxa"/>
          </w:tcPr>
          <w:p>
            <w:pPr>
              <w:pBdr/>
              <w:spacing/>
              <w:ind/>
              <w:jc w:val="center"/>
              <w:rPr/>
            </w:pPr>
            <w:r>
              <w:rPr>
                <w:rFonts w:ascii="Times New Roman" w:hAnsi="Times New Roman"/>
                <w:b w:val="0"/>
                <w:i w:val="0"/>
                <w:sz w:val="16"/>
              </w:rPr>
              <w:t xml:space="preserve">qwen3:14b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0.772 (±.012)</w:t>
            </w:r>
            <w:r/>
          </w:p>
        </w:tc>
        <w:tc>
          <w:tcPr>
            <w:tcBorders/>
            <w:tcW w:w="1377" w:type="dxa"/>
          </w:tcPr>
          <w:p>
            <w:pPr>
              <w:pBdr/>
              <w:spacing/>
              <w:ind/>
              <w:jc w:val="center"/>
              <w:rPr/>
            </w:pPr>
            <w:r>
              <w:rPr>
                <w:rFonts w:ascii="Times New Roman" w:hAnsi="Times New Roman"/>
                <w:b w:val="0"/>
                <w:i w:val="0"/>
                <w:sz w:val="16"/>
              </w:rPr>
              <w:t xml:space="preserve">0.772 (±.013)</w:t>
            </w:r>
            <w:r/>
          </w:p>
        </w:tc>
        <w:tc>
          <w:tcPr>
            <w:tcBorders/>
            <w:tcW w:w="1377" w:type="dxa"/>
          </w:tcPr>
          <w:p>
            <w:pPr>
              <w:pBdr/>
              <w:spacing/>
              <w:ind/>
              <w:jc w:val="center"/>
              <w:rPr/>
            </w:pPr>
            <w:r>
              <w:rPr>
                <w:rFonts w:ascii="Times New Roman" w:hAnsi="Times New Roman"/>
                <w:b w:val="0"/>
                <w:i w:val="0"/>
                <w:sz w:val="16"/>
              </w:rPr>
              <w:t xml:space="preserve">0.730</w:t>
            </w:r>
            <w:r/>
          </w:p>
        </w:tc>
        <w:tc>
          <w:tcPr>
            <w:tcBorders/>
            <w:tcW w:w="1377" w:type="dxa"/>
          </w:tcPr>
          <w:p>
            <w:pPr>
              <w:pBdr/>
              <w:spacing/>
              <w:ind/>
              <w:jc w:val="center"/>
              <w:rPr/>
            </w:pPr>
            <w:r>
              <w:rPr>
                <w:rFonts w:ascii="Times New Roman" w:hAnsi="Times New Roman"/>
                <w:b w:val="0"/>
                <w:i w:val="0"/>
                <w:sz w:val="16"/>
              </w:rPr>
              <w:t xml:space="preserve">5.53</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qwen3:8b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0.766 (±.008)</w:t>
            </w:r>
            <w:r/>
          </w:p>
        </w:tc>
        <w:tc>
          <w:tcPr>
            <w:tcBorders/>
            <w:tcW w:w="1377" w:type="dxa"/>
          </w:tcPr>
          <w:p>
            <w:pPr>
              <w:pBdr/>
              <w:spacing/>
              <w:ind/>
              <w:jc w:val="center"/>
              <w:rPr/>
            </w:pPr>
            <w:r>
              <w:rPr>
                <w:rFonts w:ascii="Times New Roman" w:hAnsi="Times New Roman"/>
                <w:b w:val="0"/>
                <w:i w:val="0"/>
                <w:sz w:val="16"/>
              </w:rPr>
              <w:t xml:space="preserve">0.762 (±.007)</w:t>
            </w:r>
            <w:r/>
          </w:p>
        </w:tc>
        <w:tc>
          <w:tcPr>
            <w:tcBorders/>
            <w:tcW w:w="1377" w:type="dxa"/>
          </w:tcPr>
          <w:p>
            <w:pPr>
              <w:pBdr/>
              <w:spacing/>
              <w:ind/>
              <w:jc w:val="center"/>
              <w:rPr/>
            </w:pPr>
            <w:r>
              <w:rPr>
                <w:rFonts w:ascii="Times New Roman" w:hAnsi="Times New Roman"/>
                <w:b w:val="0"/>
                <w:i w:val="0"/>
                <w:sz w:val="16"/>
              </w:rPr>
              <w:t xml:space="preserve">0.719</w:t>
            </w:r>
            <w:r/>
          </w:p>
        </w:tc>
        <w:tc>
          <w:tcPr>
            <w:tcBorders/>
            <w:tcW w:w="1377" w:type="dxa"/>
          </w:tcPr>
          <w:p>
            <w:pPr>
              <w:pBdr/>
              <w:spacing/>
              <w:ind/>
              <w:jc w:val="center"/>
              <w:rPr/>
            </w:pPr>
            <w:r>
              <w:rPr>
                <w:rFonts w:ascii="Times New Roman" w:hAnsi="Times New Roman"/>
                <w:b w:val="0"/>
                <w:i w:val="0"/>
                <w:sz w:val="16"/>
              </w:rPr>
              <w:t xml:space="preserve">6.97</w:t>
            </w:r>
            <w:r/>
          </w:p>
        </w:tc>
        <w:tc>
          <w:tcPr>
            <w:tcBorders/>
            <w:tcW w:w="1377" w:type="dxa"/>
          </w:tcPr>
          <w:p>
            <w:pPr>
              <w:pBdr/>
              <w:spacing/>
              <w:ind/>
              <w:jc w:val="center"/>
              <w:rPr/>
            </w:pPr>
            <w:r>
              <w:rPr>
                <w:rFonts w:ascii="Times New Roman" w:hAnsi="Times New Roman"/>
                <w:b w:val="0"/>
                <w:i w:val="0"/>
                <w:sz w:val="16"/>
              </w:rPr>
              <w:t xml:space="preserve">0.3</w:t>
            </w:r>
            <w:r/>
          </w:p>
        </w:tc>
      </w:tr>
      <w:tr>
        <w:trPr/>
        <w:tc>
          <w:tcPr>
            <w:tcBorders/>
            <w:tcW w:w="1377" w:type="dxa"/>
          </w:tcPr>
          <w:p>
            <w:pPr>
              <w:pBdr/>
              <w:spacing/>
              <w:ind/>
              <w:jc w:val="center"/>
              <w:rPr/>
            </w:pPr>
            <w:r>
              <w:rPr>
                <w:rFonts w:ascii="Times New Roman" w:hAnsi="Times New Roman"/>
                <w:b w:val="0"/>
                <w:i w:val="0"/>
                <w:sz w:val="16"/>
              </w:rPr>
              <w:t xml:space="preserve">phi4:14b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0.753 (±.004)</w:t>
            </w:r>
            <w:r/>
          </w:p>
        </w:tc>
        <w:tc>
          <w:tcPr>
            <w:tcBorders/>
            <w:tcW w:w="1377" w:type="dxa"/>
          </w:tcPr>
          <w:p>
            <w:pPr>
              <w:pBdr/>
              <w:spacing/>
              <w:ind/>
              <w:jc w:val="center"/>
              <w:rPr/>
            </w:pPr>
            <w:r>
              <w:rPr>
                <w:rFonts w:ascii="Times New Roman" w:hAnsi="Times New Roman"/>
                <w:b w:val="0"/>
                <w:i w:val="0"/>
                <w:sz w:val="16"/>
              </w:rPr>
              <w:t xml:space="preserve">0.754 (±.002)</w:t>
            </w:r>
            <w:r/>
          </w:p>
        </w:tc>
        <w:tc>
          <w:tcPr>
            <w:tcBorders/>
            <w:tcW w:w="1377" w:type="dxa"/>
          </w:tcPr>
          <w:p>
            <w:pPr>
              <w:pBdr/>
              <w:spacing/>
              <w:ind/>
              <w:jc w:val="center"/>
              <w:rPr/>
            </w:pPr>
            <w:r>
              <w:rPr>
                <w:rFonts w:ascii="Times New Roman" w:hAnsi="Times New Roman"/>
                <w:b w:val="0"/>
                <w:i w:val="0"/>
                <w:sz w:val="16"/>
              </w:rPr>
              <w:t xml:space="preserve">0.696</w:t>
            </w:r>
            <w:r/>
          </w:p>
        </w:tc>
        <w:tc>
          <w:tcPr>
            <w:tcBorders/>
            <w:tcW w:w="1377" w:type="dxa"/>
          </w:tcPr>
          <w:p>
            <w:pPr>
              <w:pBdr/>
              <w:spacing/>
              <w:ind/>
              <w:jc w:val="center"/>
              <w:rPr/>
            </w:pPr>
            <w:r>
              <w:rPr>
                <w:rFonts w:ascii="Times New Roman" w:hAnsi="Times New Roman"/>
                <w:b w:val="0"/>
                <w:i w:val="0"/>
                <w:sz w:val="16"/>
              </w:rPr>
              <w:t xml:space="preserve">0.58</w:t>
            </w:r>
            <w:r/>
          </w:p>
        </w:tc>
        <w:tc>
          <w:tcPr>
            <w:tcBorders/>
            <w:tcW w:w="1377" w:type="dxa"/>
          </w:tcPr>
          <w:p>
            <w:pPr>
              <w:pBdr/>
              <w:spacing/>
              <w:ind/>
              <w:jc w:val="center"/>
              <w:rPr/>
            </w:pPr>
            <w:r>
              <w:rPr>
                <w:rFonts w:ascii="Times New Roman" w:hAnsi="Times New Roman"/>
                <w:b w:val="0"/>
                <w:i w:val="0"/>
                <w:sz w:val="16"/>
              </w:rPr>
              <w:t xml:space="preserve">0.0</w:t>
            </w:r>
            <w:r/>
          </w:p>
        </w:tc>
      </w:tr>
      <w:tr>
        <w:trPr/>
        <w:tc>
          <w:tcPr>
            <w:tcBorders/>
            <w:tcW w:w="1377" w:type="dxa"/>
          </w:tcPr>
          <w:p>
            <w:pPr>
              <w:pBdr/>
              <w:spacing/>
              <w:ind/>
              <w:jc w:val="center"/>
              <w:rPr/>
            </w:pPr>
            <w:r>
              <w:rPr>
                <w:rFonts w:ascii="Times New Roman" w:hAnsi="Times New Roman"/>
                <w:b w:val="0"/>
                <w:i w:val="0"/>
                <w:sz w:val="16"/>
              </w:rPr>
              <w:t xml:space="preserve">deepseek-r1:14b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0.746 (±.017)</w:t>
            </w:r>
            <w:r/>
          </w:p>
        </w:tc>
        <w:tc>
          <w:tcPr>
            <w:tcBorders/>
            <w:tcW w:w="1377" w:type="dxa"/>
          </w:tcPr>
          <w:p>
            <w:pPr>
              <w:pBdr/>
              <w:spacing/>
              <w:ind/>
              <w:jc w:val="center"/>
              <w:rPr/>
            </w:pPr>
            <w:r>
              <w:rPr>
                <w:rFonts w:ascii="Times New Roman" w:hAnsi="Times New Roman"/>
                <w:b w:val="0"/>
                <w:i w:val="0"/>
                <w:sz w:val="16"/>
              </w:rPr>
              <w:t xml:space="preserve">0.748 (±.015)</w:t>
            </w:r>
            <w:r/>
          </w:p>
        </w:tc>
        <w:tc>
          <w:tcPr>
            <w:tcBorders/>
            <w:tcW w:w="1377" w:type="dxa"/>
          </w:tcPr>
          <w:p>
            <w:pPr>
              <w:pBdr/>
              <w:spacing/>
              <w:ind/>
              <w:jc w:val="center"/>
              <w:rPr/>
            </w:pPr>
            <w:r>
              <w:rPr>
                <w:rFonts w:ascii="Times New Roman" w:hAnsi="Times New Roman"/>
                <w:b w:val="0"/>
                <w:i w:val="0"/>
                <w:sz w:val="16"/>
              </w:rPr>
              <w:t xml:space="preserve">0.700</w:t>
            </w:r>
            <w:r/>
          </w:p>
        </w:tc>
        <w:tc>
          <w:tcPr>
            <w:tcBorders/>
            <w:tcW w:w="1377" w:type="dxa"/>
          </w:tcPr>
          <w:p>
            <w:pPr>
              <w:pBdr/>
              <w:spacing/>
              <w:ind/>
              <w:jc w:val="center"/>
              <w:rPr/>
            </w:pPr>
            <w:r>
              <w:rPr>
                <w:rFonts w:ascii="Times New Roman" w:hAnsi="Times New Roman"/>
                <w:b w:val="0"/>
                <w:i w:val="0"/>
                <w:sz w:val="16"/>
              </w:rPr>
              <w:t xml:space="preserve">7.32</w:t>
            </w:r>
            <w:r/>
          </w:p>
        </w:tc>
        <w:tc>
          <w:tcPr>
            <w:tcBorders/>
            <w:tcW w:w="1377" w:type="dxa"/>
          </w:tcPr>
          <w:p>
            <w:pPr>
              <w:pBdr/>
              <w:spacing/>
              <w:ind/>
              <w:jc w:val="center"/>
              <w:rPr/>
            </w:pPr>
            <w:r>
              <w:rPr>
                <w:rFonts w:ascii="Times New Roman" w:hAnsi="Times New Roman"/>
                <w:b w:val="0"/>
                <w:i w:val="0"/>
                <w:sz w:val="16"/>
              </w:rPr>
              <w:t xml:space="preserve">0.3</w:t>
            </w:r>
            <w:r/>
          </w:p>
        </w:tc>
      </w:tr>
      <w:tr>
        <w:trPr/>
        <w:tc>
          <w:tcPr>
            <w:tcBorders/>
            <w:tcW w:w="1377" w:type="dxa"/>
          </w:tcPr>
          <w:p>
            <w:pPr>
              <w:pBdr/>
              <w:spacing/>
              <w:ind/>
              <w:jc w:val="center"/>
              <w:rPr/>
            </w:pPr>
            <w:r>
              <w:rPr>
                <w:rFonts w:ascii="Times New Roman" w:hAnsi="Times New Roman"/>
                <w:b w:val="0"/>
                <w:i w:val="0"/>
                <w:sz w:val="16"/>
              </w:rPr>
              <w:t xml:space="preserve">deepseek-r1:8b</w:t>
            </w:r>
            <w:r/>
          </w:p>
        </w:tc>
        <w:tc>
          <w:tcPr>
            <w:tcBorders/>
            <w:tcW w:w="1377" w:type="dxa"/>
          </w:tcPr>
          <w:p>
            <w:pPr>
              <w:pBdr/>
              <w:spacing/>
              <w:ind/>
              <w:jc w:val="center"/>
              <w:rPr/>
            </w:pPr>
            <w:r>
              <w:rPr>
                <w:rFonts w:ascii="Times New Roman" w:hAnsi="Times New Roman"/>
                <w:b w:val="0"/>
                <w:i w:val="0"/>
                <w:sz w:val="16"/>
              </w:rPr>
              <w:t xml:space="preserve">Reasoning</w:t>
            </w:r>
            <w:r/>
          </w:p>
        </w:tc>
        <w:tc>
          <w:tcPr>
            <w:tcBorders/>
            <w:tcW w:w="1377" w:type="dxa"/>
          </w:tcPr>
          <w:p>
            <w:pPr>
              <w:pBdr/>
              <w:spacing/>
              <w:ind/>
              <w:jc w:val="center"/>
              <w:rPr/>
            </w:pPr>
            <w:r>
              <w:rPr>
                <w:rFonts w:ascii="Times New Roman" w:hAnsi="Times New Roman"/>
                <w:b w:val="0"/>
                <w:i w:val="0"/>
                <w:sz w:val="16"/>
              </w:rPr>
              <w:t xml:space="preserve">0.738 (±.012)</w:t>
            </w:r>
            <w:r/>
          </w:p>
        </w:tc>
        <w:tc>
          <w:tcPr>
            <w:tcBorders/>
            <w:tcW w:w="1377" w:type="dxa"/>
          </w:tcPr>
          <w:p>
            <w:pPr>
              <w:pBdr/>
              <w:spacing/>
              <w:ind/>
              <w:jc w:val="center"/>
              <w:rPr/>
            </w:pPr>
            <w:r>
              <w:rPr>
                <w:rFonts w:ascii="Times New Roman" w:hAnsi="Times New Roman"/>
                <w:b w:val="0"/>
                <w:i w:val="0"/>
                <w:sz w:val="16"/>
              </w:rPr>
              <w:t xml:space="preserve">0.731 (±.011)</w:t>
            </w:r>
            <w:r/>
          </w:p>
        </w:tc>
        <w:tc>
          <w:tcPr>
            <w:tcBorders/>
            <w:tcW w:w="1377" w:type="dxa"/>
          </w:tcPr>
          <w:p>
            <w:pPr>
              <w:pBdr/>
              <w:spacing/>
              <w:ind/>
              <w:jc w:val="center"/>
              <w:rPr/>
            </w:pPr>
            <w:r>
              <w:rPr>
                <w:rFonts w:ascii="Times New Roman" w:hAnsi="Times New Roman"/>
                <w:b w:val="0"/>
                <w:i w:val="0"/>
                <w:sz w:val="16"/>
              </w:rPr>
              <w:t xml:space="preserve">0.677</w:t>
            </w:r>
            <w:r/>
          </w:p>
        </w:tc>
        <w:tc>
          <w:tcPr>
            <w:tcBorders/>
            <w:tcW w:w="1377" w:type="dxa"/>
          </w:tcPr>
          <w:p>
            <w:pPr>
              <w:pBdr/>
              <w:spacing/>
              <w:ind/>
              <w:jc w:val="center"/>
              <w:rPr/>
            </w:pPr>
            <w:r>
              <w:rPr>
                <w:rFonts w:ascii="Times New Roman" w:hAnsi="Times New Roman"/>
                <w:b w:val="0"/>
                <w:i w:val="0"/>
                <w:sz w:val="16"/>
              </w:rPr>
              <w:t xml:space="preserve">4.46</w:t>
            </w:r>
            <w:r/>
          </w:p>
        </w:tc>
        <w:tc>
          <w:tcPr>
            <w:tcBorders/>
            <w:tcW w:w="1377" w:type="dxa"/>
          </w:tcPr>
          <w:p>
            <w:pPr>
              <w:pBdr/>
              <w:spacing/>
              <w:ind/>
              <w:jc w:val="center"/>
              <w:rPr/>
            </w:pPr>
            <w:r>
              <w:rPr>
                <w:rFonts w:ascii="Times New Roman" w:hAnsi="Times New Roman"/>
                <w:b w:val="0"/>
                <w:i w:val="0"/>
                <w:sz w:val="16"/>
              </w:rPr>
              <w:t xml:space="preserve">2.3</w:t>
            </w:r>
            <w:r/>
          </w:p>
        </w:tc>
      </w:tr>
      <w:tr>
        <w:trPr/>
        <w:tc>
          <w:tcPr>
            <w:tcBorders/>
            <w:tcW w:w="1377" w:type="dxa"/>
          </w:tcPr>
          <w:p>
            <w:pPr>
              <w:pBdr/>
              <w:spacing/>
              <w:ind/>
              <w:jc w:val="center"/>
              <w:rPr/>
            </w:pPr>
            <w:r>
              <w:rPr>
                <w:rFonts w:ascii="Times New Roman" w:hAnsi="Times New Roman"/>
                <w:b w:val="0"/>
                <w:i w:val="0"/>
                <w:sz w:val="16"/>
              </w:rPr>
              <w:t xml:space="preserve">gemma2:9b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0.720 (±.012)</w:t>
            </w:r>
            <w:r/>
          </w:p>
        </w:tc>
        <w:tc>
          <w:tcPr>
            <w:tcBorders/>
            <w:tcW w:w="1377" w:type="dxa"/>
          </w:tcPr>
          <w:p>
            <w:pPr>
              <w:pBdr/>
              <w:spacing/>
              <w:ind/>
              <w:jc w:val="center"/>
              <w:rPr/>
            </w:pPr>
            <w:r>
              <w:rPr>
                <w:rFonts w:ascii="Times New Roman" w:hAnsi="Times New Roman"/>
                <w:b w:val="0"/>
                <w:i w:val="0"/>
                <w:sz w:val="16"/>
              </w:rPr>
              <w:t xml:space="preserve">0.719 (±.014)</w:t>
            </w:r>
            <w:r/>
          </w:p>
        </w:tc>
        <w:tc>
          <w:tcPr>
            <w:tcBorders/>
            <w:tcW w:w="1377" w:type="dxa"/>
          </w:tcPr>
          <w:p>
            <w:pPr>
              <w:pBdr/>
              <w:spacing/>
              <w:ind/>
              <w:jc w:val="center"/>
              <w:rPr/>
            </w:pPr>
            <w:r>
              <w:rPr>
                <w:rFonts w:ascii="Times New Roman" w:hAnsi="Times New Roman"/>
                <w:b w:val="0"/>
                <w:i w:val="0"/>
                <w:sz w:val="16"/>
              </w:rPr>
              <w:t xml:space="preserve">0.656</w:t>
            </w:r>
            <w:r/>
          </w:p>
        </w:tc>
        <w:tc>
          <w:tcPr>
            <w:tcBorders/>
            <w:tcW w:w="1377" w:type="dxa"/>
          </w:tcPr>
          <w:p>
            <w:pPr>
              <w:pBdr/>
              <w:spacing/>
              <w:ind/>
              <w:jc w:val="center"/>
              <w:rPr/>
            </w:pPr>
            <w:r>
              <w:rPr>
                <w:rFonts w:ascii="Times New Roman" w:hAnsi="Times New Roman"/>
                <w:b w:val="0"/>
                <w:i w:val="0"/>
                <w:sz w:val="16"/>
              </w:rPr>
              <w:t xml:space="preserve">0.67</w:t>
            </w:r>
            <w:r/>
          </w:p>
        </w:tc>
        <w:tc>
          <w:tcPr>
            <w:tcBorders/>
            <w:tcW w:w="1377" w:type="dxa"/>
          </w:tcPr>
          <w:p>
            <w:pPr>
              <w:pBdr/>
              <w:spacing/>
              <w:ind/>
              <w:jc w:val="center"/>
              <w:rPr/>
            </w:pPr>
            <w:r>
              <w:rPr>
                <w:rFonts w:ascii="Times New Roman" w:hAnsi="Times New Roman"/>
                <w:b w:val="0"/>
                <w:i w:val="0"/>
                <w:sz w:val="16"/>
              </w:rPr>
              <w:t xml:space="preserve">0.3</w:t>
            </w:r>
            <w:r/>
          </w:p>
        </w:tc>
      </w:tr>
      <w:tr>
        <w:trPr/>
        <w:tc>
          <w:tcPr>
            <w:tcBorders/>
            <w:tcW w:w="1377" w:type="dxa"/>
          </w:tcPr>
          <w:p>
            <w:pPr>
              <w:pBdr/>
              <w:spacing/>
              <w:ind/>
              <w:jc w:val="center"/>
              <w:rPr/>
            </w:pPr>
            <w:r>
              <w:rPr>
                <w:rFonts w:ascii="Times New Roman" w:hAnsi="Times New Roman"/>
                <w:b w:val="0"/>
                <w:i w:val="0"/>
                <w:sz w:val="16"/>
              </w:rPr>
              <w:t xml:space="preserve">mistral-nemo:12b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0.653 (±.011)</w:t>
            </w:r>
            <w:r/>
          </w:p>
        </w:tc>
        <w:tc>
          <w:tcPr>
            <w:tcBorders/>
            <w:tcW w:w="1377" w:type="dxa"/>
          </w:tcPr>
          <w:p>
            <w:pPr>
              <w:pBdr/>
              <w:spacing/>
              <w:ind/>
              <w:jc w:val="center"/>
              <w:rPr/>
            </w:pPr>
            <w:r>
              <w:rPr>
                <w:rFonts w:ascii="Times New Roman" w:hAnsi="Times New Roman"/>
                <w:b w:val="0"/>
                <w:i w:val="0"/>
                <w:sz w:val="16"/>
              </w:rPr>
              <w:t xml:space="preserve">0.641 (±.013)</w:t>
            </w:r>
            <w:r/>
          </w:p>
        </w:tc>
        <w:tc>
          <w:tcPr>
            <w:tcBorders/>
            <w:tcW w:w="1377" w:type="dxa"/>
          </w:tcPr>
          <w:p>
            <w:pPr>
              <w:pBdr/>
              <w:spacing/>
              <w:ind/>
              <w:jc w:val="center"/>
              <w:rPr/>
            </w:pPr>
            <w:r>
              <w:rPr>
                <w:rFonts w:ascii="Times New Roman" w:hAnsi="Times New Roman"/>
                <w:b w:val="0"/>
                <w:i w:val="0"/>
                <w:sz w:val="16"/>
              </w:rPr>
              <w:t xml:space="preserve">0.538</w:t>
            </w:r>
            <w:r/>
          </w:p>
        </w:tc>
        <w:tc>
          <w:tcPr>
            <w:tcBorders/>
            <w:tcW w:w="1377" w:type="dxa"/>
          </w:tcPr>
          <w:p>
            <w:pPr>
              <w:pBdr/>
              <w:spacing/>
              <w:ind/>
              <w:jc w:val="center"/>
              <w:rPr/>
            </w:pPr>
            <w:r>
              <w:rPr>
                <w:rFonts w:ascii="Times New Roman" w:hAnsi="Times New Roman"/>
                <w:b w:val="0"/>
                <w:i w:val="0"/>
                <w:sz w:val="16"/>
              </w:rPr>
              <w:t xml:space="preserve">0.59</w:t>
            </w:r>
            <w:r/>
          </w:p>
        </w:tc>
        <w:tc>
          <w:tcPr>
            <w:tcBorders/>
            <w:tcW w:w="1377" w:type="dxa"/>
          </w:tcPr>
          <w:p>
            <w:pPr>
              <w:pBdr/>
              <w:spacing/>
              <w:ind/>
              <w:jc w:val="center"/>
              <w:rPr/>
            </w:pPr>
            <w:r>
              <w:rPr>
                <w:rFonts w:ascii="Times New Roman" w:hAnsi="Times New Roman"/>
                <w:b w:val="0"/>
                <w:i w:val="0"/>
                <w:sz w:val="16"/>
              </w:rPr>
              <w:t xml:space="preserve">0.7</w:t>
            </w:r>
            <w:r/>
          </w:p>
        </w:tc>
      </w:tr>
      <w:tr>
        <w:trPr/>
        <w:tc>
          <w:tcPr>
            <w:tcBorders/>
            <w:tcW w:w="1377" w:type="dxa"/>
          </w:tcPr>
          <w:p>
            <w:pPr>
              <w:pBdr/>
              <w:spacing/>
              <w:ind/>
              <w:jc w:val="center"/>
              <w:rPr/>
            </w:pPr>
            <w:r>
              <w:rPr>
                <w:rFonts w:ascii="Times New Roman" w:hAnsi="Times New Roman"/>
                <w:b w:val="0"/>
                <w:i w:val="0"/>
                <w:sz w:val="16"/>
              </w:rPr>
              <w:t xml:space="preserve">mistral:7b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0.649 (±.010)</w:t>
            </w:r>
            <w:r/>
          </w:p>
        </w:tc>
        <w:tc>
          <w:tcPr>
            <w:tcBorders/>
            <w:tcW w:w="1377" w:type="dxa"/>
          </w:tcPr>
          <w:p>
            <w:pPr>
              <w:pBdr/>
              <w:spacing/>
              <w:ind/>
              <w:jc w:val="center"/>
              <w:rPr/>
            </w:pPr>
            <w:r>
              <w:rPr>
                <w:rFonts w:ascii="Times New Roman" w:hAnsi="Times New Roman"/>
                <w:b w:val="0"/>
                <w:i w:val="0"/>
                <w:sz w:val="16"/>
              </w:rPr>
              <w:t xml:space="preserve">0.661 (±.010)</w:t>
            </w:r>
            <w:r/>
          </w:p>
        </w:tc>
        <w:tc>
          <w:tcPr>
            <w:tcBorders/>
            <w:tcW w:w="1377" w:type="dxa"/>
          </w:tcPr>
          <w:p>
            <w:pPr>
              <w:pBdr/>
              <w:spacing/>
              <w:ind/>
              <w:jc w:val="center"/>
              <w:rPr/>
            </w:pPr>
            <w:r>
              <w:rPr>
                <w:rFonts w:ascii="Times New Roman" w:hAnsi="Times New Roman"/>
                <w:b w:val="0"/>
                <w:i w:val="0"/>
                <w:sz w:val="16"/>
              </w:rPr>
              <w:t xml:space="preserve">0.566</w:t>
            </w:r>
            <w:r/>
          </w:p>
        </w:tc>
        <w:tc>
          <w:tcPr>
            <w:tcBorders/>
            <w:tcW w:w="1377" w:type="dxa"/>
          </w:tcPr>
          <w:p>
            <w:pPr>
              <w:pBdr/>
              <w:spacing/>
              <w:ind/>
              <w:jc w:val="center"/>
              <w:rPr/>
            </w:pPr>
            <w:r>
              <w:rPr>
                <w:rFonts w:ascii="Times New Roman" w:hAnsi="Times New Roman"/>
                <w:b w:val="0"/>
                <w:i w:val="0"/>
                <w:sz w:val="16"/>
              </w:rPr>
              <w:t xml:space="preserve">0.23</w:t>
            </w:r>
            <w:r/>
          </w:p>
        </w:tc>
        <w:tc>
          <w:tcPr>
            <w:tcBorders/>
            <w:tcW w:w="1377" w:type="dxa"/>
          </w:tcPr>
          <w:p>
            <w:pPr>
              <w:pBdr/>
              <w:spacing/>
              <w:ind/>
              <w:jc w:val="center"/>
              <w:rPr/>
            </w:pPr>
            <w:r>
              <w:rPr>
                <w:rFonts w:ascii="Times New Roman" w:hAnsi="Times New Roman"/>
                <w:b w:val="0"/>
                <w:i w:val="0"/>
                <w:sz w:val="16"/>
              </w:rPr>
              <w:t xml:space="preserve">42.3</w:t>
            </w:r>
            <w:r/>
          </w:p>
        </w:tc>
      </w:tr>
      <w:tr>
        <w:trPr/>
        <w:tc>
          <w:tcPr>
            <w:tcBorders/>
            <w:tcW w:w="1377" w:type="dxa"/>
          </w:tcPr>
          <w:p>
            <w:pPr>
              <w:pBdr/>
              <w:spacing/>
              <w:ind/>
              <w:jc w:val="center"/>
              <w:rPr/>
            </w:pPr>
            <w:r>
              <w:rPr>
                <w:rFonts w:ascii="Times New Roman" w:hAnsi="Times New Roman"/>
                <w:b w:val="0"/>
                <w:i w:val="0"/>
                <w:sz w:val="16"/>
              </w:rPr>
              <w:t xml:space="preserve">llama3.1:8b</w:t>
            </w:r>
            <w:r/>
          </w:p>
        </w:tc>
        <w:tc>
          <w:tcPr>
            <w:tcBorders/>
            <w:tcW w:w="1377" w:type="dxa"/>
          </w:tcPr>
          <w:p>
            <w:pPr>
              <w:pBdr/>
              <w:spacing/>
              <w:ind/>
              <w:jc w:val="center"/>
              <w:rPr/>
            </w:pPr>
            <w:r>
              <w:rPr>
                <w:rFonts w:ascii="Times New Roman" w:hAnsi="Times New Roman"/>
                <w:b w:val="0"/>
                <w:i w:val="0"/>
                <w:sz w:val="16"/>
              </w:rPr>
              <w:t xml:space="preserve">Standard</w:t>
            </w:r>
            <w:r/>
          </w:p>
        </w:tc>
        <w:tc>
          <w:tcPr>
            <w:tcBorders/>
            <w:tcW w:w="1377" w:type="dxa"/>
          </w:tcPr>
          <w:p>
            <w:pPr>
              <w:pBdr/>
              <w:spacing/>
              <w:ind/>
              <w:jc w:val="center"/>
              <w:rPr/>
            </w:pPr>
            <w:r>
              <w:rPr>
                <w:rFonts w:ascii="Times New Roman" w:hAnsi="Times New Roman"/>
                <w:b w:val="0"/>
                <w:i w:val="0"/>
                <w:sz w:val="16"/>
              </w:rPr>
              <w:t xml:space="preserve">0.632 (±.006)</w:t>
            </w:r>
            <w:r/>
          </w:p>
        </w:tc>
        <w:tc>
          <w:tcPr>
            <w:tcBorders/>
            <w:tcW w:w="1377" w:type="dxa"/>
          </w:tcPr>
          <w:p>
            <w:pPr>
              <w:pBdr/>
              <w:spacing/>
              <w:ind/>
              <w:jc w:val="center"/>
              <w:rPr/>
            </w:pPr>
            <w:r>
              <w:rPr>
                <w:rFonts w:ascii="Times New Roman" w:hAnsi="Times New Roman"/>
                <w:b w:val="0"/>
                <w:i w:val="0"/>
                <w:sz w:val="16"/>
              </w:rPr>
              <w:t xml:space="preserve">0.647 (±.012)</w:t>
            </w:r>
            <w:r/>
          </w:p>
        </w:tc>
        <w:tc>
          <w:tcPr>
            <w:tcBorders/>
            <w:tcW w:w="1377" w:type="dxa"/>
          </w:tcPr>
          <w:p>
            <w:pPr>
              <w:pBdr/>
              <w:spacing/>
              <w:ind/>
              <w:jc w:val="center"/>
              <w:rPr/>
            </w:pPr>
            <w:r>
              <w:rPr>
                <w:rFonts w:ascii="Times New Roman" w:hAnsi="Times New Roman"/>
                <w:b w:val="0"/>
                <w:i w:val="0"/>
                <w:sz w:val="16"/>
              </w:rPr>
              <w:t xml:space="preserve">0.564</w:t>
            </w:r>
            <w:r/>
          </w:p>
        </w:tc>
        <w:tc>
          <w:tcPr>
            <w:tcBorders/>
            <w:tcW w:w="1377" w:type="dxa"/>
          </w:tcPr>
          <w:p>
            <w:pPr>
              <w:pBdr/>
              <w:spacing/>
              <w:ind/>
              <w:jc w:val="center"/>
              <w:rPr/>
            </w:pPr>
            <w:r>
              <w:rPr>
                <w:rFonts w:ascii="Times New Roman" w:hAnsi="Times New Roman"/>
                <w:b w:val="0"/>
                <w:i w:val="0"/>
                <w:sz w:val="16"/>
              </w:rPr>
              <w:t xml:space="preserve">0.56</w:t>
            </w:r>
            <w:r/>
          </w:p>
        </w:tc>
        <w:tc>
          <w:tcPr>
            <w:tcBorders/>
            <w:tcW w:w="1377" w:type="dxa"/>
          </w:tcPr>
          <w:p>
            <w:pPr>
              <w:pBdr/>
              <w:spacing/>
              <w:ind/>
              <w:jc w:val="center"/>
              <w:rPr/>
            </w:pPr>
            <w:r>
              <w:rPr>
                <w:rFonts w:ascii="Times New Roman" w:hAnsi="Times New Roman"/>
                <w:b w:val="0"/>
                <w:i w:val="0"/>
                <w:sz w:val="16"/>
              </w:rPr>
              <w:t xml:space="preserve">57.3</w:t>
            </w:r>
            <w:r/>
          </w:p>
        </w:tc>
      </w:tr>
    </w:tbl>
    <w:p>
      <w:pPr>
        <w:pBdr/>
        <w:spacing w:after="100" w:before="40"/>
        <w:ind/>
        <w:jc w:val="left"/>
        <w:rPr/>
      </w:pPr>
      <w:r>
        <w:rPr>
          <w:rFonts w:ascii="Times New Roman" w:hAnsi="Times New Roman"/>
          <w:b w:val="0"/>
          <w:i/>
          <w:sz w:val="16"/>
        </w:rPr>
        <w:t xml:space="preserve">F1w: weighted F1; F1m: macro F1; Lat.: mean latency per prediction.</w:t>
      </w:r>
      <w:r/>
    </w:p>
    <w:p>
      <w:pPr>
        <w:pBdr/>
        <w:spacing w:after="100" w:before="100"/>
        <w:ind w:firstLine="283"/>
        <w:jc w:val="both"/>
        <w:rPr/>
      </w:pPr>
      <w:r>
        <w:rPr>
          <w:rFonts w:ascii="Times New Roman" w:hAnsi="Times New Roman"/>
          <w:b w:val="0"/>
          <w:i w:val="0"/>
          <w:sz w:val="20"/>
        </w:rPr>
        <w:t xml:space="preserve">The relative model ranking is broadly preserved compared to Experiment A, with one notable reordering: gpt-oss:20b reclaims the top position while gemma4:12b drops to second. The macro-F1 column makes t</w:t>
      </w:r>
      <w:r>
        <w:rPr>
          <w:rFonts w:ascii="Times New Roman" w:hAnsi="Times New Roman"/>
          <w:b w:val="0"/>
          <w:i w:val="0"/>
          <w:sz w:val="20"/>
        </w:rPr>
        <w:t xml:space="preserve">he imbalance effect visible: gpt-oss:20b has weighted F1 0.783 but macro-F1 0.740, while llama3.1:8b has weighted F1 0.647 but macro-F1 0.564. The gap shows that weighted metrics substantially overstate minority-class performance in the imbalanced setting.</w:t>
      </w:r>
      <w:r/>
    </w:p>
    <w:p>
      <w:pPr>
        <w:pBdr/>
        <w:spacing w:after="100" w:before="100"/>
        <w:ind/>
        <w:jc w:val="left"/>
        <w:rPr/>
      </w:pPr>
      <w:r>
        <w:rPr>
          <w:rFonts w:ascii="Times New Roman" w:hAnsi="Times New Roman"/>
          <w:b w:val="0"/>
          <w:i/>
          <w:sz w:val="20"/>
        </w:rPr>
        <w:t xml:space="preserve">5.3. Cross-Experiment Comparison</w:t>
      </w:r>
      <w:r/>
    </w:p>
    <w:p>
      <w:pPr>
        <w:pBdr/>
        <w:spacing w:after="100" w:before="100"/>
        <w:ind w:firstLine="283"/>
        <w:jc w:val="both"/>
        <w:rPr/>
      </w:pPr>
      <w:r>
        <w:rPr>
          <w:rFonts w:ascii="Times New Roman" w:hAnsi="Times New Roman"/>
          <w:b w:val="0"/>
          <w:i w:val="0"/>
          <w:sz w:val="20"/>
        </w:rPr>
        <w:t xml:space="preserve">Figure 5 provides a side-by-side view of accuracy across both experiments. All models improve numerically from Experiment A to Experiment B; the shift is most pronounced for mistral:7b (+0.055 accuracy) and llama3.1:8b (+0.054 accuracy), the two mo</w:t>
      </w:r>
      <w:r>
        <w:rPr>
          <w:rFonts w:ascii="Times New Roman" w:hAnsi="Times New Roman"/>
          <w:b w:val="0"/>
          <w:i w:val="0"/>
          <w:sz w:val="20"/>
        </w:rPr>
        <w:t xml:space="preserve">dels with the highest off-label counts. mistral-nemo:12b improves by +0.094 accuracy - the largest gain of all eleven models - confirming that its Experiment A result reflects failure to maintain balanced classification rather than a model-quality ceiling.</w:t>
      </w:r>
      <w:r/>
    </w:p>
    <w:p>
      <w:pPr>
        <w:pBdr/>
        <w:spacing w:after="40" w:before="100"/>
        <w:ind/>
        <w:jc w:val="center"/>
        <w:rPr/>
      </w:pPr>
      <w:r>
        <mc:AlternateContent>
          <mc:Choice Requires="wpg">
            <w:drawing>
              <wp:inline xmlns:wp="http://schemas.openxmlformats.org/drawingml/2006/wordprocessingDrawing" distT="0" distB="0" distL="0" distR="0">
                <wp:extent cx="5040000" cy="21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A_vs_B.png"/>
                        <pic:cNvPicPr>
                          <a:picLocks noChangeAspect="1"/>
                        </pic:cNvPicPr>
                        <pic:nvPr/>
                      </pic:nvPicPr>
                      <pic:blipFill rotWithShape="1">
                        <a:blip r:embed="rId16"/>
                        <a:stretch/>
                      </pic:blipFill>
                      <pic:spPr bwMode="auto">
                        <a:xfrm>
                          <a:off x="0" y="0"/>
                          <a:ext cx="5040000" cy="21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85pt;height:165.35pt;mso-wrap-distance-left:0.00pt;mso-wrap-distance-top:0.00pt;mso-wrap-distance-right:0.00pt;mso-wrap-distance-bottom:0.00pt;z-index:1;" stroked="false">
                <v:imagedata r:id="rId16" o:title=""/>
                <o:lock v:ext="edit" rotation="t"/>
              </v:shape>
            </w:pict>
          </mc:Fallback>
        </mc:AlternateContent>
      </w:r>
      <w:r/>
    </w:p>
    <w:p>
      <w:pPr>
        <w:pBdr/>
        <w:spacing w:after="100" w:before="40"/>
        <w:ind/>
        <w:jc w:val="center"/>
        <w:rPr/>
      </w:pPr>
      <w:r>
        <w:rPr>
          <w:rFonts w:ascii="Times New Roman" w:hAnsi="Times New Roman"/>
          <w:b w:val="0"/>
          <w:i w:val="0"/>
          <w:sz w:val="20"/>
        </w:rPr>
        <w:t xml:space="preserve">Figure 5. Side-by-side comparison of accuracy (mean +/- std, 3 seeds) across Experiment A (Balanced, blue) and Experiment B (Imbalanced, red) for all models (N=1,000). The dashed reference line marks the best published paid-API result (o1, 0.777).</w:t>
      </w:r>
      <w:r/>
    </w:p>
    <w:p>
      <w:pPr>
        <w:pBdr/>
        <w:spacing w:after="100" w:before="100"/>
        <w:ind/>
        <w:jc w:val="left"/>
        <w:rPr/>
      </w:pPr>
      <w:r>
        <w:rPr>
          <w:rFonts w:ascii="Times New Roman" w:hAnsi="Times New Roman"/>
          <w:b w:val="0"/>
          <w:i/>
          <w:sz w:val="20"/>
        </w:rPr>
        <w:t xml:space="preserve">5.4. Comparison with Paid-API Baselines</w:t>
      </w:r>
      <w:r/>
    </w:p>
    <w:p>
      <w:pPr>
        <w:pBdr/>
        <w:spacing w:after="100" w:before="100"/>
        <w:ind w:firstLine="283"/>
        <w:jc w:val="both"/>
        <w:rPr/>
      </w:pPr>
      <w:r>
        <w:rPr>
          <w:rFonts w:ascii="Times New Roman" w:hAnsi="Times New Roman"/>
          <w:b w:val="0"/>
          <w:i w:val="0"/>
          <w:sz w:val="20"/>
        </w:rPr>
        <w:t xml:space="preserve">Figure 6 compares all eleven open-source models with the five best reported results f</w:t>
      </w:r>
      <w:r>
        <w:rPr>
          <w:rFonts w:ascii="Times New Roman" w:hAnsi="Times New Roman"/>
          <w:b w:val="0"/>
          <w:i w:val="0"/>
          <w:sz w:val="20"/>
        </w:rPr>
        <w:t xml:space="preserve">rom Roumeliotis et al. [13]. Table 4 summarises the key comparison points. Our best model, gemma4:12b, achieves mean accuracy 0.774 +/- 0.017 and F1 0.774 +/- 0.016 - performance competitive with paid GPT-4.5 (F1 0.7763) and o1 (F1 0.7764) under the matche</w:t>
      </w:r>
      <w:r>
        <w:rPr>
          <w:rFonts w:ascii="Times New Roman" w:hAnsi="Times New Roman"/>
          <w:b w:val="0"/>
          <w:i w:val="0"/>
          <w:sz w:val="20"/>
        </w:rPr>
        <w:t xml:space="preserve">d evaluation protocol, with no commercial API expenditure. qwen3:14b (F1 0.750) and gpt-oss:20b (F1 0.749) both exceed the paid GPT-4o baseline (0.7358). The cost differential is stark: o1 costs $24.24 per thousand predictions versus $0 for all our models.</w:t>
      </w:r>
      <w:r/>
    </w:p>
    <w:p>
      <w:pPr>
        <w:pBdr/>
        <w:spacing w:after="40" w:before="100"/>
        <w:ind/>
        <w:jc w:val="center"/>
        <w:rPr/>
      </w:pPr>
      <w:r>
        <w:rPr>
          <w:rFonts w:ascii="Times New Roman" w:hAnsi="Times New Roman"/>
          <w:b w:val="0"/>
          <w:i w:val="0"/>
          <w:sz w:val="20"/>
        </w:rPr>
        <w:t xml:space="preserve">Table 4. Zero-Shot Performance vs. API Cost (Balanced, N=1,000). Commercial API figures are from [13]. *No commercial API expenditure.</w:t>
      </w:r>
      <w:r/>
    </w:p>
    <w:tbl>
      <w:tblPr>
        <w:tblStyle w:val="934"/>
        <w:jc w:val="center"/>
        <w:tblW w:w="0" w:type="auto"/>
        <w:tblBorders/>
        <w:tblLook w:val="04A0" w:firstRow="1" w:lastRow="0" w:firstColumn="1" w:lastColumn="0" w:noHBand="0" w:noVBand="1"/>
      </w:tblPr>
      <w:tblGrid>
        <w:gridCol w:w="2409"/>
        <w:gridCol w:w="2409"/>
        <w:gridCol w:w="2409"/>
        <w:gridCol w:w="2409"/>
      </w:tblGrid>
      <w:tr>
        <w:trPr/>
        <w:tc>
          <w:tcPr>
            <w:tcBorders/>
            <w:tcW w:w="2409" w:type="dxa"/>
          </w:tcPr>
          <w:p>
            <w:pPr>
              <w:pBdr/>
              <w:spacing/>
              <w:ind/>
              <w:jc w:val="center"/>
              <w:rPr/>
            </w:pPr>
            <w:r>
              <w:rPr>
                <w:rFonts w:ascii="Times New Roman" w:hAnsi="Times New Roman"/>
                <w:b/>
                <w:i w:val="0"/>
                <w:sz w:val="16"/>
              </w:rPr>
              <w:t xml:space="preserve">Model</w:t>
            </w:r>
            <w:r/>
          </w:p>
        </w:tc>
        <w:tc>
          <w:tcPr>
            <w:tcBorders/>
            <w:tcW w:w="2409" w:type="dxa"/>
          </w:tcPr>
          <w:p>
            <w:pPr>
              <w:pBdr/>
              <w:spacing/>
              <w:ind/>
              <w:jc w:val="center"/>
              <w:rPr/>
            </w:pPr>
            <w:r>
              <w:rPr>
                <w:rFonts w:ascii="Times New Roman" w:hAnsi="Times New Roman"/>
                <w:b/>
                <w:i w:val="0"/>
                <w:sz w:val="16"/>
              </w:rPr>
              <w:t xml:space="preserve">Source</w:t>
            </w:r>
            <w:r/>
          </w:p>
        </w:tc>
        <w:tc>
          <w:tcPr>
            <w:tcBorders/>
            <w:tcW w:w="2409" w:type="dxa"/>
          </w:tcPr>
          <w:p>
            <w:pPr>
              <w:pBdr/>
              <w:spacing/>
              <w:ind/>
              <w:jc w:val="center"/>
              <w:rPr/>
            </w:pPr>
            <w:r>
              <w:rPr>
                <w:rFonts w:ascii="Times New Roman" w:hAnsi="Times New Roman"/>
                <w:b/>
                <w:i w:val="0"/>
                <w:sz w:val="16"/>
              </w:rPr>
              <w:t xml:space="preserve">Accuracy</w:t>
            </w:r>
            <w:r/>
          </w:p>
        </w:tc>
        <w:tc>
          <w:tcPr>
            <w:tcBorders/>
            <w:tcW w:w="2409" w:type="dxa"/>
          </w:tcPr>
          <w:p>
            <w:pPr>
              <w:pBdr/>
              <w:spacing/>
              <w:ind/>
              <w:jc w:val="center"/>
              <w:rPr/>
            </w:pPr>
            <w:r>
              <w:rPr>
                <w:rFonts w:ascii="Times New Roman" w:hAnsi="Times New Roman"/>
                <w:b/>
                <w:i w:val="0"/>
                <w:sz w:val="16"/>
              </w:rPr>
              <w:t xml:space="preserve">F1 / API Cost per 1k</w:t>
            </w:r>
            <w:r/>
          </w:p>
        </w:tc>
      </w:tr>
      <w:tr>
        <w:trPr/>
        <w:tc>
          <w:tcPr>
            <w:tcBorders/>
            <w:tcW w:w="2409" w:type="dxa"/>
          </w:tcPr>
          <w:p>
            <w:pPr>
              <w:pBdr/>
              <w:spacing/>
              <w:ind/>
              <w:jc w:val="center"/>
              <w:rPr/>
            </w:pPr>
            <w:r>
              <w:rPr>
                <w:rFonts w:ascii="Times New Roman" w:hAnsi="Times New Roman"/>
                <w:b w:val="0"/>
                <w:i w:val="0"/>
                <w:sz w:val="16"/>
              </w:rPr>
              <w:t xml:space="preserve">o1</w:t>
            </w:r>
            <w:r/>
          </w:p>
        </w:tc>
        <w:tc>
          <w:tcPr>
            <w:tcBorders/>
            <w:tcW w:w="2409" w:type="dxa"/>
          </w:tcPr>
          <w:p>
            <w:pPr>
              <w:pBdr/>
              <w:spacing/>
              <w:ind/>
              <w:jc w:val="center"/>
              <w:rPr/>
            </w:pPr>
            <w:r>
              <w:rPr>
                <w:rFonts w:ascii="Times New Roman" w:hAnsi="Times New Roman"/>
                <w:b w:val="0"/>
                <w:i w:val="0"/>
                <w:sz w:val="16"/>
              </w:rPr>
              <w:t xml:space="preserve">Paid API</w:t>
            </w:r>
            <w:r/>
          </w:p>
        </w:tc>
        <w:tc>
          <w:tcPr>
            <w:tcBorders/>
            <w:tcW w:w="2409" w:type="dxa"/>
          </w:tcPr>
          <w:p>
            <w:pPr>
              <w:pBdr/>
              <w:spacing/>
              <w:ind/>
              <w:jc w:val="center"/>
              <w:rPr/>
            </w:pPr>
            <w:r>
              <w:rPr>
                <w:rFonts w:ascii="Times New Roman" w:hAnsi="Times New Roman"/>
                <w:b w:val="0"/>
                <w:i w:val="0"/>
                <w:sz w:val="16"/>
              </w:rPr>
              <w:t xml:space="preserve">0.777</w:t>
            </w:r>
            <w:r/>
          </w:p>
        </w:tc>
        <w:tc>
          <w:tcPr>
            <w:tcBorders/>
            <w:tcW w:w="2409" w:type="dxa"/>
          </w:tcPr>
          <w:p>
            <w:pPr>
              <w:pBdr/>
              <w:spacing/>
              <w:ind/>
              <w:jc w:val="center"/>
              <w:rPr/>
            </w:pPr>
            <w:r>
              <w:rPr>
                <w:rFonts w:ascii="Times New Roman" w:hAnsi="Times New Roman"/>
                <w:b w:val="0"/>
                <w:i w:val="0"/>
                <w:sz w:val="16"/>
              </w:rPr>
              <w:t xml:space="preserve">0.7764 / $24.24</w:t>
            </w:r>
            <w:r/>
          </w:p>
        </w:tc>
      </w:tr>
      <w:tr>
        <w:trPr/>
        <w:tc>
          <w:tcPr>
            <w:tcBorders/>
            <w:tcW w:w="2409" w:type="dxa"/>
          </w:tcPr>
          <w:p>
            <w:pPr>
              <w:pBdr/>
              <w:spacing/>
              <w:ind/>
              <w:jc w:val="center"/>
              <w:rPr/>
            </w:pPr>
            <w:r>
              <w:rPr>
                <w:rFonts w:ascii="Times New Roman" w:hAnsi="Times New Roman"/>
                <w:b w:val="0"/>
                <w:i w:val="0"/>
                <w:sz w:val="16"/>
              </w:rPr>
              <w:t xml:space="preserve">GPT-4.5</w:t>
            </w:r>
            <w:r/>
          </w:p>
        </w:tc>
        <w:tc>
          <w:tcPr>
            <w:tcBorders/>
            <w:tcW w:w="2409" w:type="dxa"/>
          </w:tcPr>
          <w:p>
            <w:pPr>
              <w:pBdr/>
              <w:spacing/>
              <w:ind/>
              <w:jc w:val="center"/>
              <w:rPr/>
            </w:pPr>
            <w:r>
              <w:rPr>
                <w:rFonts w:ascii="Times New Roman" w:hAnsi="Times New Roman"/>
                <w:b w:val="0"/>
                <w:i w:val="0"/>
                <w:sz w:val="16"/>
              </w:rPr>
              <w:t xml:space="preserve">Paid API</w:t>
            </w:r>
            <w:r/>
          </w:p>
        </w:tc>
        <w:tc>
          <w:tcPr>
            <w:tcBorders/>
            <w:tcW w:w="2409" w:type="dxa"/>
          </w:tcPr>
          <w:p>
            <w:pPr>
              <w:pBdr/>
              <w:spacing/>
              <w:ind/>
              <w:jc w:val="center"/>
              <w:rPr/>
            </w:pPr>
            <w:r>
              <w:rPr>
                <w:rFonts w:ascii="Times New Roman" w:hAnsi="Times New Roman"/>
                <w:b w:val="0"/>
                <w:i w:val="0"/>
                <w:sz w:val="16"/>
              </w:rPr>
              <w:t xml:space="preserve">0.774</w:t>
            </w:r>
            <w:r/>
          </w:p>
        </w:tc>
        <w:tc>
          <w:tcPr>
            <w:tcBorders/>
            <w:tcW w:w="2409" w:type="dxa"/>
          </w:tcPr>
          <w:p>
            <w:pPr>
              <w:pBdr/>
              <w:spacing/>
              <w:ind/>
              <w:jc w:val="center"/>
              <w:rPr/>
            </w:pPr>
            <w:r>
              <w:rPr>
                <w:rFonts w:ascii="Times New Roman" w:hAnsi="Times New Roman"/>
                <w:b w:val="0"/>
                <w:i w:val="0"/>
                <w:sz w:val="16"/>
              </w:rPr>
              <w:t xml:space="preserve">0.7763 / $12.32</w:t>
            </w:r>
            <w:r/>
          </w:p>
        </w:tc>
      </w:tr>
      <w:tr>
        <w:trPr/>
        <w:tc>
          <w:tcPr>
            <w:tcBorders/>
            <w:tcW w:w="2409" w:type="dxa"/>
          </w:tcPr>
          <w:p>
            <w:pPr>
              <w:pBdr/>
              <w:spacing/>
              <w:ind/>
              <w:jc w:val="center"/>
              <w:rPr/>
            </w:pPr>
            <w:r>
              <w:rPr>
                <w:rFonts w:ascii="Times New Roman" w:hAnsi="Times New Roman"/>
                <w:b w:val="0"/>
                <w:i w:val="0"/>
                <w:sz w:val="16"/>
              </w:rPr>
              <w:t xml:space="preserve">gemma4:12b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0.774 (+/-.017)</w:t>
            </w:r>
            <w:r/>
          </w:p>
        </w:tc>
        <w:tc>
          <w:tcPr>
            <w:tcBorders/>
            <w:tcW w:w="2409" w:type="dxa"/>
          </w:tcPr>
          <w:p>
            <w:pPr>
              <w:pBdr/>
              <w:spacing/>
              <w:ind/>
              <w:jc w:val="center"/>
              <w:rPr/>
            </w:pPr>
            <w:r>
              <w:rPr>
                <w:rFonts w:ascii="Times New Roman" w:hAnsi="Times New Roman"/>
                <w:b w:val="0"/>
                <w:i w:val="0"/>
                <w:sz w:val="16"/>
              </w:rPr>
              <w:t xml:space="preserve">0.774 (+/-.016) / none*</w:t>
            </w:r>
            <w:r/>
          </w:p>
        </w:tc>
      </w:tr>
      <w:tr>
        <w:trPr/>
        <w:tc>
          <w:tcPr>
            <w:tcBorders/>
            <w:tcW w:w="2409" w:type="dxa"/>
          </w:tcPr>
          <w:p>
            <w:pPr>
              <w:pBdr/>
              <w:spacing/>
              <w:ind/>
              <w:jc w:val="center"/>
              <w:rPr/>
            </w:pPr>
            <w:r>
              <w:rPr>
                <w:rFonts w:ascii="Times New Roman" w:hAnsi="Times New Roman"/>
                <w:b w:val="0"/>
                <w:i w:val="0"/>
                <w:sz w:val="16"/>
              </w:rPr>
              <w:t xml:space="preserve">Claude 3.7 Sonnet</w:t>
            </w:r>
            <w:r/>
          </w:p>
        </w:tc>
        <w:tc>
          <w:tcPr>
            <w:tcBorders/>
            <w:tcW w:w="2409" w:type="dxa"/>
          </w:tcPr>
          <w:p>
            <w:pPr>
              <w:pBdr/>
              <w:spacing/>
              <w:ind/>
              <w:jc w:val="center"/>
              <w:rPr/>
            </w:pPr>
            <w:r>
              <w:rPr>
                <w:rFonts w:ascii="Times New Roman" w:hAnsi="Times New Roman"/>
                <w:b w:val="0"/>
                <w:i w:val="0"/>
                <w:sz w:val="16"/>
              </w:rPr>
              <w:t xml:space="preserve">Paid API</w:t>
            </w:r>
            <w:r/>
          </w:p>
        </w:tc>
        <w:tc>
          <w:tcPr>
            <w:tcBorders/>
            <w:tcW w:w="2409" w:type="dxa"/>
          </w:tcPr>
          <w:p>
            <w:pPr>
              <w:pBdr/>
              <w:spacing/>
              <w:ind/>
              <w:jc w:val="center"/>
              <w:rPr/>
            </w:pPr>
            <w:r>
              <w:rPr>
                <w:rFonts w:ascii="Times New Roman" w:hAnsi="Times New Roman"/>
                <w:b w:val="0"/>
                <w:i w:val="0"/>
                <w:sz w:val="16"/>
              </w:rPr>
              <w:t xml:space="preserve">0.765</w:t>
            </w:r>
            <w:r/>
          </w:p>
        </w:tc>
        <w:tc>
          <w:tcPr>
            <w:tcBorders/>
            <w:tcW w:w="2409" w:type="dxa"/>
          </w:tcPr>
          <w:p>
            <w:pPr>
              <w:pBdr/>
              <w:spacing/>
              <w:ind/>
              <w:jc w:val="center"/>
              <w:rPr/>
            </w:pPr>
            <w:r>
              <w:rPr>
                <w:rFonts w:ascii="Times New Roman" w:hAnsi="Times New Roman"/>
                <w:b w:val="0"/>
                <w:i w:val="0"/>
                <w:sz w:val="16"/>
              </w:rPr>
              <w:t xml:space="preserve">0.7626 / $0.64</w:t>
            </w:r>
            <w:r/>
          </w:p>
        </w:tc>
      </w:tr>
      <w:tr>
        <w:trPr/>
        <w:tc>
          <w:tcPr>
            <w:tcBorders/>
            <w:tcW w:w="2409" w:type="dxa"/>
          </w:tcPr>
          <w:p>
            <w:pPr>
              <w:pBdr/>
              <w:spacing/>
              <w:ind/>
              <w:jc w:val="center"/>
              <w:rPr/>
            </w:pPr>
            <w:r>
              <w:rPr>
                <w:rFonts w:ascii="Times New Roman" w:hAnsi="Times New Roman"/>
                <w:b w:val="0"/>
                <w:i w:val="0"/>
                <w:sz w:val="16"/>
              </w:rPr>
              <w:t xml:space="preserve">Gemini 2.0 Flash</w:t>
            </w:r>
            <w:r/>
          </w:p>
        </w:tc>
        <w:tc>
          <w:tcPr>
            <w:tcBorders/>
            <w:tcW w:w="2409" w:type="dxa"/>
          </w:tcPr>
          <w:p>
            <w:pPr>
              <w:pBdr/>
              <w:spacing/>
              <w:ind/>
              <w:jc w:val="center"/>
              <w:rPr/>
            </w:pPr>
            <w:r>
              <w:rPr>
                <w:rFonts w:ascii="Times New Roman" w:hAnsi="Times New Roman"/>
                <w:b w:val="0"/>
                <w:i w:val="0"/>
                <w:sz w:val="16"/>
              </w:rPr>
              <w:t xml:space="preserve">Paid API</w:t>
            </w:r>
            <w:r/>
          </w:p>
        </w:tc>
        <w:tc>
          <w:tcPr>
            <w:tcBorders/>
            <w:tcW w:w="2409" w:type="dxa"/>
          </w:tcPr>
          <w:p>
            <w:pPr>
              <w:pBdr/>
              <w:spacing/>
              <w:ind/>
              <w:jc w:val="center"/>
              <w:rPr/>
            </w:pPr>
            <w:r>
              <w:rPr>
                <w:rFonts w:ascii="Times New Roman" w:hAnsi="Times New Roman"/>
                <w:b w:val="0"/>
                <w:i w:val="0"/>
                <w:sz w:val="16"/>
              </w:rPr>
              <w:t xml:space="preserve">0.758</w:t>
            </w:r>
            <w:r/>
          </w:p>
        </w:tc>
        <w:tc>
          <w:tcPr>
            <w:tcBorders/>
            <w:tcW w:w="2409" w:type="dxa"/>
          </w:tcPr>
          <w:p>
            <w:pPr>
              <w:pBdr/>
              <w:spacing/>
              <w:ind/>
              <w:jc w:val="center"/>
              <w:rPr/>
            </w:pPr>
            <w:r>
              <w:rPr>
                <w:rFonts w:ascii="Times New Roman" w:hAnsi="Times New Roman"/>
                <w:b w:val="0"/>
                <w:i w:val="0"/>
                <w:sz w:val="16"/>
              </w:rPr>
              <w:t xml:space="preserve">0.7586 / $0.04</w:t>
            </w:r>
            <w:r/>
          </w:p>
        </w:tc>
      </w:tr>
      <w:tr>
        <w:trPr/>
        <w:tc>
          <w:tcPr>
            <w:tcBorders/>
            <w:tcW w:w="2409" w:type="dxa"/>
          </w:tcPr>
          <w:p>
            <w:pPr>
              <w:pBdr/>
              <w:spacing/>
              <w:ind/>
              <w:jc w:val="center"/>
              <w:rPr/>
            </w:pPr>
            <w:r>
              <w:rPr>
                <w:rFonts w:ascii="Times New Roman" w:hAnsi="Times New Roman"/>
                <w:b w:val="0"/>
                <w:i w:val="0"/>
                <w:sz w:val="16"/>
              </w:rPr>
              <w:t xml:space="preserve">qwen3:14b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0.751 (+/-.011)</w:t>
            </w:r>
            <w:r/>
          </w:p>
        </w:tc>
        <w:tc>
          <w:tcPr>
            <w:tcBorders/>
            <w:tcW w:w="2409" w:type="dxa"/>
          </w:tcPr>
          <w:p>
            <w:pPr>
              <w:pBdr/>
              <w:spacing/>
              <w:ind/>
              <w:jc w:val="center"/>
              <w:rPr/>
            </w:pPr>
            <w:r>
              <w:rPr>
                <w:rFonts w:ascii="Times New Roman" w:hAnsi="Times New Roman"/>
                <w:b w:val="0"/>
                <w:i w:val="0"/>
                <w:sz w:val="16"/>
              </w:rPr>
              <w:t xml:space="preserve">0.750 (+/-.011) / none*</w:t>
            </w:r>
            <w:r/>
          </w:p>
        </w:tc>
      </w:tr>
      <w:tr>
        <w:trPr/>
        <w:tc>
          <w:tcPr>
            <w:tcBorders/>
            <w:tcW w:w="2409" w:type="dxa"/>
          </w:tcPr>
          <w:p>
            <w:pPr>
              <w:pBdr/>
              <w:spacing/>
              <w:ind/>
              <w:jc w:val="center"/>
              <w:rPr/>
            </w:pPr>
            <w:r>
              <w:rPr>
                <w:rFonts w:ascii="Times New Roman" w:hAnsi="Times New Roman"/>
                <w:b w:val="0"/>
                <w:i w:val="0"/>
                <w:sz w:val="16"/>
              </w:rPr>
              <w:t xml:space="preserve">gpt-oss:20b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0.748 (+/-.020)</w:t>
            </w:r>
            <w:r/>
          </w:p>
        </w:tc>
        <w:tc>
          <w:tcPr>
            <w:tcBorders/>
            <w:tcW w:w="2409" w:type="dxa"/>
          </w:tcPr>
          <w:p>
            <w:pPr>
              <w:pBdr/>
              <w:spacing/>
              <w:ind/>
              <w:jc w:val="center"/>
              <w:rPr/>
            </w:pPr>
            <w:r>
              <w:rPr>
                <w:rFonts w:ascii="Times New Roman" w:hAnsi="Times New Roman"/>
                <w:b w:val="0"/>
                <w:i w:val="0"/>
                <w:sz w:val="16"/>
              </w:rPr>
              <w:t xml:space="preserve">0.749 (+/-.019) / none*</w:t>
            </w:r>
            <w:r/>
          </w:p>
        </w:tc>
      </w:tr>
      <w:tr>
        <w:trPr/>
        <w:tc>
          <w:tcPr>
            <w:tcBorders/>
            <w:tcW w:w="2409" w:type="dxa"/>
          </w:tcPr>
          <w:p>
            <w:pPr>
              <w:pBdr/>
              <w:spacing/>
              <w:ind/>
              <w:jc w:val="center"/>
              <w:rPr/>
            </w:pPr>
            <w:r>
              <w:rPr>
                <w:rFonts w:ascii="Times New Roman" w:hAnsi="Times New Roman"/>
                <w:b w:val="0"/>
                <w:i w:val="0"/>
                <w:sz w:val="16"/>
              </w:rPr>
              <w:t xml:space="preserve">GPT-4o</w:t>
            </w:r>
            <w:r/>
          </w:p>
        </w:tc>
        <w:tc>
          <w:tcPr>
            <w:tcBorders/>
            <w:tcW w:w="2409" w:type="dxa"/>
          </w:tcPr>
          <w:p>
            <w:pPr>
              <w:pBdr/>
              <w:spacing/>
              <w:ind/>
              <w:jc w:val="center"/>
              <w:rPr/>
            </w:pPr>
            <w:r>
              <w:rPr>
                <w:rFonts w:ascii="Times New Roman" w:hAnsi="Times New Roman"/>
                <w:b w:val="0"/>
                <w:i w:val="0"/>
                <w:sz w:val="16"/>
              </w:rPr>
              <w:t xml:space="preserve">Paid API</w:t>
            </w:r>
            <w:r/>
          </w:p>
        </w:tc>
        <w:tc>
          <w:tcPr>
            <w:tcBorders/>
            <w:tcW w:w="2409" w:type="dxa"/>
          </w:tcPr>
          <w:p>
            <w:pPr>
              <w:pBdr/>
              <w:spacing/>
              <w:ind/>
              <w:jc w:val="center"/>
              <w:rPr/>
            </w:pPr>
            <w:r>
              <w:rPr>
                <w:rFonts w:ascii="Times New Roman" w:hAnsi="Times New Roman"/>
                <w:b w:val="0"/>
                <w:i w:val="0"/>
                <w:sz w:val="16"/>
              </w:rPr>
              <w:t xml:space="preserve">0.736</w:t>
            </w:r>
            <w:r/>
          </w:p>
        </w:tc>
        <w:tc>
          <w:tcPr>
            <w:tcBorders/>
            <w:tcW w:w="2409" w:type="dxa"/>
          </w:tcPr>
          <w:p>
            <w:pPr>
              <w:pBdr/>
              <w:spacing/>
              <w:ind/>
              <w:jc w:val="center"/>
              <w:rPr/>
            </w:pPr>
            <w:r>
              <w:rPr>
                <w:rFonts w:ascii="Times New Roman" w:hAnsi="Times New Roman"/>
                <w:b w:val="0"/>
                <w:i w:val="0"/>
                <w:sz w:val="16"/>
              </w:rPr>
              <w:t xml:space="preserve">0.7358 / $0.45</w:t>
            </w:r>
            <w:r/>
          </w:p>
        </w:tc>
      </w:tr>
      <w:tr>
        <w:trPr/>
        <w:tc>
          <w:tcPr>
            <w:tcBorders/>
            <w:tcW w:w="2409" w:type="dxa"/>
          </w:tcPr>
          <w:p>
            <w:pPr>
              <w:pBdr/>
              <w:spacing/>
              <w:ind/>
              <w:jc w:val="center"/>
              <w:rPr/>
            </w:pPr>
            <w:r>
              <w:rPr>
                <w:rFonts w:ascii="Times New Roman" w:hAnsi="Times New Roman"/>
                <w:b w:val="0"/>
                <w:i w:val="0"/>
                <w:sz w:val="16"/>
              </w:rPr>
              <w:t xml:space="preserve">deepseek-r1:14b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0.724 (+/-.006)</w:t>
            </w:r>
            <w:r/>
          </w:p>
        </w:tc>
        <w:tc>
          <w:tcPr>
            <w:tcBorders/>
            <w:tcW w:w="2409" w:type="dxa"/>
          </w:tcPr>
          <w:p>
            <w:pPr>
              <w:pBdr/>
              <w:spacing/>
              <w:ind/>
              <w:jc w:val="center"/>
              <w:rPr/>
            </w:pPr>
            <w:r>
              <w:rPr>
                <w:rFonts w:ascii="Times New Roman" w:hAnsi="Times New Roman"/>
                <w:b w:val="0"/>
                <w:i w:val="0"/>
                <w:sz w:val="16"/>
              </w:rPr>
              <w:t xml:space="preserve">0.724 (+/-.007) / none*</w:t>
            </w:r>
            <w:r/>
          </w:p>
        </w:tc>
      </w:tr>
      <w:tr>
        <w:trPr/>
        <w:tc>
          <w:tcPr>
            <w:tcBorders/>
            <w:tcW w:w="2409" w:type="dxa"/>
          </w:tcPr>
          <w:p>
            <w:pPr>
              <w:pBdr/>
              <w:spacing/>
              <w:ind/>
              <w:jc w:val="center"/>
              <w:rPr/>
            </w:pPr>
            <w:r>
              <w:rPr>
                <w:rFonts w:ascii="Times New Roman" w:hAnsi="Times New Roman"/>
                <w:b w:val="0"/>
                <w:i w:val="0"/>
                <w:sz w:val="16"/>
              </w:rPr>
              <w:t xml:space="preserve">qwen3:8b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0.717 (+/-.003)</w:t>
            </w:r>
            <w:r/>
          </w:p>
        </w:tc>
        <w:tc>
          <w:tcPr>
            <w:tcBorders/>
            <w:tcW w:w="2409" w:type="dxa"/>
          </w:tcPr>
          <w:p>
            <w:pPr>
              <w:pBdr/>
              <w:spacing/>
              <w:ind/>
              <w:jc w:val="center"/>
              <w:rPr/>
            </w:pPr>
            <w:r>
              <w:rPr>
                <w:rFonts w:ascii="Times New Roman" w:hAnsi="Times New Roman"/>
                <w:b w:val="0"/>
                <w:i w:val="0"/>
                <w:sz w:val="16"/>
              </w:rPr>
              <w:t xml:space="preserve">0.717 (+/-.002) / none*</w:t>
            </w:r>
            <w:r/>
          </w:p>
        </w:tc>
      </w:tr>
      <w:tr>
        <w:trPr/>
        <w:tc>
          <w:tcPr>
            <w:tcBorders/>
            <w:tcW w:w="2409" w:type="dxa"/>
          </w:tcPr>
          <w:p>
            <w:pPr>
              <w:pBdr/>
              <w:spacing/>
              <w:ind/>
              <w:jc w:val="center"/>
              <w:rPr/>
            </w:pPr>
            <w:r>
              <w:rPr>
                <w:rFonts w:ascii="Times New Roman" w:hAnsi="Times New Roman"/>
                <w:b w:val="0"/>
                <w:i w:val="0"/>
                <w:sz w:val="16"/>
              </w:rPr>
              <w:t xml:space="preserve">phi4:14b</w:t>
            </w:r>
            <w:r/>
          </w:p>
        </w:tc>
        <w:tc>
          <w:tcPr>
            <w:tcBorders/>
            <w:tcW w:w="2409" w:type="dxa"/>
          </w:tcPr>
          <w:p>
            <w:pPr>
              <w:pBdr/>
              <w:spacing/>
              <w:ind/>
              <w:jc w:val="center"/>
              <w:rPr/>
            </w:pPr>
            <w:r>
              <w:rPr>
                <w:rFonts w:ascii="Times New Roman" w:hAnsi="Times New Roman"/>
                <w:b w:val="0"/>
                <w:i w:val="0"/>
                <w:sz w:val="16"/>
              </w:rPr>
              <w:t xml:space="preserve">Open-source</w:t>
            </w:r>
            <w:r/>
          </w:p>
        </w:tc>
        <w:tc>
          <w:tcPr>
            <w:tcBorders/>
            <w:tcW w:w="2409" w:type="dxa"/>
          </w:tcPr>
          <w:p>
            <w:pPr>
              <w:pBdr/>
              <w:spacing/>
              <w:ind/>
              <w:jc w:val="center"/>
              <w:rPr/>
            </w:pPr>
            <w:r>
              <w:rPr>
                <w:rFonts w:ascii="Times New Roman" w:hAnsi="Times New Roman"/>
                <w:b w:val="0"/>
                <w:i w:val="0"/>
                <w:sz w:val="16"/>
              </w:rPr>
              <w:t xml:space="preserve">0.705 (+/-.012)</w:t>
            </w:r>
            <w:r/>
          </w:p>
        </w:tc>
        <w:tc>
          <w:tcPr>
            <w:tcBorders/>
            <w:tcW w:w="2409" w:type="dxa"/>
          </w:tcPr>
          <w:p>
            <w:pPr>
              <w:pBdr/>
              <w:spacing/>
              <w:ind/>
              <w:jc w:val="center"/>
              <w:rPr/>
            </w:pPr>
            <w:r>
              <w:rPr>
                <w:rFonts w:ascii="Times New Roman" w:hAnsi="Times New Roman"/>
                <w:b w:val="0"/>
                <w:i w:val="0"/>
                <w:sz w:val="16"/>
              </w:rPr>
              <w:t xml:space="preserve">0.706 (+/-.011) / none*</w:t>
            </w:r>
            <w:r/>
          </w:p>
        </w:tc>
      </w:tr>
    </w:tbl>
    <w:p>
      <w:pPr>
        <w:pBdr/>
        <w:spacing w:after="40" w:before="100"/>
        <w:ind/>
        <w:jc w:val="center"/>
        <w:rPr/>
      </w:pPr>
      <w:r>
        <mc:AlternateContent>
          <mc:Choice Requires="wpg">
            <w:drawing>
              <wp:inline xmlns:wp="http://schemas.openxmlformats.org/drawingml/2006/wordprocessingDrawing" distT="0" distB="0" distL="0" distR="0">
                <wp:extent cx="5040000" cy="27490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reference.png"/>
                        <pic:cNvPicPr>
                          <a:picLocks noChangeAspect="1"/>
                        </pic:cNvPicPr>
                        <pic:nvPr/>
                      </pic:nvPicPr>
                      <pic:blipFill rotWithShape="1">
                        <a:blip r:embed="rId17"/>
                        <a:stretch/>
                      </pic:blipFill>
                      <pic:spPr bwMode="auto">
                        <a:xfrm>
                          <a:off x="0" y="0"/>
                          <a:ext cx="5040000" cy="2749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85pt;height:216.46pt;mso-wrap-distance-left:0.00pt;mso-wrap-distance-top:0.00pt;mso-wrap-distance-right:0.00pt;mso-wrap-distance-bottom:0.00pt;z-index:1;" stroked="false">
                <v:imagedata r:id="rId17" o:title=""/>
                <o:lock v:ext="edit" rotation="t"/>
              </v:shape>
            </w:pict>
          </mc:Fallback>
        </mc:AlternateContent>
      </w:r>
      <w:r/>
    </w:p>
    <w:p>
      <w:pPr>
        <w:pBdr/>
        <w:spacing w:after="100" w:before="40"/>
        <w:ind/>
        <w:jc w:val="center"/>
        <w:rPr/>
      </w:pPr>
      <w:r>
        <w:rPr>
          <w:rFonts w:ascii="Times New Roman" w:hAnsi="Times New Roman"/>
          <w:b w:val="0"/>
          <w:i w:val="0"/>
          <w:sz w:val="20"/>
        </w:rPr>
        <w:t xml:space="preserve">Figure 6. Accuracy of all eleven open-source models (Experiment A, mean +/- std over 3 seeds) alongside five paid-API baselines from [13]. gemma4:12b achieves performance comparable to GPT-4.5 and o1 with no commercial API expenditure.</w:t>
      </w:r>
      <w:r/>
    </w:p>
    <w:p>
      <w:pPr>
        <w:pBdr/>
        <w:spacing w:after="100" w:before="100"/>
        <w:ind/>
        <w:jc w:val="left"/>
        <w:rPr/>
      </w:pPr>
      <w:r>
        <w:rPr>
          <w:rFonts w:ascii="Times New Roman" w:hAnsi="Times New Roman"/>
          <w:b w:val="0"/>
          <w:i/>
          <w:sz w:val="20"/>
        </w:rPr>
        <w:t xml:space="preserve">5.5. Narrative Length Sensitivity</w:t>
      </w:r>
      <w:r/>
    </w:p>
    <w:p>
      <w:pPr>
        <w:pBdr/>
        <w:spacing w:after="100" w:before="100"/>
        <w:ind w:firstLine="283"/>
        <w:jc w:val="both"/>
        <w:rPr/>
      </w:pPr>
      <w:r>
        <w:rPr>
          <w:rFonts w:ascii="Times New Roman" w:hAnsi="Times New Roman"/>
          <w:b w:val="0"/>
          <w:i w:val="0"/>
          <w:sz w:val="20"/>
        </w:rPr>
        <w:t xml:space="preserve">Figure 7 compares mean accuracy on 250-character versus 500-character narratives for the balanced condition. The overall ranking is highly stable: no model changes its relative rank by more than one position between the two</w:t>
      </w:r>
      <w:r>
        <w:rPr>
          <w:rFonts w:ascii="Times New Roman" w:hAnsi="Times New Roman"/>
          <w:b w:val="0"/>
          <w:i w:val="0"/>
          <w:sz w:val="20"/>
        </w:rPr>
        <w:t xml:space="preserve"> length limits. Most models improve by 0-3 percentage points moving from shorter to longer narratives, with deepseek-r1:14b (+1.6 pp) and llama3.1:8b (+2.8 pp) showing the largest gains. gpt-oss:20b and mistral-nemo:12b show virtually no change (&lt;=0.1 pp).</w:t>
      </w:r>
      <w:r/>
    </w:p>
    <w:p>
      <w:pPr>
        <w:pBdr/>
        <w:spacing w:after="40" w:before="100"/>
        <w:ind/>
        <w:jc w:val="center"/>
        <w:rPr/>
      </w:pPr>
      <w:r>
        <mc:AlternateContent>
          <mc:Choice Requires="wpg">
            <w:drawing>
              <wp:inline xmlns:wp="http://schemas.openxmlformats.org/drawingml/2006/wordprocessingDrawing" distT="0" distB="0" distL="0" distR="0">
                <wp:extent cx="5040000" cy="25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ze_sensitivity_balanced.png"/>
                        <pic:cNvPicPr>
                          <a:picLocks noChangeAspect="1"/>
                        </pic:cNvPicPr>
                        <pic:nvPr/>
                      </pic:nvPicPr>
                      <pic:blipFill rotWithShape="1">
                        <a:blip r:embed="rId18"/>
                        <a:stretch/>
                      </pic:blipFill>
                      <pic:spPr bwMode="auto">
                        <a:xfrm>
                          <a:off x="0" y="0"/>
                          <a:ext cx="5040000" cy="252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85pt;height:198.43pt;mso-wrap-distance-left:0.00pt;mso-wrap-distance-top:0.00pt;mso-wrap-distance-right:0.00pt;mso-wrap-distance-bottom:0.00pt;z-index:1;" stroked="false">
                <v:imagedata r:id="rId18" o:title=""/>
                <o:lock v:ext="edit" rotation="t"/>
              </v:shape>
            </w:pict>
          </mc:Fallback>
        </mc:AlternateContent>
      </w:r>
      <w:r/>
    </w:p>
    <w:p>
      <w:pPr>
        <w:pBdr/>
        <w:spacing w:after="100" w:before="40"/>
        <w:ind/>
        <w:jc w:val="center"/>
        <w:rPr/>
      </w:pPr>
      <w:r>
        <w:rPr>
          <w:rFonts w:ascii="Times New Roman" w:hAnsi="Times New Roman"/>
          <w:b w:val="0"/>
          <w:i w:val="0"/>
          <w:sz w:val="20"/>
        </w:rPr>
        <w:t xml:space="preserve">Figure 7. Mean accuracy on 250-char vs. 500-char narrative variants (Balanced, N=1,000, 3 seeds) for all eleven models. Rankings are highly stable.</w:t>
      </w:r>
      <w:r/>
    </w:p>
    <w:p>
      <w:pPr>
        <w:pBdr/>
        <w:spacing w:after="100" w:before="100"/>
        <w:ind/>
        <w:jc w:val="left"/>
        <w:rPr/>
      </w:pPr>
      <w:r>
        <w:rPr>
          <w:rFonts w:ascii="Times New Roman" w:hAnsi="Times New Roman"/>
          <w:b w:val="0"/>
          <w:i/>
          <w:sz w:val="20"/>
        </w:rPr>
        <w:t xml:space="preserve">5.6. Latency Analysis</w:t>
      </w:r>
      <w:r/>
    </w:p>
    <w:p>
      <w:pPr>
        <w:pBdr/>
        <w:spacing w:after="100" w:before="100"/>
        <w:ind w:firstLine="283"/>
        <w:jc w:val="both"/>
        <w:rPr/>
      </w:pPr>
      <w:r>
        <w:rPr>
          <w:rFonts w:ascii="Times New Roman" w:hAnsi="Times New Roman"/>
          <w:b w:val="0"/>
          <w:i w:val="0"/>
          <w:sz w:val="20"/>
        </w:rPr>
        <w:t xml:space="preserve">Standard models are notably faster: mistral:7b completes a prediction in 0.23 s on average, while phi4:14b requires only 0.54 s despite being twice the parameter count. Reasoning models are slower: deepseek-r1:14b takes 9.33 s p</w:t>
      </w:r>
      <w:r>
        <w:rPr>
          <w:rFonts w:ascii="Times New Roman" w:hAnsi="Times New Roman"/>
          <w:b w:val="0"/>
          <w:i w:val="0"/>
          <w:sz w:val="20"/>
        </w:rPr>
        <w:t xml:space="preserve">er prediction due to its chain-of-thought trace. gemma4:12b, despite being a standard model, has the highest latency at 17.1 s, attributable to its longer response patterns. Figure 8 shows the F1-score distribution across all eleven models in Experiment B.</w:t>
      </w:r>
      <w:r/>
    </w:p>
    <w:p>
      <w:pPr>
        <w:pBdr/>
        <w:spacing w:after="40" w:before="100"/>
        <w:ind/>
        <w:jc w:val="center"/>
        <w:rPr/>
      </w:pPr>
      <w:r>
        <mc:AlternateContent>
          <mc:Choice Requires="wpg">
            <w:drawing>
              <wp:inline xmlns:wp="http://schemas.openxmlformats.org/drawingml/2006/wordprocessingDrawing" distT="0" distB="0" distL="0" distR="0">
                <wp:extent cx="5040000" cy="2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imbalanced_errbar.png"/>
                        <pic:cNvPicPr>
                          <a:picLocks noChangeAspect="1"/>
                        </pic:cNvPicPr>
                        <pic:nvPr/>
                      </pic:nvPicPr>
                      <pic:blipFill rotWithShape="1">
                        <a:blip r:embed="rId19"/>
                        <a:stretch/>
                      </pic:blipFill>
                      <pic:spPr bwMode="auto">
                        <a:xfrm>
                          <a:off x="0" y="0"/>
                          <a:ext cx="5040000" cy="28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85pt;height:220.47pt;mso-wrap-distance-left:0.00pt;mso-wrap-distance-top:0.00pt;mso-wrap-distance-right:0.00pt;mso-wrap-distance-bottom:0.00pt;z-index:1;" stroked="false">
                <v:imagedata r:id="rId19" o:title=""/>
                <o:lock v:ext="edit" rotation="t"/>
              </v:shape>
            </w:pict>
          </mc:Fallback>
        </mc:AlternateContent>
      </w:r>
      <w:r/>
    </w:p>
    <w:p>
      <w:pPr>
        <w:pBdr/>
        <w:spacing w:after="100" w:before="40"/>
        <w:ind/>
        <w:jc w:val="center"/>
        <w:rPr/>
      </w:pPr>
      <w:r>
        <w:rPr>
          <w:rFonts w:ascii="Times New Roman" w:hAnsi="Times New Roman"/>
          <w:b w:val="0"/>
          <w:i w:val="0"/>
          <w:sz w:val="20"/>
        </w:rPr>
        <w:t xml:space="preserve">Figure 8. Weighted F1-scores for all eleven models in Experiment B (Imbalanced), shown as mean +/- std over three seeds.</w:t>
      </w:r>
      <w:r/>
    </w:p>
    <w:p>
      <w:pPr>
        <w:pBdr/>
        <w:spacing w:after="100" w:before="100"/>
        <w:ind/>
        <w:jc w:val="left"/>
        <w:rPr/>
      </w:pPr>
      <w:r>
        <w:rPr>
          <w:rFonts w:ascii="Times New Roman" w:hAnsi="Times New Roman"/>
          <w:b w:val="0"/>
          <w:i/>
          <w:sz w:val="20"/>
        </w:rPr>
        <w:t xml:space="preserve">5.7. Per-Class Breakdown for Leading Models</w:t>
      </w:r>
      <w:r/>
    </w:p>
    <w:p>
      <w:pPr>
        <w:pBdr/>
        <w:spacing w:after="100" w:before="100"/>
        <w:ind w:firstLine="283"/>
        <w:jc w:val="both"/>
        <w:rPr/>
      </w:pPr>
      <w:r>
        <w:rPr>
          <w:rFonts w:ascii="Times New Roman" w:hAnsi="Times New Roman"/>
          <w:b w:val="0"/>
          <w:i w:val="0"/>
          <w:sz w:val="20"/>
        </w:rPr>
        <w:t xml:space="preserve">Table 5 reports per-class F1 for the three leading models in each exp</w:t>
      </w:r>
      <w:r>
        <w:rPr>
          <w:rFonts w:ascii="Times New Roman" w:hAnsi="Times New Roman"/>
          <w:b w:val="0"/>
          <w:i w:val="0"/>
          <w:sz w:val="20"/>
        </w:rPr>
        <w:t xml:space="preserve">eriment, confirming that aggregate weighted F1 masks important minority-class variation. In Experiment B all three models jump to &gt;=0.84 F1 on credit_reporting while minority classes remain in the 0.65-0.77 range, confirming the majority-class bias effect.</w:t>
      </w:r>
      <w:r/>
    </w:p>
    <w:p>
      <w:pPr>
        <w:pBdr/>
        <w:spacing w:after="40" w:before="100"/>
        <w:ind/>
        <w:jc w:val="center"/>
        <w:rPr/>
      </w:pPr>
      <w:r>
        <w:rPr>
          <w:rFonts w:ascii="Times New Roman" w:hAnsi="Times New Roman"/>
          <w:b w:val="0"/>
          <w:i w:val="0"/>
          <w:sz w:val="20"/>
        </w:rPr>
        <w:t xml:space="preserve">Table 5. Per-Class F1 for Leading Models (Exp. A and B, N=1,000)</w:t>
      </w:r>
      <w:r/>
    </w:p>
    <w:tbl>
      <w:tblPr>
        <w:tblStyle w:val="934"/>
        <w:jc w:val="center"/>
        <w:tblW w:w="0" w:type="auto"/>
        <w:tblBorders/>
        <w:tblLook w:val="04A0" w:firstRow="1" w:lastRow="0" w:firstColumn="1" w:lastColumn="0" w:noHBand="0" w:noVBand="1"/>
      </w:tblPr>
      <w:tblGrid>
        <w:gridCol w:w="1377"/>
        <w:gridCol w:w="1377"/>
        <w:gridCol w:w="1377"/>
        <w:gridCol w:w="1377"/>
        <w:gridCol w:w="1377"/>
        <w:gridCol w:w="1377"/>
        <w:gridCol w:w="1377"/>
      </w:tblGrid>
      <w:tr>
        <w:trPr/>
        <w:tc>
          <w:tcPr>
            <w:tcBorders/>
            <w:tcW w:w="1377" w:type="dxa"/>
          </w:tcPr>
          <w:p>
            <w:pPr>
              <w:pBdr/>
              <w:spacing/>
              <w:ind/>
              <w:jc w:val="center"/>
              <w:rPr/>
            </w:pPr>
            <w:r>
              <w:rPr>
                <w:rFonts w:ascii="Times New Roman" w:hAnsi="Times New Roman"/>
                <w:b/>
                <w:i w:val="0"/>
                <w:sz w:val="16"/>
              </w:rPr>
              <w:t xml:space="preserve">Exp.</w:t>
            </w:r>
            <w:r/>
          </w:p>
        </w:tc>
        <w:tc>
          <w:tcPr>
            <w:tcBorders/>
            <w:tcW w:w="1377" w:type="dxa"/>
          </w:tcPr>
          <w:p>
            <w:pPr>
              <w:pBdr/>
              <w:spacing/>
              <w:ind/>
              <w:jc w:val="center"/>
              <w:rPr/>
            </w:pPr>
            <w:r>
              <w:rPr>
                <w:rFonts w:ascii="Times New Roman" w:hAnsi="Times New Roman"/>
                <w:b/>
                <w:i w:val="0"/>
                <w:sz w:val="16"/>
              </w:rPr>
              <w:t xml:space="preserve">Model</w:t>
            </w:r>
            <w:r/>
          </w:p>
        </w:tc>
        <w:tc>
          <w:tcPr>
            <w:tcBorders/>
            <w:tcW w:w="1377" w:type="dxa"/>
          </w:tcPr>
          <w:p>
            <w:pPr>
              <w:pBdr/>
              <w:spacing/>
              <w:ind/>
              <w:jc w:val="center"/>
              <w:rPr/>
            </w:pPr>
            <w:r>
              <w:rPr>
                <w:rFonts w:ascii="Times New Roman" w:hAnsi="Times New Roman"/>
                <w:b/>
                <w:i w:val="0"/>
                <w:sz w:val="16"/>
              </w:rPr>
              <w:t xml:space="preserve">Retail Banking</w:t>
            </w:r>
            <w:r/>
          </w:p>
        </w:tc>
        <w:tc>
          <w:tcPr>
            <w:tcBorders/>
            <w:tcW w:w="1377" w:type="dxa"/>
          </w:tcPr>
          <w:p>
            <w:pPr>
              <w:pBdr/>
              <w:spacing/>
              <w:ind/>
              <w:jc w:val="center"/>
              <w:rPr/>
            </w:pPr>
            <w:r>
              <w:rPr>
                <w:rFonts w:ascii="Times New Roman" w:hAnsi="Times New Roman"/>
                <w:b/>
                <w:i w:val="0"/>
                <w:sz w:val="16"/>
              </w:rPr>
              <w:t xml:space="preserve">Credit Rep.</w:t>
            </w:r>
            <w:r/>
          </w:p>
        </w:tc>
        <w:tc>
          <w:tcPr>
            <w:tcBorders/>
            <w:tcW w:w="1377" w:type="dxa"/>
          </w:tcPr>
          <w:p>
            <w:pPr>
              <w:pBdr/>
              <w:spacing/>
              <w:ind/>
              <w:jc w:val="center"/>
              <w:rPr/>
            </w:pPr>
            <w:r>
              <w:rPr>
                <w:rFonts w:ascii="Times New Roman" w:hAnsi="Times New Roman"/>
                <w:b/>
                <w:i w:val="0"/>
                <w:sz w:val="16"/>
              </w:rPr>
              <w:t xml:space="preserve">Credit Card</w:t>
            </w:r>
            <w:r/>
          </w:p>
        </w:tc>
        <w:tc>
          <w:tcPr>
            <w:tcBorders/>
            <w:tcW w:w="1377" w:type="dxa"/>
          </w:tcPr>
          <w:p>
            <w:pPr>
              <w:pBdr/>
              <w:spacing/>
              <w:ind/>
              <w:jc w:val="center"/>
              <w:rPr/>
            </w:pPr>
            <w:r>
              <w:rPr>
                <w:rFonts w:ascii="Times New Roman" w:hAnsi="Times New Roman"/>
                <w:b/>
                <w:i w:val="0"/>
                <w:sz w:val="16"/>
              </w:rPr>
              <w:t xml:space="preserve">Mortg. &amp; Loans</w:t>
            </w:r>
            <w:r/>
          </w:p>
        </w:tc>
        <w:tc>
          <w:tcPr>
            <w:tcBorders/>
            <w:tcW w:w="1377" w:type="dxa"/>
          </w:tcPr>
          <w:p>
            <w:pPr>
              <w:pBdr/>
              <w:spacing/>
              <w:ind/>
              <w:jc w:val="center"/>
              <w:rPr/>
            </w:pPr>
            <w:r>
              <w:rPr>
                <w:rFonts w:ascii="Times New Roman" w:hAnsi="Times New Roman"/>
                <w:b/>
                <w:i w:val="0"/>
                <w:sz w:val="16"/>
              </w:rPr>
              <w:t xml:space="preserve">Debt Coll.</w:t>
            </w:r>
            <w:r/>
          </w:p>
        </w:tc>
      </w:tr>
      <w:tr>
        <w:trPr/>
        <w:tc>
          <w:tcPr>
            <w:tcBorders/>
            <w:tcW w:w="1377" w:type="dxa"/>
          </w:tcPr>
          <w:p>
            <w:pPr>
              <w:pBdr/>
              <w:spacing/>
              <w:ind/>
              <w:jc w:val="center"/>
              <w:rPr/>
            </w:pPr>
            <w:r>
              <w:rPr>
                <w:rFonts w:ascii="Times New Roman" w:hAnsi="Times New Roman"/>
                <w:b w:val="0"/>
                <w:i w:val="0"/>
                <w:sz w:val="16"/>
              </w:rPr>
              <w:t xml:space="preserve">A</w:t>
            </w:r>
            <w:r/>
          </w:p>
        </w:tc>
        <w:tc>
          <w:tcPr>
            <w:tcBorders/>
            <w:tcW w:w="1377" w:type="dxa"/>
          </w:tcPr>
          <w:p>
            <w:pPr>
              <w:pBdr/>
              <w:spacing/>
              <w:ind/>
              <w:jc w:val="center"/>
              <w:rPr/>
            </w:pPr>
            <w:r>
              <w:rPr>
                <w:rFonts w:ascii="Times New Roman" w:hAnsi="Times New Roman"/>
                <w:b w:val="0"/>
                <w:i w:val="0"/>
                <w:sz w:val="16"/>
              </w:rPr>
              <w:t xml:space="preserve">gemma4:12b</w:t>
            </w:r>
            <w:r/>
          </w:p>
        </w:tc>
        <w:tc>
          <w:tcPr>
            <w:tcBorders/>
            <w:tcW w:w="1377" w:type="dxa"/>
          </w:tcPr>
          <w:p>
            <w:pPr>
              <w:pBdr/>
              <w:spacing/>
              <w:ind/>
              <w:jc w:val="center"/>
              <w:rPr/>
            </w:pPr>
            <w:r>
              <w:rPr>
                <w:rFonts w:ascii="Times New Roman" w:hAnsi="Times New Roman"/>
                <w:b w:val="0"/>
                <w:i w:val="0"/>
                <w:sz w:val="16"/>
              </w:rPr>
              <w:t xml:space="preserve">0.8247</w:t>
            </w:r>
            <w:r/>
          </w:p>
        </w:tc>
        <w:tc>
          <w:tcPr>
            <w:tcBorders/>
            <w:tcW w:w="1377" w:type="dxa"/>
          </w:tcPr>
          <w:p>
            <w:pPr>
              <w:pBdr/>
              <w:spacing/>
              <w:ind/>
              <w:jc w:val="center"/>
              <w:rPr/>
            </w:pPr>
            <w:r>
              <w:rPr>
                <w:rFonts w:ascii="Times New Roman" w:hAnsi="Times New Roman"/>
                <w:b w:val="0"/>
                <w:i w:val="0"/>
                <w:sz w:val="16"/>
              </w:rPr>
              <w:t xml:space="preserve">0.7432</w:t>
            </w:r>
            <w:r/>
          </w:p>
        </w:tc>
        <w:tc>
          <w:tcPr>
            <w:tcBorders/>
            <w:tcW w:w="1377" w:type="dxa"/>
          </w:tcPr>
          <w:p>
            <w:pPr>
              <w:pBdr/>
              <w:spacing/>
              <w:ind/>
              <w:jc w:val="center"/>
              <w:rPr/>
            </w:pPr>
            <w:r>
              <w:rPr>
                <w:rFonts w:ascii="Times New Roman" w:hAnsi="Times New Roman"/>
                <w:b w:val="0"/>
                <w:i w:val="0"/>
                <w:sz w:val="16"/>
              </w:rPr>
              <w:t xml:space="preserve">0.7634</w:t>
            </w:r>
            <w:r/>
          </w:p>
        </w:tc>
        <w:tc>
          <w:tcPr>
            <w:tcBorders/>
            <w:tcW w:w="1377" w:type="dxa"/>
          </w:tcPr>
          <w:p>
            <w:pPr>
              <w:pBdr/>
              <w:spacing/>
              <w:ind/>
              <w:jc w:val="center"/>
              <w:rPr/>
            </w:pPr>
            <w:r>
              <w:rPr>
                <w:rFonts w:ascii="Times New Roman" w:hAnsi="Times New Roman"/>
                <w:b w:val="0"/>
                <w:i w:val="0"/>
                <w:sz w:val="16"/>
              </w:rPr>
              <w:t xml:space="preserve">0.8194</w:t>
            </w:r>
            <w:r/>
          </w:p>
        </w:tc>
        <w:tc>
          <w:tcPr>
            <w:tcBorders/>
            <w:tcW w:w="1377" w:type="dxa"/>
          </w:tcPr>
          <w:p>
            <w:pPr>
              <w:pBdr/>
              <w:spacing/>
              <w:ind/>
              <w:jc w:val="center"/>
              <w:rPr/>
            </w:pPr>
            <w:r>
              <w:rPr>
                <w:rFonts w:ascii="Times New Roman" w:hAnsi="Times New Roman"/>
                <w:b w:val="0"/>
                <w:i w:val="0"/>
                <w:sz w:val="16"/>
              </w:rPr>
              <w:t xml:space="preserve">0.7178</w:t>
            </w:r>
            <w:r/>
          </w:p>
        </w:tc>
      </w:tr>
      <w:tr>
        <w:trPr/>
        <w:tc>
          <w:tcPr>
            <w:tcBorders/>
            <w:tcW w:w="1377" w:type="dxa"/>
          </w:tcPr>
          <w:p>
            <w:pPr>
              <w:pBdr/>
              <w:spacing/>
              <w:ind/>
              <w:jc w:val="center"/>
              <w:rPr/>
            </w:pPr>
            <w:r>
              <w:rPr>
                <w:rFonts w:ascii="Times New Roman" w:hAnsi="Times New Roman"/>
                <w:b w:val="0"/>
                <w:i w:val="0"/>
                <w:sz w:val="16"/>
              </w:rPr>
              <w:t xml:space="preserve">A</w:t>
            </w:r>
            <w:r/>
          </w:p>
        </w:tc>
        <w:tc>
          <w:tcPr>
            <w:tcBorders/>
            <w:tcW w:w="1377" w:type="dxa"/>
          </w:tcPr>
          <w:p>
            <w:pPr>
              <w:pBdr/>
              <w:spacing/>
              <w:ind/>
              <w:jc w:val="center"/>
              <w:rPr/>
            </w:pPr>
            <w:r>
              <w:rPr>
                <w:rFonts w:ascii="Times New Roman" w:hAnsi="Times New Roman"/>
                <w:b w:val="0"/>
                <w:i w:val="0"/>
                <w:sz w:val="16"/>
              </w:rPr>
              <w:t xml:space="preserve">qwen3:14b</w:t>
            </w:r>
            <w:r/>
          </w:p>
        </w:tc>
        <w:tc>
          <w:tcPr>
            <w:tcBorders/>
            <w:tcW w:w="1377" w:type="dxa"/>
          </w:tcPr>
          <w:p>
            <w:pPr>
              <w:pBdr/>
              <w:spacing/>
              <w:ind/>
              <w:jc w:val="center"/>
              <w:rPr/>
            </w:pPr>
            <w:r>
              <w:rPr>
                <w:rFonts w:ascii="Times New Roman" w:hAnsi="Times New Roman"/>
                <w:b w:val="0"/>
                <w:i w:val="0"/>
                <w:sz w:val="16"/>
              </w:rPr>
              <w:t xml:space="preserve">0.7855</w:t>
            </w:r>
            <w:r/>
          </w:p>
        </w:tc>
        <w:tc>
          <w:tcPr>
            <w:tcBorders/>
            <w:tcW w:w="1377" w:type="dxa"/>
          </w:tcPr>
          <w:p>
            <w:pPr>
              <w:pBdr/>
              <w:spacing/>
              <w:ind/>
              <w:jc w:val="center"/>
              <w:rPr/>
            </w:pPr>
            <w:r>
              <w:rPr>
                <w:rFonts w:ascii="Times New Roman" w:hAnsi="Times New Roman"/>
                <w:b w:val="0"/>
                <w:i w:val="0"/>
                <w:sz w:val="16"/>
              </w:rPr>
              <w:t xml:space="preserve">0.7212</w:t>
            </w:r>
            <w:r/>
          </w:p>
        </w:tc>
        <w:tc>
          <w:tcPr>
            <w:tcBorders/>
            <w:tcW w:w="1377" w:type="dxa"/>
          </w:tcPr>
          <w:p>
            <w:pPr>
              <w:pBdr/>
              <w:spacing/>
              <w:ind/>
              <w:jc w:val="center"/>
              <w:rPr/>
            </w:pPr>
            <w:r>
              <w:rPr>
                <w:rFonts w:ascii="Times New Roman" w:hAnsi="Times New Roman"/>
                <w:b w:val="0"/>
                <w:i w:val="0"/>
                <w:sz w:val="16"/>
              </w:rPr>
              <w:t xml:space="preserve">0.7296</w:t>
            </w:r>
            <w:r/>
          </w:p>
        </w:tc>
        <w:tc>
          <w:tcPr>
            <w:tcBorders/>
            <w:tcW w:w="1377" w:type="dxa"/>
          </w:tcPr>
          <w:p>
            <w:pPr>
              <w:pBdr/>
              <w:spacing/>
              <w:ind/>
              <w:jc w:val="center"/>
              <w:rPr/>
            </w:pPr>
            <w:r>
              <w:rPr>
                <w:rFonts w:ascii="Times New Roman" w:hAnsi="Times New Roman"/>
                <w:b w:val="0"/>
                <w:i w:val="0"/>
                <w:sz w:val="16"/>
              </w:rPr>
              <w:t xml:space="preserve">0.8097</w:t>
            </w:r>
            <w:r/>
          </w:p>
        </w:tc>
        <w:tc>
          <w:tcPr>
            <w:tcBorders/>
            <w:tcW w:w="1377" w:type="dxa"/>
          </w:tcPr>
          <w:p>
            <w:pPr>
              <w:pBdr/>
              <w:spacing/>
              <w:ind/>
              <w:jc w:val="center"/>
              <w:rPr/>
            </w:pPr>
            <w:r>
              <w:rPr>
                <w:rFonts w:ascii="Times New Roman" w:hAnsi="Times New Roman"/>
                <w:b w:val="0"/>
                <w:i w:val="0"/>
                <w:sz w:val="16"/>
              </w:rPr>
              <w:t xml:space="preserve">0.7019</w:t>
            </w:r>
            <w:r/>
          </w:p>
        </w:tc>
      </w:tr>
      <w:tr>
        <w:trPr/>
        <w:tc>
          <w:tcPr>
            <w:tcBorders/>
            <w:tcW w:w="1377" w:type="dxa"/>
          </w:tcPr>
          <w:p>
            <w:pPr>
              <w:pBdr/>
              <w:spacing/>
              <w:ind/>
              <w:jc w:val="center"/>
              <w:rPr/>
            </w:pPr>
            <w:r>
              <w:rPr>
                <w:rFonts w:ascii="Times New Roman" w:hAnsi="Times New Roman"/>
                <w:b w:val="0"/>
                <w:i w:val="0"/>
                <w:sz w:val="16"/>
              </w:rPr>
              <w:t xml:space="preserve">A</w:t>
            </w:r>
            <w:r/>
          </w:p>
        </w:tc>
        <w:tc>
          <w:tcPr>
            <w:tcBorders/>
            <w:tcW w:w="1377" w:type="dxa"/>
          </w:tcPr>
          <w:p>
            <w:pPr>
              <w:pBdr/>
              <w:spacing/>
              <w:ind/>
              <w:jc w:val="center"/>
              <w:rPr/>
            </w:pPr>
            <w:r>
              <w:rPr>
                <w:rFonts w:ascii="Times New Roman" w:hAnsi="Times New Roman"/>
                <w:b w:val="0"/>
                <w:i w:val="0"/>
                <w:sz w:val="16"/>
              </w:rPr>
              <w:t xml:space="preserve">gpt-oss:20b</w:t>
            </w:r>
            <w:r/>
          </w:p>
        </w:tc>
        <w:tc>
          <w:tcPr>
            <w:tcBorders/>
            <w:tcW w:w="1377" w:type="dxa"/>
          </w:tcPr>
          <w:p>
            <w:pPr>
              <w:pBdr/>
              <w:spacing/>
              <w:ind/>
              <w:jc w:val="center"/>
              <w:rPr/>
            </w:pPr>
            <w:r>
              <w:rPr>
                <w:rFonts w:ascii="Times New Roman" w:hAnsi="Times New Roman"/>
                <w:b w:val="0"/>
                <w:i w:val="0"/>
                <w:sz w:val="16"/>
              </w:rPr>
              <w:t xml:space="preserve">0.7939</w:t>
            </w:r>
            <w:r/>
          </w:p>
        </w:tc>
        <w:tc>
          <w:tcPr>
            <w:tcBorders/>
            <w:tcW w:w="1377" w:type="dxa"/>
          </w:tcPr>
          <w:p>
            <w:pPr>
              <w:pBdr/>
              <w:spacing/>
              <w:ind/>
              <w:jc w:val="center"/>
              <w:rPr/>
            </w:pPr>
            <w:r>
              <w:rPr>
                <w:rFonts w:ascii="Times New Roman" w:hAnsi="Times New Roman"/>
                <w:b w:val="0"/>
                <w:i w:val="0"/>
                <w:sz w:val="16"/>
              </w:rPr>
              <w:t xml:space="preserve">0.7137</w:t>
            </w:r>
            <w:r/>
          </w:p>
        </w:tc>
        <w:tc>
          <w:tcPr>
            <w:tcBorders/>
            <w:tcW w:w="1377" w:type="dxa"/>
          </w:tcPr>
          <w:p>
            <w:pPr>
              <w:pBdr/>
              <w:spacing/>
              <w:ind/>
              <w:jc w:val="center"/>
              <w:rPr/>
            </w:pPr>
            <w:r>
              <w:rPr>
                <w:rFonts w:ascii="Times New Roman" w:hAnsi="Times New Roman"/>
                <w:b w:val="0"/>
                <w:i w:val="0"/>
                <w:sz w:val="16"/>
              </w:rPr>
              <w:t xml:space="preserve">0.7394</w:t>
            </w:r>
            <w:r/>
          </w:p>
        </w:tc>
        <w:tc>
          <w:tcPr>
            <w:tcBorders/>
            <w:tcW w:w="1377" w:type="dxa"/>
          </w:tcPr>
          <w:p>
            <w:pPr>
              <w:pBdr/>
              <w:spacing/>
              <w:ind/>
              <w:jc w:val="center"/>
              <w:rPr/>
            </w:pPr>
            <w:r>
              <w:rPr>
                <w:rFonts w:ascii="Times New Roman" w:hAnsi="Times New Roman"/>
                <w:b w:val="0"/>
                <w:i w:val="0"/>
                <w:sz w:val="16"/>
              </w:rPr>
              <w:t xml:space="preserve">0.7953</w:t>
            </w:r>
            <w:r/>
          </w:p>
        </w:tc>
        <w:tc>
          <w:tcPr>
            <w:tcBorders/>
            <w:tcW w:w="1377" w:type="dxa"/>
          </w:tcPr>
          <w:p>
            <w:pPr>
              <w:pBdr/>
              <w:spacing/>
              <w:ind/>
              <w:jc w:val="center"/>
              <w:rPr/>
            </w:pPr>
            <w:r>
              <w:rPr>
                <w:rFonts w:ascii="Times New Roman" w:hAnsi="Times New Roman"/>
                <w:b w:val="0"/>
                <w:i w:val="0"/>
                <w:sz w:val="16"/>
              </w:rPr>
              <w:t xml:space="preserve">0.7045</w:t>
            </w:r>
            <w:r/>
          </w:p>
        </w:tc>
      </w:tr>
      <w:tr>
        <w:trPr/>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c>
          <w:tcPr>
            <w:tcBorders/>
            <w:tcW w:w="1377" w:type="dxa"/>
          </w:tcPr>
          <w:p>
            <w:pPr>
              <w:pBdr/>
              <w:spacing/>
              <w:ind/>
              <w:jc w:val="center"/>
              <w:rPr/>
            </w:pPr>
            <w:r>
              <w:rPr>
                <w:rFonts w:ascii="Times New Roman" w:hAnsi="Times New Roman"/>
                <w:b w:val="0"/>
                <w:i w:val="0"/>
                <w:sz w:val="16"/>
              </w:rPr>
              <w:t xml:space="preserve">—</w:t>
            </w:r>
            <w:r/>
          </w:p>
        </w:tc>
      </w:tr>
      <w:tr>
        <w:trPr/>
        <w:tc>
          <w:tcPr>
            <w:tcBorders/>
            <w:tcW w:w="1377" w:type="dxa"/>
          </w:tcPr>
          <w:p>
            <w:pPr>
              <w:pBdr/>
              <w:spacing/>
              <w:ind/>
              <w:jc w:val="center"/>
              <w:rPr/>
            </w:pPr>
            <w:r>
              <w:rPr>
                <w:rFonts w:ascii="Times New Roman" w:hAnsi="Times New Roman"/>
                <w:b w:val="0"/>
                <w:i w:val="0"/>
                <w:sz w:val="16"/>
              </w:rPr>
              <w:t xml:space="preserve">B</w:t>
            </w:r>
            <w:r/>
          </w:p>
        </w:tc>
        <w:tc>
          <w:tcPr>
            <w:tcBorders/>
            <w:tcW w:w="1377" w:type="dxa"/>
          </w:tcPr>
          <w:p>
            <w:pPr>
              <w:pBdr/>
              <w:spacing/>
              <w:ind/>
              <w:jc w:val="center"/>
              <w:rPr/>
            </w:pPr>
            <w:r>
              <w:rPr>
                <w:rFonts w:ascii="Times New Roman" w:hAnsi="Times New Roman"/>
                <w:b w:val="0"/>
                <w:i w:val="0"/>
                <w:sz w:val="16"/>
              </w:rPr>
              <w:t xml:space="preserve">gpt-oss:20b</w:t>
            </w:r>
            <w:r/>
          </w:p>
        </w:tc>
        <w:tc>
          <w:tcPr>
            <w:tcBorders/>
            <w:tcW w:w="1377" w:type="dxa"/>
          </w:tcPr>
          <w:p>
            <w:pPr>
              <w:pBdr/>
              <w:spacing/>
              <w:ind/>
              <w:jc w:val="center"/>
              <w:rPr/>
            </w:pPr>
            <w:r>
              <w:rPr>
                <w:rFonts w:ascii="Times New Roman" w:hAnsi="Times New Roman"/>
                <w:b w:val="0"/>
                <w:i w:val="0"/>
                <w:sz w:val="16"/>
              </w:rPr>
              <w:t xml:space="preserve">0.7508</w:t>
            </w:r>
            <w:r/>
          </w:p>
        </w:tc>
        <w:tc>
          <w:tcPr>
            <w:tcBorders/>
            <w:tcW w:w="1377" w:type="dxa"/>
          </w:tcPr>
          <w:p>
            <w:pPr>
              <w:pBdr/>
              <w:spacing/>
              <w:ind/>
              <w:jc w:val="center"/>
              <w:rPr/>
            </w:pPr>
            <w:r>
              <w:rPr>
                <w:rFonts w:ascii="Times New Roman" w:hAnsi="Times New Roman"/>
                <w:b w:val="0"/>
                <w:i w:val="0"/>
                <w:sz w:val="16"/>
              </w:rPr>
              <w:t xml:space="preserve">0.8527</w:t>
            </w:r>
            <w:r/>
          </w:p>
        </w:tc>
        <w:tc>
          <w:tcPr>
            <w:tcBorders/>
            <w:tcW w:w="1377" w:type="dxa"/>
          </w:tcPr>
          <w:p>
            <w:pPr>
              <w:pBdr/>
              <w:spacing/>
              <w:ind/>
              <w:jc w:val="center"/>
              <w:rPr/>
            </w:pPr>
            <w:r>
              <w:rPr>
                <w:rFonts w:ascii="Times New Roman" w:hAnsi="Times New Roman"/>
                <w:b w:val="0"/>
                <w:i w:val="0"/>
                <w:sz w:val="16"/>
              </w:rPr>
              <w:t xml:space="preserve">0.6657</w:t>
            </w:r>
            <w:r/>
          </w:p>
        </w:tc>
        <w:tc>
          <w:tcPr>
            <w:tcBorders/>
            <w:tcW w:w="1377" w:type="dxa"/>
          </w:tcPr>
          <w:p>
            <w:pPr>
              <w:pBdr/>
              <w:spacing/>
              <w:ind/>
              <w:jc w:val="center"/>
              <w:rPr/>
            </w:pPr>
            <w:r>
              <w:rPr>
                <w:rFonts w:ascii="Times New Roman" w:hAnsi="Times New Roman"/>
                <w:b w:val="0"/>
                <w:i w:val="0"/>
                <w:sz w:val="16"/>
              </w:rPr>
              <w:t xml:space="preserve">0.7404</w:t>
            </w:r>
            <w:r/>
          </w:p>
        </w:tc>
        <w:tc>
          <w:tcPr>
            <w:tcBorders/>
            <w:tcW w:w="1377" w:type="dxa"/>
          </w:tcPr>
          <w:p>
            <w:pPr>
              <w:pBdr/>
              <w:spacing/>
              <w:ind/>
              <w:jc w:val="center"/>
              <w:rPr/>
            </w:pPr>
            <w:r>
              <w:rPr>
                <w:rFonts w:ascii="Times New Roman" w:hAnsi="Times New Roman"/>
                <w:b w:val="0"/>
                <w:i w:val="0"/>
                <w:sz w:val="16"/>
              </w:rPr>
              <w:t xml:space="preserve">0.6919</w:t>
            </w:r>
            <w:r/>
          </w:p>
        </w:tc>
      </w:tr>
      <w:tr>
        <w:trPr/>
        <w:tc>
          <w:tcPr>
            <w:tcBorders/>
            <w:tcW w:w="1377" w:type="dxa"/>
          </w:tcPr>
          <w:p>
            <w:pPr>
              <w:pBdr/>
              <w:spacing/>
              <w:ind/>
              <w:jc w:val="center"/>
              <w:rPr/>
            </w:pPr>
            <w:r>
              <w:rPr>
                <w:rFonts w:ascii="Times New Roman" w:hAnsi="Times New Roman"/>
                <w:b w:val="0"/>
                <w:i w:val="0"/>
                <w:sz w:val="16"/>
              </w:rPr>
              <w:t xml:space="preserve">B</w:t>
            </w:r>
            <w:r/>
          </w:p>
        </w:tc>
        <w:tc>
          <w:tcPr>
            <w:tcBorders/>
            <w:tcW w:w="1377" w:type="dxa"/>
          </w:tcPr>
          <w:p>
            <w:pPr>
              <w:pBdr/>
              <w:spacing/>
              <w:ind/>
              <w:jc w:val="center"/>
              <w:rPr/>
            </w:pPr>
            <w:r>
              <w:rPr>
                <w:rFonts w:ascii="Times New Roman" w:hAnsi="Times New Roman"/>
                <w:b w:val="0"/>
                <w:i w:val="0"/>
                <w:sz w:val="16"/>
              </w:rPr>
              <w:t xml:space="preserve">gemma4:12b</w:t>
            </w:r>
            <w:r/>
          </w:p>
        </w:tc>
        <w:tc>
          <w:tcPr>
            <w:tcBorders/>
            <w:tcW w:w="1377" w:type="dxa"/>
          </w:tcPr>
          <w:p>
            <w:pPr>
              <w:pBdr/>
              <w:spacing/>
              <w:ind/>
              <w:jc w:val="center"/>
              <w:rPr/>
            </w:pPr>
            <w:r>
              <w:rPr>
                <w:rFonts w:ascii="Times New Roman" w:hAnsi="Times New Roman"/>
                <w:b w:val="0"/>
                <w:i w:val="0"/>
                <w:sz w:val="16"/>
              </w:rPr>
              <w:t xml:space="preserve">0.7676</w:t>
            </w:r>
            <w:r/>
          </w:p>
        </w:tc>
        <w:tc>
          <w:tcPr>
            <w:tcBorders/>
            <w:tcW w:w="1377" w:type="dxa"/>
          </w:tcPr>
          <w:p>
            <w:pPr>
              <w:pBdr/>
              <w:spacing/>
              <w:ind/>
              <w:jc w:val="center"/>
              <w:rPr/>
            </w:pPr>
            <w:r>
              <w:rPr>
                <w:rFonts w:ascii="Times New Roman" w:hAnsi="Times New Roman"/>
                <w:b w:val="0"/>
                <w:i w:val="0"/>
                <w:sz w:val="16"/>
              </w:rPr>
              <w:t xml:space="preserve">0.8453</w:t>
            </w:r>
            <w:r/>
          </w:p>
        </w:tc>
        <w:tc>
          <w:tcPr>
            <w:tcBorders/>
            <w:tcW w:w="1377" w:type="dxa"/>
          </w:tcPr>
          <w:p>
            <w:pPr>
              <w:pBdr/>
              <w:spacing/>
              <w:ind/>
              <w:jc w:val="center"/>
              <w:rPr/>
            </w:pPr>
            <w:r>
              <w:rPr>
                <w:rFonts w:ascii="Times New Roman" w:hAnsi="Times New Roman"/>
                <w:b w:val="0"/>
                <w:i w:val="0"/>
                <w:sz w:val="16"/>
              </w:rPr>
              <w:t xml:space="preserve">0.6719</w:t>
            </w:r>
            <w:r/>
          </w:p>
        </w:tc>
        <w:tc>
          <w:tcPr>
            <w:tcBorders/>
            <w:tcW w:w="1377" w:type="dxa"/>
          </w:tcPr>
          <w:p>
            <w:pPr>
              <w:pBdr/>
              <w:spacing/>
              <w:ind/>
              <w:jc w:val="center"/>
              <w:rPr/>
            </w:pPr>
            <w:r>
              <w:rPr>
                <w:rFonts w:ascii="Times New Roman" w:hAnsi="Times New Roman"/>
                <w:b w:val="0"/>
                <w:i w:val="0"/>
                <w:sz w:val="16"/>
              </w:rPr>
              <w:t xml:space="preserve">0.7442</w:t>
            </w:r>
            <w:r/>
          </w:p>
        </w:tc>
        <w:tc>
          <w:tcPr>
            <w:tcBorders/>
            <w:tcW w:w="1377" w:type="dxa"/>
          </w:tcPr>
          <w:p>
            <w:pPr>
              <w:pBdr/>
              <w:spacing/>
              <w:ind/>
              <w:jc w:val="center"/>
              <w:rPr/>
            </w:pPr>
            <w:r>
              <w:rPr>
                <w:rFonts w:ascii="Times New Roman" w:hAnsi="Times New Roman"/>
                <w:b w:val="0"/>
                <w:i w:val="0"/>
                <w:sz w:val="16"/>
              </w:rPr>
              <w:t xml:space="preserve">0.6769</w:t>
            </w:r>
            <w:r/>
          </w:p>
        </w:tc>
      </w:tr>
      <w:tr>
        <w:trPr/>
        <w:tc>
          <w:tcPr>
            <w:tcBorders/>
            <w:tcW w:w="1377" w:type="dxa"/>
          </w:tcPr>
          <w:p>
            <w:pPr>
              <w:pBdr/>
              <w:spacing/>
              <w:ind/>
              <w:jc w:val="center"/>
              <w:rPr/>
            </w:pPr>
            <w:r>
              <w:rPr>
                <w:rFonts w:ascii="Times New Roman" w:hAnsi="Times New Roman"/>
                <w:b w:val="0"/>
                <w:i w:val="0"/>
                <w:sz w:val="16"/>
              </w:rPr>
              <w:t xml:space="preserve">B</w:t>
            </w:r>
            <w:r/>
          </w:p>
        </w:tc>
        <w:tc>
          <w:tcPr>
            <w:tcBorders/>
            <w:tcW w:w="1377" w:type="dxa"/>
          </w:tcPr>
          <w:p>
            <w:pPr>
              <w:pBdr/>
              <w:spacing/>
              <w:ind/>
              <w:jc w:val="center"/>
              <w:rPr/>
            </w:pPr>
            <w:r>
              <w:rPr>
                <w:rFonts w:ascii="Times New Roman" w:hAnsi="Times New Roman"/>
                <w:b w:val="0"/>
                <w:i w:val="0"/>
                <w:sz w:val="16"/>
              </w:rPr>
              <w:t xml:space="preserve">qwen3:14b</w:t>
            </w:r>
            <w:r/>
          </w:p>
        </w:tc>
        <w:tc>
          <w:tcPr>
            <w:tcBorders/>
            <w:tcW w:w="1377" w:type="dxa"/>
          </w:tcPr>
          <w:p>
            <w:pPr>
              <w:pBdr/>
              <w:spacing/>
              <w:ind/>
              <w:jc w:val="center"/>
              <w:rPr/>
            </w:pPr>
            <w:r>
              <w:rPr>
                <w:rFonts w:ascii="Times New Roman" w:hAnsi="Times New Roman"/>
                <w:b w:val="0"/>
                <w:i w:val="0"/>
                <w:sz w:val="16"/>
              </w:rPr>
              <w:t xml:space="preserve">0.7353</w:t>
            </w:r>
            <w:r/>
          </w:p>
        </w:tc>
        <w:tc>
          <w:tcPr>
            <w:tcBorders/>
            <w:tcW w:w="1377" w:type="dxa"/>
          </w:tcPr>
          <w:p>
            <w:pPr>
              <w:pBdr/>
              <w:spacing/>
              <w:ind/>
              <w:jc w:val="center"/>
              <w:rPr/>
            </w:pPr>
            <w:r>
              <w:rPr>
                <w:rFonts w:ascii="Times New Roman" w:hAnsi="Times New Roman"/>
                <w:b w:val="0"/>
                <w:i w:val="0"/>
                <w:sz w:val="16"/>
              </w:rPr>
              <w:t xml:space="preserve">0.8437</w:t>
            </w:r>
            <w:r/>
          </w:p>
        </w:tc>
        <w:tc>
          <w:tcPr>
            <w:tcBorders/>
            <w:tcW w:w="1377" w:type="dxa"/>
          </w:tcPr>
          <w:p>
            <w:pPr>
              <w:pBdr/>
              <w:spacing/>
              <w:ind/>
              <w:jc w:val="center"/>
              <w:rPr/>
            </w:pPr>
            <w:r>
              <w:rPr>
                <w:rFonts w:ascii="Times New Roman" w:hAnsi="Times New Roman"/>
                <w:b w:val="0"/>
                <w:i w:val="0"/>
                <w:sz w:val="16"/>
              </w:rPr>
              <w:t xml:space="preserve">0.6544</w:t>
            </w:r>
            <w:r/>
          </w:p>
        </w:tc>
        <w:tc>
          <w:tcPr>
            <w:tcBorders/>
            <w:tcW w:w="1377" w:type="dxa"/>
          </w:tcPr>
          <w:p>
            <w:pPr>
              <w:pBdr/>
              <w:spacing/>
              <w:ind/>
              <w:jc w:val="center"/>
              <w:rPr/>
            </w:pPr>
            <w:r>
              <w:rPr>
                <w:rFonts w:ascii="Times New Roman" w:hAnsi="Times New Roman"/>
                <w:b w:val="0"/>
                <w:i w:val="0"/>
                <w:sz w:val="16"/>
              </w:rPr>
              <w:t xml:space="preserve">0.7427</w:t>
            </w:r>
            <w:r/>
          </w:p>
        </w:tc>
        <w:tc>
          <w:tcPr>
            <w:tcBorders/>
            <w:tcW w:w="1377" w:type="dxa"/>
          </w:tcPr>
          <w:p>
            <w:pPr>
              <w:pBdr/>
              <w:spacing/>
              <w:ind/>
              <w:jc w:val="center"/>
              <w:rPr/>
            </w:pPr>
            <w:r>
              <w:rPr>
                <w:rFonts w:ascii="Times New Roman" w:hAnsi="Times New Roman"/>
                <w:b w:val="0"/>
                <w:i w:val="0"/>
                <w:sz w:val="16"/>
              </w:rPr>
              <w:t xml:space="preserve">0.6727</w:t>
            </w:r>
            <w:r/>
          </w:p>
        </w:tc>
      </w:tr>
    </w:tbl>
    <w:p>
      <w:pPr>
        <w:pBdr/>
        <w:spacing/>
        <w:ind/>
        <w:rPr/>
      </w:pPr>
      <w:r/>
      <w:r/>
    </w:p>
    <w:p>
      <w:pPr>
        <w:pBdr/>
        <w:spacing w:after="100" w:before="100"/>
        <w:ind/>
        <w:jc w:val="left"/>
        <w:rPr/>
      </w:pPr>
      <w:r>
        <w:rPr>
          <w:rFonts w:ascii="Times New Roman" w:hAnsi="Times New Roman"/>
          <w:b/>
          <w:i w:val="0"/>
          <w:sz w:val="20"/>
        </w:rPr>
        <w:t xml:space="preserve">6. DISCUSSION</w:t>
      </w:r>
      <w:r/>
    </w:p>
    <w:p>
      <w:pPr>
        <w:pBdr/>
        <w:spacing w:after="100" w:before="100"/>
        <w:ind/>
        <w:jc w:val="left"/>
        <w:rPr/>
      </w:pPr>
      <w:r>
        <w:rPr>
          <w:rFonts w:ascii="Times New Roman" w:hAnsi="Times New Roman"/>
          <w:b w:val="0"/>
          <w:i/>
          <w:sz w:val="20"/>
        </w:rPr>
        <w:t xml:space="preserve">6.1. Reasoning vs. Standard Models</w:t>
      </w:r>
      <w:r/>
    </w:p>
    <w:p>
      <w:pPr>
        <w:pBdr/>
        <w:spacing w:after="100" w:before="100"/>
        <w:ind w:firstLine="283"/>
        <w:jc w:val="both"/>
        <w:rPr/>
      </w:pPr>
      <w:r>
        <w:rPr>
          <w:rFonts w:ascii="Times New Roman" w:hAnsi="Times New Roman"/>
          <w:b w:val="0"/>
          <w:i w:val="0"/>
          <w:sz w:val="20"/>
        </w:rPr>
        <w:t xml:space="preserve">The most notable finding is that model generation and architecture quality can outweigh model type. gemma4:12b, a standard non-reasoning model, achieves the highest weight</w:t>
      </w:r>
      <w:r>
        <w:rPr>
          <w:rFonts w:ascii="Times New Roman" w:hAnsi="Times New Roman"/>
          <w:b w:val="0"/>
          <w:i w:val="0"/>
          <w:sz w:val="20"/>
        </w:rPr>
        <w:t xml:space="preserve">ed F1 in Experiment A (0.774 +/- 0.016), surpassing all five reasoning models including gpt-oss:20b (F1 0.749), which has 67% more parameters. This challenges the hypothesis that reasoning models are necessary for structured zero-shot classification tasks.</w:t>
      </w:r>
      <w:r/>
    </w:p>
    <w:p>
      <w:pPr>
        <w:pBdr/>
        <w:spacing w:after="100" w:before="100"/>
        <w:ind w:firstLine="283"/>
        <w:jc w:val="both"/>
        <w:rPr/>
      </w:pPr>
      <w:r>
        <w:rPr>
          <w:rFonts w:ascii="Times New Roman" w:hAnsi="Times New Roman"/>
          <w:b w:val="0"/>
          <w:i w:val="0"/>
          <w:sz w:val="20"/>
        </w:rPr>
        <w:t xml:space="preserve">A nuanced pattern emerges when scale is controlled. At the 8B tier, reasoning models (deeps</w:t>
      </w:r>
      <w:r>
        <w:rPr>
          <w:rFonts w:ascii="Times New Roman" w:hAnsi="Times New Roman"/>
          <w:b w:val="0"/>
          <w:i w:val="0"/>
          <w:sz w:val="20"/>
        </w:rPr>
        <w:t xml:space="preserve">eek-r1:8b, qwen3:8b) generally outperform standard models of similar size. At the 14B tier, qwen3:14b (Reasoning, F1 0.750) and phi4:14b (Standard, F1 0.706) are both strong, but the reasoning advantage is narrower. The 12B result from gemma4:12b suggests </w:t>
      </w:r>
      <w:r>
        <w:rPr>
          <w:rFonts w:ascii="Times New Roman" w:hAnsi="Times New Roman"/>
          <w:b w:val="0"/>
          <w:i w:val="0"/>
          <w:sz w:val="20"/>
        </w:rPr>
        <w:t xml:space="preserve">that the latest-generation standard models have closed the reasoning gap through improved alignment and instruction-following training, consistent with the broader evidence that chain-of-thought benefits diminish as standard-model quality improves [24,26].</w:t>
      </w:r>
      <w:r/>
    </w:p>
    <w:p>
      <w:pPr>
        <w:pBdr/>
        <w:spacing w:after="100" w:before="100"/>
        <w:ind/>
        <w:jc w:val="left"/>
        <w:rPr/>
      </w:pPr>
      <w:r>
        <w:rPr>
          <w:rFonts w:ascii="Times New Roman" w:hAnsi="Times New Roman"/>
          <w:b w:val="0"/>
          <w:i/>
          <w:sz w:val="20"/>
        </w:rPr>
        <w:t xml:space="preserve">6.2. Within-Family Performance Patterns</w:t>
      </w:r>
      <w:r/>
    </w:p>
    <w:p>
      <w:pPr>
        <w:pBdr/>
        <w:spacing w:after="100" w:before="100"/>
        <w:ind w:firstLine="283"/>
        <w:jc w:val="both"/>
        <w:rPr/>
      </w:pPr>
      <w:r>
        <w:rPr>
          <w:rFonts w:ascii="Times New Roman" w:hAnsi="Times New Roman"/>
          <w:b w:val="0"/>
          <w:i w:val="0"/>
          <w:sz w:val="20"/>
        </w:rPr>
        <w:t xml:space="preserve">Gemma family (Google): gemma</w:t>
      </w:r>
      <w:r>
        <w:rPr>
          <w:rFonts w:ascii="Times New Roman" w:hAnsi="Times New Roman"/>
          <w:b w:val="0"/>
          <w:i w:val="0"/>
          <w:sz w:val="20"/>
        </w:rPr>
        <w:t xml:space="preserve">4:12b (F1 0.774) outperforms gemma2:9b (F1 0.676) by 0.098 F1 points - the largest within-family gain. The generation gap (Gemma 2 to Gemma 4) is more impactful than the parameter gap (9B to 12B). Mistral family: mistral-nemo:12b (F1 0.540) performs worse </w:t>
      </w:r>
      <w:r>
        <w:rPr>
          <w:rFonts w:ascii="Times New Roman" w:hAnsi="Times New Roman"/>
          <w:b w:val="0"/>
          <w:i w:val="0"/>
          <w:sz w:val="20"/>
        </w:rPr>
        <w:t xml:space="preserve">than mistral:7b (F1 0.587) despite 71% more parameters; their error modes are opposite - mistral:7b frequently produces off-label outputs (58.7 per run) whereas mistral-nemo:12b commits to valid categories but assigns them incorrectly. Qwen3 family (Alibab</w:t>
      </w:r>
      <w:r>
        <w:rPr>
          <w:rFonts w:ascii="Times New Roman" w:hAnsi="Times New Roman"/>
          <w:b w:val="0"/>
          <w:i w:val="0"/>
          <w:sz w:val="20"/>
        </w:rPr>
        <w:t xml:space="preserve">a): qwen3:14b (F1 0.750) consistently outperforms qwen3:8b (F1 0.717) with no off-label predictions in either case. DeepSeek-R1 family: deepseek-r1:14b (F1 0.724) outperforms deepseek-r1:8b (F1 0.683) by 0.041 F1 points consistently across all three seeds.</w:t>
      </w:r>
      <w:r/>
    </w:p>
    <w:p>
      <w:pPr>
        <w:pBdr/>
        <w:spacing w:after="100" w:before="100"/>
        <w:ind/>
        <w:jc w:val="left"/>
        <w:rPr/>
      </w:pPr>
      <w:r>
        <w:rPr>
          <w:rFonts w:ascii="Times New Roman" w:hAnsi="Times New Roman"/>
          <w:b w:val="0"/>
          <w:i/>
          <w:sz w:val="20"/>
        </w:rPr>
        <w:t xml:space="preserve">6.3. Off-Label Prediction Behaviour</w:t>
      </w:r>
      <w:r/>
    </w:p>
    <w:p>
      <w:pPr>
        <w:pBdr/>
        <w:spacing w:after="100" w:before="100"/>
        <w:ind w:firstLine="283"/>
        <w:jc w:val="both"/>
        <w:rPr/>
      </w:pPr>
      <w:r>
        <w:rPr>
          <w:rFonts w:ascii="Times New Roman" w:hAnsi="Times New Roman"/>
          <w:b w:val="0"/>
          <w:i w:val="0"/>
          <w:sz w:val="20"/>
        </w:rPr>
        <w:t xml:space="preserve">Off-label predictions are a direct measure of instruction-following reliability. The two models with the highest off-l</w:t>
      </w:r>
      <w:r>
        <w:rPr>
          <w:rFonts w:ascii="Times New Roman" w:hAnsi="Times New Roman"/>
          <w:b w:val="0"/>
          <w:i w:val="0"/>
          <w:sz w:val="20"/>
        </w:rPr>
        <w:t xml:space="preserve">abel counts in Experiment A (llama3.1:8b: 67; mistral:7b: 59) also rank among the lowest in F1. Off-label behaviour has two distinct forms: llama3.1:8b primarily fails at the formatting/parsing level, while mistral:7b usually returns parseable JSON but inv</w:t>
      </w:r>
      <w:r>
        <w:rPr>
          <w:rFonts w:ascii="Times New Roman" w:hAnsi="Times New Roman"/>
          <w:b w:val="0"/>
          <w:i w:val="0"/>
          <w:sz w:val="20"/>
        </w:rPr>
        <w:t xml:space="preserve">ents labels outside the allowed taxonomy (e.g., "credit_collection" or "loan"). This distinction matters operationally: an invented category may be more disruptive than an ordinary within-taxonomy misclassification in regulated complaint-routing pipelines.</w:t>
      </w:r>
      <w:r/>
    </w:p>
    <w:p>
      <w:pPr>
        <w:pBdr/>
        <w:spacing w:after="100" w:before="100"/>
        <w:ind/>
        <w:jc w:val="left"/>
        <w:rPr/>
      </w:pPr>
      <w:r>
        <w:rPr>
          <w:rFonts w:ascii="Times New Roman" w:hAnsi="Times New Roman"/>
          <w:b w:val="0"/>
          <w:i/>
          <w:sz w:val="20"/>
        </w:rPr>
        <w:t xml:space="preserve">6.4. Latency-Accuracy Trade-off</w:t>
      </w:r>
      <w:r/>
    </w:p>
    <w:p>
      <w:pPr>
        <w:pBdr/>
        <w:spacing w:after="100" w:before="100"/>
        <w:ind w:firstLine="283"/>
        <w:jc w:val="both"/>
        <w:rPr/>
      </w:pPr>
      <w:r>
        <w:rPr>
          <w:rFonts w:ascii="Times New Roman" w:hAnsi="Times New Roman"/>
          <w:b w:val="0"/>
          <w:i w:val="0"/>
          <w:sz w:val="20"/>
        </w:rPr>
        <w:t xml:space="preserve">phi4:14b, at 0.54 s per prediction and F1 0.706, offers the most favourable accuracy-to-latency ratio of any model tested. At roughly 110 predictions per minute throughput, it can serve a moderate complaint routing queue in real-time on a single V100. Rea</w:t>
      </w:r>
      <w:r>
        <w:rPr>
          <w:rFonts w:ascii="Times New Roman" w:hAnsi="Times New Roman"/>
          <w:b w:val="0"/>
          <w:i w:val="0"/>
          <w:sz w:val="20"/>
        </w:rPr>
        <w:t xml:space="preserve">soning models are consistently slower: deepseek-r1:14b takes 9.33 s per prediction, translating to roughly 1.3 hours for 500 predictions on a single V100. All reported latency figures for reasoning models include the full chain-of-thought generation trace.</w:t>
      </w:r>
      <w:r/>
    </w:p>
    <w:p>
      <w:pPr>
        <w:pBdr/>
        <w:spacing w:after="100" w:before="100"/>
        <w:ind/>
        <w:jc w:val="left"/>
        <w:rPr/>
      </w:pPr>
      <w:r>
        <w:rPr>
          <w:rFonts w:ascii="Times New Roman" w:hAnsi="Times New Roman"/>
          <w:b w:val="0"/>
          <w:i/>
          <w:sz w:val="20"/>
        </w:rPr>
        <w:t xml:space="preserve">6.5. Deployment Recommendations</w:t>
      </w:r>
      <w:r/>
    </w:p>
    <w:p>
      <w:pPr>
        <w:pBdr/>
        <w:spacing w:after="100" w:before="100"/>
        <w:ind w:firstLine="283"/>
        <w:jc w:val="both"/>
        <w:rPr/>
      </w:pPr>
      <w:r>
        <w:rPr>
          <w:rFonts w:ascii="Times New Roman" w:hAnsi="Times New Roman"/>
          <w:b w:val="0"/>
          <w:i w:val="0"/>
          <w:sz w:val="20"/>
        </w:rPr>
        <w:t xml:space="preserve">Maximum accuracy (offline/batch): use gemma4:12b (F1 0.774, 7.6 GB VRAM, 17.1 s per prediction). Real-time deployment (&lt;1 s latency): use phi4:</w:t>
      </w:r>
      <w:r>
        <w:rPr>
          <w:rFonts w:ascii="Times New Roman" w:hAnsi="Times New Roman"/>
          <w:b w:val="0"/>
          <w:i w:val="0"/>
          <w:sz w:val="20"/>
        </w:rPr>
        <w:t xml:space="preserve">14b (F1 0.706, 0.54 s). Constrained VRAM (&lt;=5.5 GB): use qwen3:8b (5.2 GB, F1 0.717, zero off-label predictions). Avoid mistral:7b and llama3.1:8b in zero-shot settings: both produce &gt;50 off-label predictions per 1,000 samples. At moderate scale (one milli</w:t>
      </w:r>
      <w:r>
        <w:rPr>
          <w:rFonts w:ascii="Times New Roman" w:hAnsi="Times New Roman"/>
          <w:b w:val="0"/>
          <w:i w:val="0"/>
          <w:sz w:val="20"/>
        </w:rPr>
        <w:t xml:space="preserve">on complaints per year), deploying gemma4:12b instead of the best-performing paid API model would avoid roughly $12,320 in API fees with no measurable quality loss - while simultaneously eliminating third-party data transfer obligations and vendor lock-in.</w:t>
      </w:r>
      <w:r/>
    </w:p>
    <w:p>
      <w:pPr>
        <w:pBdr/>
        <w:spacing w:after="100" w:before="100"/>
        <w:ind/>
        <w:jc w:val="left"/>
        <w:rPr/>
      </w:pPr>
      <w:r>
        <w:rPr>
          <w:rFonts w:ascii="Times New Roman" w:hAnsi="Times New Roman"/>
          <w:b w:val="0"/>
          <w:i/>
          <w:sz w:val="20"/>
        </w:rPr>
        <w:t xml:space="preserve">6.6. Interpreting the Imbalanced Results</w:t>
      </w:r>
      <w:r/>
    </w:p>
    <w:p>
      <w:pPr>
        <w:pBdr/>
        <w:spacing w:after="100" w:before="100"/>
        <w:ind w:firstLine="283"/>
        <w:jc w:val="both"/>
        <w:rPr/>
      </w:pPr>
      <w:r>
        <w:rPr>
          <w:rFonts w:ascii="Times New Roman" w:hAnsi="Times New Roman"/>
          <w:b w:val="0"/>
          <w:i w:val="0"/>
          <w:sz w:val="20"/>
        </w:rPr>
        <w:t xml:space="preserve">The across-the-board increase in accuracy from Experiment A to B demands careful interpretation. When 51.1% o</w:t>
      </w:r>
      <w:r>
        <w:rPr>
          <w:rFonts w:ascii="Times New Roman" w:hAnsi="Times New Roman"/>
          <w:b w:val="0"/>
          <w:i w:val="0"/>
          <w:sz w:val="20"/>
        </w:rPr>
        <w:t xml:space="preserve">f the test set belongs to a single class, a model that classifies most ambiguous narratives as credit_reporting will achieve high weighted accuracy even if its per-class performance is poor. The particularly pronounced gains for llama3.1:8b (+4.2 pp) and m</w:t>
      </w:r>
      <w:r>
        <w:rPr>
          <w:rFonts w:ascii="Times New Roman" w:hAnsi="Times New Roman"/>
          <w:b w:val="0"/>
          <w:i w:val="0"/>
          <w:sz w:val="20"/>
        </w:rPr>
        <w:t xml:space="preserve">istral:7b (+5.5 pp) are consistent with this mechanism. We therefore caution against using Experiment B accuracy as a simple indicator of model quality and recommend that future evaluations report per-class precision and recall alongside aggregate metrics.</w:t>
      </w:r>
      <w:r/>
    </w:p>
    <w:p>
      <w:pPr>
        <w:pBdr/>
        <w:spacing w:after="100" w:before="100"/>
        <w:ind/>
        <w:jc w:val="left"/>
        <w:rPr/>
      </w:pPr>
      <w:r>
        <w:rPr>
          <w:rFonts w:ascii="Times New Roman" w:hAnsi="Times New Roman"/>
          <w:b w:val="0"/>
          <w:i/>
          <w:sz w:val="20"/>
        </w:rPr>
        <w:t xml:space="preserve">6.7. Limitations</w:t>
      </w:r>
      <w:r/>
    </w:p>
    <w:p>
      <w:pPr>
        <w:pBdr/>
        <w:spacing w:after="100" w:before="100"/>
        <w:ind w:firstLine="283"/>
        <w:jc w:val="both"/>
        <w:rPr/>
      </w:pPr>
      <w:r>
        <w:rPr>
          <w:rFonts w:ascii="Times New Roman" w:hAnsi="Times New Roman"/>
          <w:b w:val="0"/>
          <w:i w:val="0"/>
          <w:sz w:val="20"/>
        </w:rPr>
        <w:t xml:space="preserve">This study has several limitations. First, the cross-paper comparison with R</w:t>
      </w:r>
      <w:r>
        <w:rPr>
          <w:rFonts w:ascii="Times New Roman" w:hAnsi="Times New Roman"/>
          <w:b w:val="0"/>
          <w:i w:val="0"/>
          <w:sz w:val="20"/>
        </w:rPr>
        <w:t xml:space="preserve">oumeliotis et al. [13] is protocol-matched rather than instance-paired, since the reference paper does not release the exact sampled complaint identifiers. Second, the 500-character length filter reduces inference cost but shifts the class distribution. Th</w:t>
      </w:r>
      <w:r>
        <w:rPr>
          <w:rFonts w:ascii="Times New Roman" w:hAnsi="Times New Roman"/>
          <w:b w:val="0"/>
          <w:i w:val="0"/>
          <w:sz w:val="20"/>
        </w:rPr>
        <w:t xml:space="preserve">ird, lowercasing and special-character removal may discard useful cues such as account-number patterns or capitalisation. Fourth, all experiments use N=1,000 examples per seed at two character-length limits. Fifth, only a single zero-shot prompt is tested.</w:t>
      </w:r>
      <w:r>
        <w:rPr>
          <w:rFonts w:ascii="Times New Roman" w:hAnsi="Times New Roman"/>
          <w:b w:val="0"/>
          <w:i w:val="0"/>
          <w:sz w:val="20"/>
        </w:rPr>
        <w:t xml:space="preserve"> Sixth, all local models are evaluated in their q4 quantised form. Seventh, we cannot rule out pre-training contamination. Eighth, the reported $0 cost refers to API expenditure, not to the full economic cost of GPU hardware, electricity, or HPC operation.</w:t>
      </w:r>
      <w:r/>
    </w:p>
    <w:p>
      <w:pPr>
        <w:pBdr/>
        <w:spacing w:after="100" w:before="100"/>
        <w:ind/>
        <w:jc w:val="left"/>
        <w:rPr/>
      </w:pPr>
      <w:r>
        <w:rPr>
          <w:rFonts w:ascii="Times New Roman" w:hAnsi="Times New Roman"/>
          <w:b w:val="0"/>
          <w:i/>
          <w:sz w:val="20"/>
        </w:rPr>
        <w:t xml:space="preserve">6.8. Infrastructure Contribution</w:t>
      </w:r>
      <w:r/>
    </w:p>
    <w:p>
      <w:pPr>
        <w:pBdr/>
        <w:spacing w:after="100" w:before="100"/>
        <w:ind w:firstLine="283"/>
        <w:jc w:val="both"/>
        <w:rPr/>
      </w:pPr>
      <w:r>
        <w:rPr>
          <w:rFonts w:ascii="Times New Roman" w:hAnsi="Times New Roman"/>
          <w:b w:val="0"/>
          <w:i w:val="0"/>
          <w:sz w:val="20"/>
        </w:rPr>
        <w:t xml:space="preserve">A secondary contribution is the documented HPC deployment pipeline. The combination of </w:t>
      </w:r>
      <w:r>
        <w:rPr>
          <w:rFonts w:ascii="Times New Roman" w:hAnsi="Times New Roman"/>
          <w:b w:val="0"/>
          <w:i w:val="0"/>
          <w:sz w:val="20"/>
        </w:rPr>
        <w:t xml:space="preserve">SLURM job scheduling, offline Ollama serving, and a standard-library-only Python inference script provides a template applicable to other NLP classification tasks on shared research clusters without requiring pip-installed dependencies on the compute node.</w:t>
      </w:r>
      <w:r/>
    </w:p>
    <w:p>
      <w:pPr>
        <w:pBdr/>
        <w:spacing/>
        <w:ind/>
        <w:rPr/>
      </w:pPr>
      <w:r/>
      <w:r/>
    </w:p>
    <w:p>
      <w:pPr>
        <w:pBdr/>
        <w:spacing w:after="100" w:before="100"/>
        <w:ind/>
        <w:jc w:val="left"/>
        <w:rPr/>
      </w:pPr>
      <w:r>
        <w:rPr>
          <w:rFonts w:ascii="Times New Roman" w:hAnsi="Times New Roman"/>
          <w:b/>
          <w:i w:val="0"/>
          <w:sz w:val="20"/>
        </w:rPr>
        <w:t xml:space="preserve">7. CONCLUSION</w:t>
      </w:r>
      <w:r/>
    </w:p>
    <w:p>
      <w:pPr>
        <w:pBdr/>
        <w:spacing w:after="100" w:before="100"/>
        <w:ind w:firstLine="283"/>
        <w:jc w:val="both"/>
        <w:rPr/>
      </w:pPr>
      <w:r>
        <w:rPr>
          <w:rFonts w:ascii="Times New Roman" w:hAnsi="Times New Roman"/>
          <w:b w:val="0"/>
          <w:i w:val="0"/>
          <w:sz w:val="20"/>
        </w:rPr>
        <w:t xml:space="preserve">We have presente</w:t>
      </w:r>
      <w:r>
        <w:rPr>
          <w:rFonts w:ascii="Times New Roman" w:hAnsi="Times New Roman"/>
          <w:b w:val="0"/>
          <w:i w:val="0"/>
          <w:sz w:val="20"/>
        </w:rPr>
        <w:t xml:space="preserve">d a comprehensive zero-shot benchmark of eleven open-source large language models on the CFPB consumer financial complaint classification task, conducted on the TRUBA ARF HPC cluster with no commercial API expenditure. Our results demonstrate that the best</w:t>
      </w:r>
      <w:r>
        <w:rPr>
          <w:rFonts w:ascii="Times New Roman" w:hAnsi="Times New Roman"/>
          <w:b w:val="0"/>
          <w:i w:val="0"/>
          <w:sz w:val="20"/>
        </w:rPr>
        <w:t xml:space="preserve"> open-source model, gemma4:12b, achieves a mean weighted F1 of 0.774 +/- 0.016 across three independent seeds on the balanced evaluation - performance competitive with paid GPT-4.5 (F1 0.7763) and o1 (F1 0.7764) under a protocol-matched evaluation setting.</w:t>
      </w:r>
      <w:r/>
    </w:p>
    <w:p>
      <w:pPr>
        <w:pBdr/>
        <w:spacing w:after="100" w:before="100"/>
        <w:ind w:firstLine="283"/>
        <w:jc w:val="both"/>
        <w:rPr/>
      </w:pPr>
      <w:r>
        <w:rPr>
          <w:rFonts w:ascii="Times New Roman" w:hAnsi="Times New Roman"/>
          <w:b w:val="0"/>
          <w:i w:val="0"/>
          <w:sz w:val="20"/>
        </w:rPr>
        <w:t xml:space="preserve">Notably, the top-performing model is a standard (non-reasoning) 12B model, demonstrating that t</w:t>
      </w:r>
      <w:r>
        <w:rPr>
          <w:rFonts w:ascii="Times New Roman" w:hAnsi="Times New Roman"/>
          <w:b w:val="0"/>
          <w:i w:val="0"/>
          <w:sz w:val="20"/>
        </w:rPr>
        <w:t xml:space="preserve">he latest generation of standard instruction-tuned models can match or surpass larger reasoning models on structured classification tasks. The standard model phi4:14b (F1 0.706 +/- 0.011) offers the best latency-accuracy trade-off at 0.54 s per prediction.</w:t>
      </w:r>
      <w:r/>
    </w:p>
    <w:p>
      <w:pPr>
        <w:pBdr/>
        <w:spacing w:after="100" w:before="100"/>
        <w:ind w:firstLine="283"/>
        <w:jc w:val="both"/>
        <w:rPr/>
      </w:pPr>
      <w:r>
        <w:rPr>
          <w:rFonts w:ascii="Times New Roman" w:hAnsi="Times New Roman"/>
          <w:b w:val="0"/>
          <w:i w:val="0"/>
          <w:sz w:val="20"/>
        </w:rPr>
        <w:t xml:space="preserve">Our secondary imbalanced experiment r</w:t>
      </w:r>
      <w:r>
        <w:rPr>
          <w:rFonts w:ascii="Times New Roman" w:hAnsi="Times New Roman"/>
          <w:b w:val="0"/>
          <w:i w:val="0"/>
          <w:sz w:val="20"/>
        </w:rPr>
        <w:t xml:space="preserve">eveals important evaluation dynamics: aggregate accuracy improvements under imbalanced conditions are partially attributable to majority-class bias rather than genuine model improvement, underscoring the need for per-class reporting in real-world settings.</w:t>
      </w:r>
      <w:r/>
    </w:p>
    <w:p>
      <w:pPr>
        <w:pBdr/>
        <w:spacing w:after="100" w:before="100"/>
        <w:ind w:firstLine="283"/>
        <w:jc w:val="both"/>
        <w:rPr/>
      </w:pPr>
      <w:r>
        <w:rPr>
          <w:rFonts w:ascii="Times New Roman" w:hAnsi="Times New Roman"/>
          <w:b w:val="0"/>
          <w:i w:val="0"/>
          <w:sz w:val="20"/>
        </w:rPr>
        <w:t xml:space="preserve">From a practical standpoint, these findings validate the viability of self-hosted LLM deployments </w:t>
      </w:r>
      <w:r>
        <w:rPr>
          <w:rFonts w:ascii="Times New Roman" w:hAnsi="Times New Roman"/>
          <w:b w:val="0"/>
          <w:i w:val="0"/>
          <w:sz w:val="20"/>
        </w:rPr>
        <w:t xml:space="preserve">for financial NLP tasks: institutions that cannot share sensitive complaint text with third-party API providers, or that operate under budget constraints, can now achieve competitive classification quality using open-weight models on standard GPU hardware.</w:t>
      </w:r>
      <w:r/>
    </w:p>
    <w:p>
      <w:pPr>
        <w:pBdr/>
        <w:spacing w:after="100" w:before="100"/>
        <w:ind w:firstLine="283"/>
        <w:jc w:val="both"/>
        <w:rPr/>
      </w:pPr>
      <w:r>
        <w:rPr>
          <w:rFonts w:ascii="Times New Roman" w:hAnsi="Times New Roman"/>
          <w:b w:val="0"/>
          <w:i w:val="0"/>
          <w:sz w:val="20"/>
        </w:rPr>
        <w:t xml:space="preserve">Future work will explore five directions: (1) a quantisation sensitivity study at q4, q8, and fp16 precision; (2) a prompt sensitivity study across prompt </w:t>
      </w:r>
      <w:r>
        <w:rPr>
          <w:rFonts w:ascii="Times New Roman" w:hAnsi="Times New Roman"/>
          <w:b w:val="0"/>
          <w:i w:val="0"/>
          <w:sz w:val="20"/>
        </w:rPr>
        <w:t xml:space="preserve">variants; (3) fine-tuning the same eleven open-weight models on the CFPB training split; (4) long-narrative robustness by relaxing the 500-character filter; and (5) extending the benchmark to the full multi-year CFPB corpus with a richer category taxonomy.</w:t>
      </w:r>
      <w:r/>
    </w:p>
    <w:p>
      <w:pPr>
        <w:pBdr/>
        <w:spacing/>
        <w:ind/>
        <w:rPr/>
      </w:pPr>
      <w:r/>
      <w:r/>
    </w:p>
    <w:p>
      <w:pPr>
        <w:pBdr/>
        <w:spacing w:after="100" w:before="100"/>
        <w:ind/>
        <w:jc w:val="left"/>
        <w:rPr/>
      </w:pPr>
      <w:r>
        <w:rPr>
          <w:rFonts w:ascii="Times New Roman" w:hAnsi="Times New Roman"/>
          <w:b/>
          <w:i w:val="0"/>
          <w:sz w:val="20"/>
        </w:rPr>
        <w:t xml:space="preserve">Declaration of Competing Interest</w:t>
      </w:r>
      <w:r/>
    </w:p>
    <w:p>
      <w:pPr>
        <w:pBdr/>
        <w:spacing w:after="100" w:before="100"/>
        <w:ind w:firstLine="283"/>
        <w:jc w:val="both"/>
        <w:rPr/>
      </w:pPr>
      <w:r>
        <w:rPr>
          <w:rFonts w:ascii="Times New Roman" w:hAnsi="Times New Roman"/>
          <w:b w:val="0"/>
          <w:i w:val="0"/>
          <w:sz w:val="20"/>
        </w:rPr>
        <w:t xml:space="preserve">The authors declare that they have no competing interests.</w:t>
      </w:r>
      <w:r/>
    </w:p>
    <w:p>
      <w:pPr>
        <w:pBdr/>
        <w:spacing w:after="100" w:before="100"/>
        <w:ind/>
        <w:jc w:val="left"/>
        <w:rPr/>
      </w:pPr>
      <w:r>
        <w:rPr>
          <w:rFonts w:ascii="Times New Roman" w:hAnsi="Times New Roman"/>
          <w:b/>
          <w:i w:val="0"/>
          <w:sz w:val="20"/>
        </w:rPr>
        <w:t xml:space="preserve">Funding</w:t>
      </w:r>
      <w:r/>
    </w:p>
    <w:p>
      <w:pPr>
        <w:pBdr/>
        <w:spacing w:after="100" w:before="100"/>
        <w:ind w:firstLine="283"/>
        <w:jc w:val="both"/>
        <w:rPr/>
      </w:pPr>
      <w:r>
        <w:rPr>
          <w:rFonts w:ascii="Times New Roman" w:hAnsi="Times New Roman"/>
          <w:b w:val="0"/>
          <w:i w:val="0"/>
          <w:sz w:val="20"/>
        </w:rPr>
        <w:t xml:space="preserve">This research received no external funding.</w:t>
      </w:r>
      <w:r/>
    </w:p>
    <w:p>
      <w:pPr>
        <w:pBdr/>
        <w:spacing w:after="100" w:before="100"/>
        <w:ind/>
        <w:jc w:val="left"/>
        <w:rPr/>
      </w:pPr>
      <w:r>
        <w:rPr>
          <w:rFonts w:ascii="Times New Roman" w:hAnsi="Times New Roman"/>
          <w:b/>
          <w:i w:val="0"/>
          <w:sz w:val="20"/>
        </w:rPr>
        <w:t xml:space="preserve">Acknowledgements</w:t>
      </w:r>
      <w:r/>
    </w:p>
    <w:p>
      <w:pPr>
        <w:pBdr/>
        <w:spacing w:after="100" w:before="100"/>
        <w:ind w:firstLine="283"/>
        <w:jc w:val="both"/>
        <w:rPr/>
      </w:pPr>
      <w:r>
        <w:rPr>
          <w:rFonts w:ascii="Times New Roman" w:hAnsi="Times New Roman"/>
          <w:b w:val="0"/>
          <w:i w:val="0"/>
          <w:sz w:val="20"/>
        </w:rPr>
        <w:t xml:space="preserve">The numerical calculations reported in this p</w:t>
      </w:r>
      <w:r>
        <w:rPr>
          <w:rFonts w:ascii="Times New Roman" w:hAnsi="Times New Roman"/>
          <w:b w:val="0"/>
          <w:i w:val="0"/>
          <w:sz w:val="20"/>
        </w:rPr>
        <w:t xml:space="preserve">aper were fully performed at TUBITAK ULAKBIM, High Performance and Grid Computing Center (TRUBA resources). The authors gratefully acknowledge TUBITAK ULAKBIM for providing access to the TRUBA ARF cluster and the akya-cuda GPU partition used in this study.</w:t>
      </w:r>
      <w:r/>
    </w:p>
    <w:p>
      <w:pPr>
        <w:pBdr/>
        <w:spacing w:after="100" w:before="100"/>
        <w:ind/>
        <w:jc w:val="left"/>
        <w:rPr/>
      </w:pPr>
      <w:r>
        <w:rPr>
          <w:rFonts w:ascii="Times New Roman" w:hAnsi="Times New Roman"/>
          <w:b/>
          <w:i w:val="0"/>
          <w:sz w:val="20"/>
        </w:rPr>
        <w:t xml:space="preserve">Code Availability</w:t>
      </w:r>
      <w:r/>
    </w:p>
    <w:p>
      <w:pPr>
        <w:pBdr/>
        <w:spacing w:after="100" w:before="100"/>
        <w:ind w:firstLine="283"/>
        <w:jc w:val="both"/>
        <w:rPr/>
      </w:pPr>
      <w:r>
        <w:t xml:space="preserve">All source code, preprocessing scripts, and SLURM job files used in this study will be made available after the peer-review process to preserve author anonymity.</w:t>
      </w:r>
      <w:r/>
    </w:p>
    <w:p>
      <w:pPr>
        <w:pBdr/>
        <w:spacing/>
        <w:ind/>
        <w:rPr/>
      </w:pPr>
      <w:r/>
      <w:r/>
    </w:p>
    <w:p>
      <w:pPr>
        <w:pBdr/>
        <w:spacing w:after="100" w:before="100"/>
        <w:ind/>
        <w:jc w:val="left"/>
        <w:rPr/>
      </w:pPr>
      <w:r>
        <w:rPr>
          <w:rFonts w:ascii="Times New Roman" w:hAnsi="Times New Roman"/>
          <w:b/>
          <w:i w:val="0"/>
          <w:sz w:val="20"/>
        </w:rPr>
        <w:t xml:space="preserve">REFERENCES</w:t>
      </w:r>
      <w:r/>
    </w:p>
    <w:p>
      <w:pPr>
        <w:pBdr/>
        <w:spacing w:after="40" w:before="40"/>
        <w:ind w:hanging="340" w:left="340"/>
        <w:jc w:val="both"/>
        <w:rPr/>
      </w:pPr>
      <w:r>
        <w:rPr>
          <w:rFonts w:ascii="Times New Roman" w:hAnsi="Times New Roman"/>
          <w:b w:val="0"/>
          <w:i w:val="0"/>
          <w:sz w:val="20"/>
        </w:rPr>
        <w:t xml:space="preserve">[1]  S. Das et al., "Explainable AI for Financial Consumer Complaint Classification," IEEE Transactions on Computational Social Systems, vol. 11, pp. 3606-3615, 2024.</w:t>
      </w:r>
      <w:r/>
    </w:p>
    <w:p>
      <w:pPr>
        <w:pBdr/>
        <w:spacing w:after="40" w:before="40"/>
        <w:ind w:hanging="340" w:left="340"/>
        <w:jc w:val="both"/>
        <w:rPr/>
      </w:pPr>
      <w:r>
        <w:rPr>
          <w:rFonts w:ascii="Times New Roman" w:hAnsi="Times New Roman"/>
          <w:b w:val="0"/>
          <w:i w:val="0"/>
          <w:sz w:val="20"/>
        </w:rPr>
        <w:t xml:space="preserve">[2]  Y. Liu, X. Ouyang, R. Bai, X. Zhu, Y. Zhou, Y. Zhang, and C. Liu, "A Framework for Categorizing Complaint Text via Large Language Model," in Proc. IEEE ICAACE, 2024.</w:t>
      </w:r>
      <w:r/>
    </w:p>
    <w:p>
      <w:pPr>
        <w:pBdr/>
        <w:spacing w:after="40" w:before="40"/>
        <w:ind w:hanging="340" w:left="340"/>
        <w:jc w:val="both"/>
        <w:rPr/>
      </w:pPr>
      <w:r>
        <w:rPr>
          <w:rFonts w:ascii="Times New Roman" w:hAnsi="Times New Roman"/>
          <w:b w:val="0"/>
          <w:i w:val="0"/>
          <w:sz w:val="20"/>
        </w:rPr>
        <w:t xml:space="preserve">[3]  R. Jondhale, S. Patil, A. Shinde, D. Ajalkar, and S. Biradar, "Predicting Consumer Complaint Disputes in Finance Using Machine Learning," in Proc. IEEE ICAIT, 2024.</w:t>
      </w:r>
      <w:r/>
    </w:p>
    <w:p>
      <w:pPr>
        <w:pBdr/>
        <w:spacing w:after="40" w:before="40"/>
        <w:ind w:hanging="340" w:left="340"/>
        <w:jc w:val="both"/>
        <w:rPr/>
      </w:pPr>
      <w:r>
        <w:rPr>
          <w:rFonts w:ascii="Times New Roman" w:hAnsi="Times New Roman"/>
          <w:b w:val="0"/>
          <w:i w:val="0"/>
          <w:sz w:val="20"/>
        </w:rPr>
        <w:t xml:space="preserve">[4]  Z. Di et al., "Research on Mobile Network User Complaint Warning Method Based on Multimodal Data," in Proc. IEEE ICT-DM, 2023, pp. 1-6. doi: 10.1109/ICT-DM58371.2023.10286947.</w:t>
      </w:r>
      <w:r/>
    </w:p>
    <w:p>
      <w:pPr>
        <w:pBdr/>
        <w:spacing w:after="40" w:before="40"/>
        <w:ind w:hanging="340" w:left="340"/>
        <w:jc w:val="both"/>
        <w:rPr/>
      </w:pPr>
      <w:r>
        <w:rPr>
          <w:rFonts w:ascii="Times New Roman" w:hAnsi="Times New Roman"/>
          <w:b w:val="0"/>
          <w:i w:val="0"/>
          <w:sz w:val="20"/>
        </w:rPr>
        <w:t xml:space="preserve">[5]  European Parliament and Council of the EU, "Regulation (EU) 2016/679 (General Data Protection Regulation)," Official Journal of the EU, L 119, pp. 1-88, 2016.</w:t>
      </w:r>
      <w:r/>
    </w:p>
    <w:p>
      <w:pPr>
        <w:pBdr/>
        <w:spacing w:after="40" w:before="40"/>
        <w:ind w:hanging="340" w:left="340"/>
        <w:jc w:val="both"/>
        <w:rPr/>
      </w:pPr>
      <w:r>
        <w:rPr>
          <w:rFonts w:ascii="Times New Roman" w:hAnsi="Times New Roman"/>
          <w:b w:val="0"/>
          <w:i w:val="0"/>
          <w:sz w:val="20"/>
        </w:rPr>
        <w:t xml:space="preserve">[6]  European Parliament and Council of the EU, "Regulation (EU) 2024/1689 (Artificial Intelligence Act)," Official Journal of the EU, L 2024/1689, 2024.</w:t>
      </w:r>
      <w:r/>
    </w:p>
    <w:p>
      <w:pPr>
        <w:pBdr/>
        <w:spacing w:after="40" w:before="40"/>
        <w:ind w:hanging="340" w:left="340"/>
        <w:jc w:val="both"/>
        <w:rPr/>
      </w:pPr>
      <w:r>
        <w:rPr>
          <w:rFonts w:ascii="Times New Roman" w:hAnsi="Times New Roman"/>
          <w:b w:val="0"/>
          <w:i w:val="0"/>
          <w:sz w:val="20"/>
        </w:rPr>
        <w:t xml:space="preserve">[7]  European Banking Authority, "Guidelines on Outsourcing Arrangements," EBA/GL/2019/02, 2019.</w:t>
      </w:r>
      <w:r/>
    </w:p>
    <w:p>
      <w:pPr>
        <w:pBdr/>
        <w:spacing w:after="40" w:before="40"/>
        <w:ind w:hanging="340" w:left="340"/>
        <w:jc w:val="both"/>
        <w:rPr/>
      </w:pPr>
      <w:r>
        <w:rPr>
          <w:rFonts w:ascii="Times New Roman" w:hAnsi="Times New Roman"/>
          <w:b w:val="0"/>
          <w:i w:val="0"/>
          <w:sz w:val="20"/>
        </w:rPr>
        <w:t xml:space="preserve">[8]  J. Devlin, M.-W. Chang, K. Lee, and K. Toutanova, "BERT: Pre-Training of Deep Bidirectional Transformers for Language Understanding," in Proc. NAACL-HLT, 2019, pp. 4171-4186.</w:t>
      </w:r>
      <w:r/>
    </w:p>
    <w:p>
      <w:pPr>
        <w:pBdr/>
        <w:spacing w:after="40" w:before="40"/>
        <w:ind w:hanging="340" w:left="340"/>
        <w:jc w:val="both"/>
        <w:rPr/>
      </w:pPr>
      <w:r>
        <w:rPr>
          <w:rFonts w:ascii="Times New Roman" w:hAnsi="Times New Roman"/>
          <w:b w:val="0"/>
          <w:i w:val="0"/>
          <w:sz w:val="20"/>
        </w:rPr>
        <w:t xml:space="preserve">[9]  C. Vairetti et al., "BETO-Based Prioritization of Consumer Complaints," European Journal of Operational Research, vol. 312, pp. 1108-1118, 2024.</w:t>
      </w:r>
      <w:r/>
    </w:p>
    <w:p>
      <w:pPr>
        <w:pBdr/>
        <w:spacing w:after="40" w:before="40"/>
        <w:ind w:hanging="340" w:left="340"/>
        <w:jc w:val="both"/>
        <w:rPr/>
      </w:pPr>
      <w:r>
        <w:rPr>
          <w:rFonts w:ascii="Times New Roman" w:hAnsi="Times New Roman"/>
          <w:b w:val="0"/>
          <w:i w:val="0"/>
          <w:sz w:val="20"/>
        </w:rPr>
        <w:t xml:space="preserve">[10] T. B. Brown et al., "Language Models are Few-Shot Learners," in Proc. NeurIPS, vol. 33, pp. 1877-1901, 2020.</w:t>
      </w:r>
      <w:r/>
    </w:p>
    <w:p>
      <w:pPr>
        <w:pBdr/>
        <w:spacing w:after="40" w:before="40"/>
        <w:ind w:hanging="340" w:left="340"/>
        <w:jc w:val="both"/>
        <w:rPr/>
      </w:pPr>
      <w:r>
        <w:rPr>
          <w:rFonts w:ascii="Times New Roman" w:hAnsi="Times New Roman"/>
          <w:b w:val="0"/>
          <w:i w:val="0"/>
          <w:sz w:val="20"/>
        </w:rPr>
        <w:t xml:space="preserve">[11] T. Kojima, S. S. Gu, M. Reid, Y. Matsuo, and Y. Iwasawa, "Large Language Models are Zero-Shot Reasoners," in Proc. NeurIPS, vol. 35, 2022.</w:t>
      </w:r>
      <w:r/>
    </w:p>
    <w:p>
      <w:pPr>
        <w:pBdr/>
        <w:spacing w:after="40" w:before="40"/>
        <w:ind w:hanging="340" w:left="340"/>
        <w:jc w:val="both"/>
        <w:rPr/>
      </w:pPr>
      <w:r>
        <w:rPr>
          <w:rFonts w:ascii="Times New Roman" w:hAnsi="Times New Roman"/>
          <w:b w:val="0"/>
          <w:i w:val="0"/>
          <w:sz w:val="20"/>
        </w:rPr>
        <w:t xml:space="preserve">[12] M. Madanchian, "Generative AI for Consumer Behavior Prediction: Techniques and Applications," Sustainability, vol. 16, 2024.</w:t>
      </w:r>
      <w:r/>
    </w:p>
    <w:p>
      <w:pPr>
        <w:pBdr/>
        <w:spacing w:after="40" w:before="40"/>
        <w:ind w:hanging="340" w:left="340"/>
        <w:jc w:val="both"/>
        <w:rPr/>
      </w:pPr>
      <w:r>
        <w:rPr>
          <w:rFonts w:ascii="Times New Roman" w:hAnsi="Times New Roman"/>
          <w:b w:val="0"/>
          <w:i w:val="0"/>
          <w:sz w:val="20"/>
        </w:rPr>
        <w:t xml:space="preserve">[13] K. I.</w:t>
      </w:r>
      <w:r>
        <w:rPr>
          <w:rFonts w:ascii="Times New Roman" w:hAnsi="Times New Roman"/>
          <w:b w:val="0"/>
          <w:i w:val="0"/>
          <w:sz w:val="20"/>
        </w:rPr>
        <w:t xml:space="preserve"> Roumeliotis, N. D. Tselikas, and D. K. Nasiopoulos, "Think Before You Classify: The Rise of Reasoning Large Language Models for Consumer Complaint Detection and Classification," Electronics, vol. 14, no. 6, p. 1070, 2025. doi: 10.3390/electronics14061070.</w:t>
      </w:r>
      <w:r/>
    </w:p>
    <w:p>
      <w:pPr>
        <w:pBdr/>
        <w:spacing w:after="40" w:before="40"/>
        <w:ind w:hanging="340" w:left="340"/>
        <w:jc w:val="both"/>
        <w:rPr/>
      </w:pPr>
      <w:r>
        <w:rPr>
          <w:rFonts w:ascii="Times New Roman" w:hAnsi="Times New Roman"/>
          <w:b w:val="0"/>
          <w:i w:val="0"/>
          <w:sz w:val="20"/>
        </w:rPr>
        <w:t xml:space="preserve">[14] A. Raju et al., "Topic Modeling and Classification of CFPB Consumer Complaints Using Transformer Models," in Proc. IEEE ICMLA, 2022.</w:t>
      </w:r>
      <w:r/>
    </w:p>
    <w:p>
      <w:pPr>
        <w:pBdr/>
        <w:spacing w:after="40" w:before="40"/>
        <w:ind w:hanging="340" w:left="340"/>
        <w:jc w:val="both"/>
        <w:rPr/>
      </w:pPr>
      <w:r>
        <w:rPr>
          <w:rFonts w:ascii="Times New Roman" w:hAnsi="Times New Roman"/>
          <w:b w:val="0"/>
          <w:i w:val="0"/>
          <w:sz w:val="20"/>
        </w:rPr>
        <w:t xml:space="preserve">[15] J. Lilleberg, Y. Zhu, and Y. Zhang, "Support Vector Machines and Word2vec for Text Classification with Semantic Features," in Proc. IEEE ICCI*CC, 2015, pp. 136-140. doi: 10.1109/ICCI-CC.2015.7259377.</w:t>
      </w:r>
      <w:r/>
    </w:p>
    <w:p>
      <w:pPr>
        <w:pBdr/>
        <w:spacing w:after="40" w:before="40"/>
        <w:ind w:hanging="340" w:left="340"/>
        <w:jc w:val="both"/>
        <w:rPr/>
      </w:pPr>
      <w:r>
        <w:rPr>
          <w:rFonts w:ascii="Times New Roman" w:hAnsi="Times New Roman"/>
          <w:b w:val="0"/>
          <w:i w:val="0"/>
          <w:sz w:val="20"/>
        </w:rPr>
        <w:t xml:space="preserve">[16] M. Grootendorst, "BERTopic: Leveraging BERT and c-TF-IDF to Create Easily Interpretable Topics," Zenodo, 2020. doi: 10.5281/zenodo.4381785.</w:t>
      </w:r>
      <w:r/>
    </w:p>
    <w:p>
      <w:pPr>
        <w:pBdr/>
        <w:spacing w:after="40" w:before="40"/>
        <w:ind w:hanging="340" w:left="340"/>
        <w:jc w:val="both"/>
        <w:rPr/>
      </w:pPr>
      <w:r>
        <w:rPr>
          <w:rFonts w:ascii="Times New Roman" w:hAnsi="Times New Roman"/>
          <w:b w:val="0"/>
          <w:i w:val="0"/>
          <w:sz w:val="20"/>
        </w:rPr>
        <w:t xml:space="preserve">[17] W. X. Zhao et al., "A Survey of Large Language Models," arXiv preprint arXiv:2303.18223, 2023.</w:t>
      </w:r>
      <w:r/>
    </w:p>
    <w:p>
      <w:pPr>
        <w:pBdr/>
        <w:spacing w:after="40" w:before="40"/>
        <w:ind w:hanging="340" w:left="340"/>
        <w:jc w:val="both"/>
        <w:rPr/>
      </w:pPr>
      <w:r>
        <w:rPr>
          <w:rFonts w:ascii="Times New Roman" w:hAnsi="Times New Roman"/>
          <w:b w:val="0"/>
          <w:i w:val="0"/>
          <w:sz w:val="20"/>
        </w:rPr>
        <w:t xml:space="preserve">[18] D. Correa et al., "Generative AI for Consumer Complaint Analysis: Classification, Summarization, and Response Generation," in Proc. IEEE Andescon, 2024.</w:t>
      </w:r>
      <w:r/>
    </w:p>
    <w:p>
      <w:pPr>
        <w:pBdr/>
        <w:spacing w:after="40" w:before="40"/>
        <w:ind w:hanging="340" w:left="340"/>
        <w:jc w:val="both"/>
        <w:rPr/>
      </w:pPr>
      <w:r>
        <w:rPr>
          <w:rFonts w:ascii="Times New Roman" w:hAnsi="Times New Roman"/>
          <w:b w:val="0"/>
          <w:i w:val="0"/>
          <w:sz w:val="20"/>
        </w:rPr>
        <w:t xml:space="preserve">[19</w:t>
      </w:r>
      <w:r>
        <w:rPr>
          <w:rFonts w:ascii="Times New Roman" w:hAnsi="Times New Roman"/>
          <w:b w:val="0"/>
          <w:i w:val="0"/>
          <w:sz w:val="20"/>
        </w:rPr>
        <w:t xml:space="preserve">] K. I. Roumeliotis, N. D. Tselikas, and D. K. Nasiopoulos, "Leveraging Large Language Models in Tourism: A Comparative Study of the Latest GPT Omni Models and BERT NLP for Customer Review Classification and Sentiment Analysis," Information, vol. 15, 2024.</w:t>
      </w:r>
      <w:r/>
    </w:p>
    <w:p>
      <w:pPr>
        <w:pBdr/>
        <w:spacing w:after="40" w:before="40"/>
        <w:ind w:hanging="340" w:left="340"/>
        <w:jc w:val="both"/>
        <w:rPr/>
      </w:pPr>
      <w:r>
        <w:rPr>
          <w:rFonts w:ascii="Times New Roman" w:hAnsi="Times New Roman"/>
          <w:b w:val="0"/>
          <w:i w:val="0"/>
          <w:sz w:val="20"/>
        </w:rPr>
        <w:t xml:space="preserve">[20] K. I. Roumeliotis, N. D. Tselikas, and D. K. Nasiopoulos, "LLMs in E-Commerce: A Comparative Analysis of GPT and LLaMA Models in Product Review Evaluation," Natural Language Processing Journal, vol. 6, p. 100056, 2024. doi: 10.1016/j.nlp.2024.100056.</w:t>
      </w:r>
      <w:r/>
    </w:p>
    <w:p>
      <w:pPr>
        <w:pBdr/>
        <w:spacing w:after="40" w:before="40"/>
        <w:ind w:hanging="340" w:left="340"/>
        <w:jc w:val="both"/>
        <w:rPr/>
      </w:pPr>
      <w:r>
        <w:rPr>
          <w:rFonts w:ascii="Times New Roman" w:hAnsi="Times New Roman"/>
          <w:b w:val="0"/>
          <w:i w:val="0"/>
          <w:sz w:val="20"/>
        </w:rPr>
        <w:t xml:space="preserve">[21] F. Li et al., "Performance Evaluations of Large Language Models for Customer Service," International Journal of Machine Learning and Cybernetics, 2024.</w:t>
      </w:r>
      <w:r/>
    </w:p>
    <w:p>
      <w:pPr>
        <w:pBdr/>
        <w:spacing w:after="40" w:before="40"/>
        <w:ind w:hanging="340" w:left="340"/>
        <w:jc w:val="both"/>
        <w:rPr/>
      </w:pPr>
      <w:r>
        <w:rPr>
          <w:rFonts w:ascii="Times New Roman" w:hAnsi="Times New Roman"/>
          <w:b w:val="0"/>
          <w:i w:val="0"/>
          <w:sz w:val="20"/>
        </w:rPr>
        <w:t xml:space="preserve">[22] J. Shin et al., "Detecting LLM-Written Consumer Complaints at Scale," arXiv preprint arXiv:2311.16466, 2025.</w:t>
      </w:r>
      <w:r/>
    </w:p>
    <w:p>
      <w:pPr>
        <w:pBdr/>
        <w:spacing w:after="40" w:before="40"/>
        <w:ind w:hanging="340" w:left="340"/>
        <w:jc w:val="both"/>
        <w:rPr/>
      </w:pPr>
      <w:r>
        <w:rPr>
          <w:rFonts w:ascii="Times New Roman" w:hAnsi="Times New Roman"/>
          <w:b w:val="0"/>
          <w:i w:val="0"/>
          <w:sz w:val="20"/>
        </w:rPr>
        <w:t xml:space="preserve">[23] P. Liang et al., "LLM-Assisted Consumer Complaint Writing: Evidence from CFPB Data," arXiv preprint arXiv:2502.09747, 2025.</w:t>
      </w:r>
      <w:r/>
    </w:p>
    <w:p>
      <w:pPr>
        <w:pBdr/>
        <w:spacing w:after="40" w:before="40"/>
        <w:ind w:hanging="340" w:left="340"/>
        <w:jc w:val="both"/>
        <w:rPr/>
      </w:pPr>
      <w:r>
        <w:rPr>
          <w:rFonts w:ascii="Times New Roman" w:hAnsi="Times New Roman"/>
          <w:b w:val="0"/>
          <w:i w:val="0"/>
          <w:sz w:val="20"/>
        </w:rPr>
        <w:t xml:space="preserve">[24] J. Wei et al., "Chain-of-Thought Prompting Elicits Reasoning in Large Language Models," in Proc. NeurIPS, vol. 35, 2022.</w:t>
      </w:r>
      <w:r/>
    </w:p>
    <w:p>
      <w:pPr>
        <w:pBdr/>
        <w:spacing w:after="40" w:before="40"/>
        <w:ind w:hanging="340" w:left="340"/>
        <w:jc w:val="both"/>
        <w:rPr/>
      </w:pPr>
      <w:r>
        <w:rPr>
          <w:rFonts w:ascii="Times New Roman" w:hAnsi="Times New Roman"/>
          <w:b w:val="0"/>
          <w:i w:val="0"/>
          <w:sz w:val="20"/>
        </w:rPr>
        <w:t xml:space="preserve">[25] DeepSeek-AI et al., "DeepSeek LLM: Scaling Open-Source Language Models with Longtermism," arXiv preprint arXiv:2401.02954, 2024.</w:t>
      </w:r>
      <w:r/>
    </w:p>
    <w:p>
      <w:pPr>
        <w:pBdr/>
        <w:spacing w:after="40" w:before="40"/>
        <w:ind w:hanging="340" w:left="340"/>
        <w:jc w:val="both"/>
        <w:rPr/>
      </w:pPr>
      <w:r>
        <w:rPr>
          <w:rFonts w:ascii="Times New Roman" w:hAnsi="Times New Roman"/>
          <w:b w:val="0"/>
          <w:i w:val="0"/>
          <w:sz w:val="20"/>
        </w:rPr>
        <w:t xml:space="preserve">[26] D. Guo et al., "DeepSeek-R1: Incentivizing Reasoning Capability in LLMs via Reinforcement Learning," arXiv preprint arXiv:2501.12948, 2025.</w:t>
      </w:r>
      <w:r/>
    </w:p>
    <w:p>
      <w:pPr>
        <w:pBdr/>
        <w:spacing w:after="40" w:before="40"/>
        <w:ind w:hanging="340" w:left="340"/>
        <w:jc w:val="both"/>
        <w:rPr/>
      </w:pPr>
      <w:r>
        <w:rPr>
          <w:rFonts w:ascii="Times New Roman" w:hAnsi="Times New Roman"/>
          <w:b w:val="0"/>
          <w:i w:val="0"/>
          <w:sz w:val="20"/>
        </w:rPr>
        <w:t xml:space="preserve">[27] Qwen Team, "Qwen3 Technical Report," arXiv preprint arXiv:2505.09388, 2025.</w:t>
      </w:r>
      <w:r/>
    </w:p>
    <w:p>
      <w:pPr>
        <w:pBdr/>
        <w:spacing w:after="40" w:before="40"/>
        <w:ind w:hanging="340" w:left="340"/>
        <w:jc w:val="both"/>
        <w:rPr/>
      </w:pPr>
      <w:r>
        <w:rPr>
          <w:rFonts w:ascii="Times New Roman" w:hAnsi="Times New Roman"/>
          <w:b w:val="0"/>
          <w:i w:val="0"/>
          <w:sz w:val="20"/>
        </w:rPr>
        <w:t xml:space="preserve">[28] V. Bulgakov and A. Turchin, "Reasoning-Enhanced Rare-Event Prediction with Balanced Outcome Correction," arXiv preprint arXiv:2601.16406, 2026.</w:t>
      </w:r>
      <w:r/>
    </w:p>
    <w:p>
      <w:pPr>
        <w:pBdr/>
        <w:spacing w:after="40" w:before="40"/>
        <w:ind w:hanging="340" w:left="340"/>
        <w:jc w:val="both"/>
        <w:rPr/>
      </w:pPr>
      <w:r>
        <w:rPr>
          <w:rFonts w:ascii="Times New Roman" w:hAnsi="Times New Roman"/>
          <w:b w:val="0"/>
          <w:i w:val="0"/>
          <w:sz w:val="20"/>
        </w:rPr>
        <w:t xml:space="preserve">[29] B. Gullu et al., "Fine-Tuning LLaMA-3.1-8B for Consumer Complaint Classification," in Proc. IEEE ACDSA, Antalya, Turkey, 2025.</w:t>
      </w:r>
      <w:r/>
    </w:p>
    <w:p>
      <w:pPr>
        <w:pBdr/>
        <w:spacing w:after="40" w:before="40"/>
        <w:ind w:hanging="340" w:left="340"/>
        <w:jc w:val="both"/>
        <w:rPr/>
      </w:pPr>
      <w:r>
        <w:rPr>
          <w:rFonts w:ascii="Times New Roman" w:hAnsi="Times New Roman"/>
          <w:b w:val="0"/>
          <w:i w:val="0"/>
          <w:sz w:val="20"/>
        </w:rPr>
        <w:t xml:space="preserve">[30] S. Tiwari, "Consumer Complaints Dataset for NLP," Kaggle, 2021. [Online]. Available: https://www.kaggle.com/datasets/shashwatwork/consume-complaints-dataset-fo-nlp [Accessed: 15 June 2026].</w:t>
      </w:r>
      <w:r/>
    </w:p>
    <w:sectPr>
      <w:footnotePr/>
      <w:endnotePr/>
      <w:type w:val="nextPage"/>
      <w:pgSz w:h="16838" w:orient="portrait" w:w="11906"/>
      <w:pgMar w:top="1134" w:right="1134" w:bottom="1417"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4</cp:revision>
  <dcterms:created xsi:type="dcterms:W3CDTF">2013-12-23T23:15:00Z</dcterms:created>
  <dcterms:modified xsi:type="dcterms:W3CDTF">2026-06-16T12:14:11Z</dcterms:modified>
  <cp:category/>
</cp:coreProperties>
</file>