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jc w:val="center"/>
      </w:pPr>
      <w:r>
        <w:rPr>
          <w:rFonts w:ascii="Times New Roman" w:hAnsi="Times New Roman"/>
          <w:b w:val="0"/>
          <w:i w:val="0"/>
          <w:sz w:val="40"/>
        </w:rPr>
        <w:t>Sıfır-Atış Tüketici Şikayeti Sınıflandırması için Açık Kaynaklı BDM'ler Ücretli API'lerin Yerini Alabilir mi?</w:t>
      </w:r>
    </w:p>
    <w:p>
      <w:pPr>
        <w:spacing w:before="100" w:after="100"/>
        <w:jc w:val="both"/>
      </w:pPr>
      <w:r>
        <w:rPr>
          <w:rFonts w:ascii="Times New Roman" w:hAnsi="Times New Roman"/>
          <w:b/>
          <w:i/>
          <w:sz w:val="20"/>
        </w:rPr>
        <w:t xml:space="preserve">Özet— </w:t>
      </w:r>
      <w:r>
        <w:rPr>
          <w:rFonts w:ascii="Times New Roman" w:hAnsi="Times New Roman"/>
          <w:b w:val="0"/>
          <w:i w:val="0"/>
          <w:sz w:val="20"/>
        </w:rPr>
        <w:t>Tüketici finansal şikayetlerinin otomatik sınıflandırılması, düzenleyici denetim ve müşteri hizmetleri önceliklendirmesi açısından kritik öneme sahiptir. Son çalışmalar, büyük özel dil modeli (BDM) API'leri kullanılarak güçlü sıfır-atış performansı elde edildiğini gösterse de bu yaklaşımlar önemli ve sürekli maliyetler doğurmaktadır. Bu çalışmada, yerel olarak konuşlandırılan açık kaynaklı BDM'lerin, herhangi bir ticari API harcaması olmaksızın ücretli API muadilleriyle rekabet edebilir sınıflandırma kalitesine ulaşıp ulaşamayacağı araştırılmıştır. Tüketici Finansal Koruma Bürosu (CFPB) beş kategorili sıfır-atış görevinde on bir açık ağırlıklı model (altı standart, beş akıl yürütme), dengeli ve dengesiz olmak üzere iki deneysel koşulda, üç rastgele tohum ve iki anlatım uzunluğu sınırı (250 ve 500 karakter) ile karşılaştırmalı olarak değerlendirilmiştir. En iyi modelimiz olan gemma4:12b, dengeli değerlendirmede 0,774 ± 0,016 ortalama ağırlıklı F1 skoru elde etmiş; bu sonuç protokol eşleşmeli değerlendirme ortamında ücretli GPT-4.5 (F1 0,7763) ve o1 (F1 0,7764) ile rekabet edebilir düzeydedir. En iyi sonucun, akıl yürütme modeli olmayan 12B parametreli standart bir modelden gelmesi, akıl yürütme modellerinin yapılandırılmış sınıflandırma görevleri için zorunlu olduğu görüşünü sorgulatmaktadır. Çalışmada ayrıca etiket dışı tahmin davranışı incelenmiş ve on bir modelde gözlemlenen gecikme-doğruluk dengesine dayalı dağıtım önerileri sunulmuştur.</w:t>
      </w:r>
    </w:p>
    <w:p>
      <w:pPr>
        <w:spacing w:before="100" w:after="100"/>
        <w:jc w:val="both"/>
      </w:pPr>
      <w:r>
        <w:rPr>
          <w:rFonts w:ascii="Times New Roman" w:hAnsi="Times New Roman"/>
          <w:b/>
          <w:i/>
          <w:sz w:val="20"/>
        </w:rPr>
        <w:t xml:space="preserve">Anahtar Kelimeler— </w:t>
      </w:r>
      <w:r>
        <w:rPr>
          <w:rFonts w:ascii="Times New Roman" w:hAnsi="Times New Roman"/>
          <w:b w:val="0"/>
          <w:i w:val="0"/>
          <w:sz w:val="20"/>
        </w:rPr>
        <w:t>tüketici şikayeti sınıflandırması, büyük dil modelleri, sıfır-atış öğrenme, açık kaynaklı BDM'ler, CFPB, akıl yürütme modelleri, doğal dil işleme</w:t>
      </w:r>
    </w:p>
    <w:sectPr w:rsidR="00FC693F" w:rsidRPr="0006063C" w:rsidSect="00034616">
      <w:pgSz w:w="11906" w:h="16838"/>
      <w:pgMar w:top="1134"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