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Tadabbur Ayat Tasliyah sebagai Intervensi Psikospiritual: Pengaruhnya terhadap Positive Thinking, Kecemasan, dan Restrukturisasi Kognitif pada Santri Pondok Informatika</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0" distR="0" hidden="0" layoutInCell="1" locked="0" relativeHeight="0" simplePos="0">
            <wp:simplePos x="0" y="0"/>
            <wp:positionH relativeFrom="column">
              <wp:posOffset>2047874</wp:posOffset>
            </wp:positionH>
            <wp:positionV relativeFrom="paragraph">
              <wp:posOffset>314325</wp:posOffset>
            </wp:positionV>
            <wp:extent cx="1698625" cy="1706877"/>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98625" cy="1706877"/>
                    </a:xfrm>
                    <a:prstGeom prst="rect"/>
                    <a:ln/>
                  </pic:spPr>
                </pic:pic>
              </a:graphicData>
            </a:graphic>
          </wp:anchor>
        </w:drawing>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Oleh</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Muhdan Fyan Syah Sofian</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 10007061</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Magister of  Science Psychology </w:t>
      </w:r>
      <w:r w:rsidDel="00000000" w:rsidR="00000000" w:rsidRPr="00000000">
        <w:rPr>
          <w:rFonts w:ascii="Times New Roman" w:cs="Times New Roman" w:eastAsia="Times New Roman" w:hAnsi="Times New Roman"/>
          <w:b w:val="1"/>
          <w:bCs w:val="1"/>
          <w:color w:val="000000"/>
          <w:sz w:val="24"/>
          <w:szCs w:val="24"/>
          <w:rtl w:val="0"/>
        </w:rPr>
        <w:t xml:space="preserve">and Islamic Counselling (MSc.PIC)</w:t>
      </w: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Open University Indonesia</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BAB I: PENDAHULUAN</w:t>
      </w: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1.1 Latar Belakang Masalah</w:t>
      </w: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Kesejahteraan psikologis merupakan aspek fundamental dalam kehidupan manusia modern, terutama di era ketidakpastian sosial dan teknologi digital yang kompleks. Individu dengan kesejahteraan psikologis yang optimal mampu mengelola emosi, berpikir positif, dan menghadapi tekanan hidup secara adaptif. Sebaliknya, ketidakseimbangan psikologis menurunkan kualitas hidup dan produktivitas. Menurut </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World Health Organization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(WHO, 2023), lebih dari 301 juta orang di dunia mengalami gangguan kecemasan, menjadikannya salah satu masalah kesehatan mental terbesar setelah depresi. Di Indonesia, Riset Kesehatan Dasar (Riskesdas, 2022) menunjukkan peningkatan signifikan kasus kecemasan pada remaja dan mahasiswa kelompok usia 15–30 tahun, dipicu oleh tekanan akademik, ketidakpastian masa depan, dan konflik nilai antara budaya modern dengan nilai-nilai spiritual.</w:t>
      </w: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Kecemasan juga ditemukan di lingkungan pesantren modern, khususnya di Pondok Informatika, tempat santri dituntut unggul dalam keagamaan sekaligus teknologi digital. Secara konseptual (Das Sollen), santri dalam lingkungan religius seharusnya memiliki ketenangan jiwa dan keseimbangan mental yang lebih kuat. Namun pada kenyataannya (Das Sein), mereka menghadapi tekanan akademik tinggi, beban moral sebagai pelajar agama, dan tantangan adaptasi teknologi yang menuntut kompetensi maksimal. Wawancara awal dengan beberapa santri (Studi Pendahuluan, 2025) menunjukkan lebih dari 60% santri mengalami gejala kecemasan ringan hingga sedang, terutama saat menghadapi ujian atau tugas keagamaan yang padat. Fenomena ini mengungkapkan ironi: meskipun memiliki akses ke nilai-nilai spiritual, santri tetap mengalami distress psikologis yang signifikan. Pondok Informatika merupakan pesantren modern yang mengintegrasikan kurikulum agama (hafalan Quran dan ilmu-ilmu syar'i) dengan kompetensi teknologi digital secara simultan. Model integratif ini menuntut santri untuk unggul di dua domain sekaligus—spiritual dan digital—yang secara psikologis menciptakan tekanan ganda (dual burden). Santri tidak hanya dituntut mencapai target hafalan dan pemahaman keagamaan, tetapi juga harus menguasai keterampilan pemrograman, jaringan, dan literasi digital. Ekspektasi tinggi dari orang tua dan masyarakat memandang pondok ini sebagai pusat pencetak generasi muslim yang melek teknologi, namun dukungan psikologis formal di lingkungan pondok masih sangat terbatas. Kondisi inilah yang mendorong peneliti memilih Pondok Informatika sebagai lokasi penelitian, karena merepresentasikan konteks unik di mana tekanan psikologis tinggi namun akses terhadap intervensi psikospiritual terstruktur masih minim.</w:t>
      </w: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Harapan vs. Kenyataan &amp; Dampak</w:t>
      </w: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Kesenjangan antara spiritualitas yang dipelajari dengan keseimbangan psikologis yang dialami ini menciptakan dampak negatif: penurunan prestasi akademik, alienasi spiritual, dan peningkatan perilaku mencari pereda (coping maladaptif). Jika dibiarkan, hal ini dapat mengikis manfaat spiritual pesantren sebagai pusat pengembangan integral antara akhlak dan ilmu.</w:t>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Solusi Potensial &amp; Relevansi Teori</w:t>
      </w: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satu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pendekatan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potensial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adalah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terhadap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penghibur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diturunkan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untuk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menenangkan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Rasulullah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ﷺ</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menghadapi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kesedihan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Adh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Dhuha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Insyirah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menegaskan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bahwa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tidak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meninggalkan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hamba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Nya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setiap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kesulitan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disertai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kemudahan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Nilai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nilai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sejajar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dengan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prinsip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cognitive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restructuring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dalam</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Cognitive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Behavioral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Therapy</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CBT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mengubah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pola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pikir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negatif</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menjadi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rasional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positif</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Beck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1979).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berpotensi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menjadi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mekanisme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psikospiritual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menstimulasi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restrukturisasi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kognitif</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menumbuhkan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optimisme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berbasis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keimanan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Literature Review &amp; Penelitian Terdahulu</w:t>
      </w: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mengenai terapi Qur'ani telah berkembang: Mawaddah et al. (2025) menemukan tadabbur Al-Qur'an menurunkan stres mahasiswa; Abas &amp; Sahad (2021) menunjukkan ayat Qur'an efektif dalam afirmasi CBT untuk depresi; Mohiuddin (2025) membuktikan integrasi nilai Qur'ani dengan dukungan kognitif-behavioral meningkatkan kesejahteraan emosional remaja Muslim. Namun, mayoritas penelitian masih bersifat deskriptif, belum menguji mekanisme psikologis kausal yang menjembatani tadabbur dengan perubahan kognitif terukur secara empiris.</w:t>
      </w: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Pernyataan Ketertarikan Peneliti</w:t>
      </w: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Berdasarkan gambaran di atas, penelitian ini tidak hanya mengisi gap ilmiah tetapi juga memberikan kontribusi praktis bagi penguatan mental santri melalui pendekatan yang terintegrasi antara spiritualitas dan psikologi modern.</w:t>
      </w: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1.2 Identifikasi Masalah</w:t>
      </w:r>
      <w:r w:rsidDel="00000000" w:rsidR="00000000" w:rsidRPr="00000000">
        <w:rPr>
          <w:rtl w:val="0"/>
        </w:rPr>
      </w:r>
    </w:p>
    <w:p>
      <w:pPr>
        <w:rPr>
          <w:sz w:val="22"/>
        </w:rPr>
      </w:pPr>
      <w:r>
        <w:rPr>
          <w:sz w:val="22"/>
        </w:rPr>
        <w:t xml:space="preserve"/>
      </w:r>
    </w:p>
    <w:p>
      <w:pPr>
        <w:rPr>
          <w:sz w:val="22"/>
        </w:rPr>
      </w:pPr>
      <w:r>
        <w:rPr>
          <w:sz w:val="22"/>
        </w:rPr>
        <w:t xml:space="preserve">Kecemasan (anxiety) merupakan salah satu masalah psikologis yang paling umum dialami oleh santri di pesantren modern. Penelitian menunjukkan bahwa santri yang mengikuti pendidikan dengan kurikulum integratif—memadukan ilmu agama dan teknologi—mengalami tekanan ganda (dual burden) yang dapat memicu gejala kecemasan (Arif et al., 2024). Santri Pondok Informatika tidak hanya dituntut untuk menghafal Al-Qur'an dan menguasai ilmu syar'i, tetapi juga harus mencapai kompetensi di bidang teknologi digital. Tuntutan ganda ini, ditambah dengan ekspektasi orang tua dan masyarakat, menciptakan beban psikologis yang signifikan.</w:t>
      </w:r>
    </w:p>
    <w:p>
      <w:pPr>
        <w:rPr>
          <w:sz w:val="22"/>
        </w:rPr>
      </w:pPr>
      <w:r>
        <w:rPr>
          <w:sz w:val="22"/>
        </w:rPr>
        <w:t xml:space="preserve">Dalam perspektif psikologi, kecemasan didefinisikan sebagai respons emosional terhadap persepsi ancaman yang melibatkan komponen fisiologis (ketegangan otot, peningkatan denyut jantung), kognitif (kekhawatiran berlebihan, pikiran negatif), dan perilaku (menghindar, menarik diri) (American Psychological Association, 2013). Kecemasan yang tidak tertangani dapat mengganggu fungsi belajar, menurunkan performa akademik, dan dalam jangka panjang berisiko menyebabkan gangguan mental yang lebih serius. Pendekatan intervensi yang sesuai dengan konteks pesantren—khususnya intervensi berbasis spiritual seperti tadabbur ayat-ayat Al-Qur'an—menawarkan alternatif yang sejalan dengan nilai-nilai dan keseharian santri.</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Berdasarkan latar belakang, penelitian ini mengidentifikasi tiga kesenjangan utama (research gaps) yang menjadi landasan penelitian.</w:t>
      </w: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1) Knowledge Gap (Knowledge Void Gap)</w:t>
      </w: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Meskipun ayat-ayat tasliyah dikenal dalam tradisi Islam, belum ada penjelasan ilmiah yang komprehensif tentang mekanisme spesifik bagaimana tadabbur menghasilkan perubahan kognitif dan emosional. Konsep “restrukturisasi kognitif berbasis spiritualitas” masih jarang dikaji dalam literatur Psikologi Islam.</w:t>
      </w: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2) Methodological Gap</w:t>
      </w: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Kajian mengenai ayat tasliyah didominasi pendekatan kualitatif-eksegesis (tafsir teologis). Belum banyak penelitian yang menguji efektivitas tadabbur sebagai intervensi psikospiritual terukur secara kuantitatif untuk menurunkan kecemasan dan meningkatkan positive thinking melalui desain eksperimental yang ketat (misalnya: quasi-experimental atau RCT).</w:t>
      </w: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3) Theoretical Gap</w:t>
      </w: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sdt>
        <w:sdtPr>
          <w:id w:val="-17584571"/>
          <w:tag w:val="goog_rdk_0"/>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Meskipun CBT dan Positive Psychology telah terbukti efektif, belum ada model integratif yang secara teoritis menjelaskan bagaimana tadabbur Qur'ani dapat berperan sebagai mekanisme restrukturisasi kognitif dalam kerangka Psikologi Islam. Perlu pengembangan model kausal yang menunjukkan hubungan: Tadabbur → Restrukturisasi Kognitif → Positive Thinking &amp; Penurunan Kecemasan.</w:t>
          </w:r>
        </w:sdtContent>
      </w:sdt>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Ringkasan Identifikasi Masalah</w:t>
      </w: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bertujuan untuk menjembatani ketiga gap tersebut dengan mengembangkan dan menguji model intervensi psikospiritual berbasis tadabbur ayat tasliyah melalui desain kuantitatif eksperimental yang terukur dan terkontrol.</w:t>
      </w: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1.3 Maksud dan Tujuan Penelitian</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Maksud Penelitian</w:t>
      </w: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bermaksud untuk memberikan bukti empiris tentang efektivitas tadabbur ayat tasliyah sebagai intervensi psikospiritual dalam mengubah pola pikir dan mengurangi kecemasan santri. Lebih spesifik, penelitian ini bermaksud untuk mengidentifikasi mekanisme psikologis kausal (restrukturisasi kognitif) yang menghubungkan proses tadabbur dengan perubahan kognitif-emosional, sehingga menghasilkan model intervensi yang dapat diimplementasikan dan direplikasi.</w:t>
      </w: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Tujuan Penelitian</w:t>
      </w: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 umum, penelitian ini menguji dan memvalidasi pengaruh Tadabbur Ayat Tasliyah terhadap Positive Thinking dan Pengurangan Kecemasan, dengan Restrukturisasi Kognitif sebagai variabel mediator.</w:t>
      </w: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Secara khusus:</w:t>
      </w: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1. Menguji pengaruh langsung Tadabbur Ayat Tasliyah terhadap peningkatan Positive Thinking pada santri.</w:t>
      </w: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2. Menguji pengaruh langsung Tadabbur Ayat Tasliyah terhadap penurunan Kecemasan pada santri.</w:t>
      </w: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3. Menguji peran mediasi Restrukturisasi Kognitif dalam hubungan antara Tadabbur dan Positive Thinking.</w:t>
      </w: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4. Membangun dan memvalidasi model intervensi psikospiritual berbasis Al-Qur'an yang terintegrasi dengan prinsip restrukturisasi kognitif.</w:t>
      </w: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tl w:val="0"/>
        </w:rPr>
      </w:r>
    </w:p>
    <w:p>
      <w:pPr>
        <w:rPr>
          <w:b/>
          <w:sz w:val="24"/>
        </w:rPr>
      </w:pPr>
      <w:r>
        <w:rPr>
          <w:b/>
          <w:sz w:val="24"/>
        </w:rPr>
        <w:t xml:space="preserve">1.4 Pertanyaan Penelitian</w:t>
      </w:r>
    </w:p>
    <w:p>
      <w:pPr>
        <w:rPr>
          <w:sz w:val="22"/>
        </w:rPr>
      </w:pPr>
      <w:r>
        <w:rPr>
          <w:sz w:val="22"/>
        </w:rPr>
        <w:t xml:space="preserve">Berdasarkan rumusan masalah yang telah diuraikan di atas, maka pertanyaan penelitian ini dirumuskan sebagai berikut:</w:t>
      </w:r>
    </w:p>
    <w:p>
      <w:pPr>
        <w:rPr>
          <w:sz w:val="22"/>
        </w:rPr>
      </w:pPr>
      <w:r>
        <w:rPr>
          <w:sz w:val="22"/>
        </w:rPr>
        <w:t xml:space="preserve">1. Apakah terdapat pengaruh Tadabbur Ayat Tasliyah terhadap peningkatan Positive Thinking pada santri Pondok Informatika?</w:t>
      </w:r>
    </w:p>
    <w:p>
      <w:pPr>
        <w:rPr>
          <w:sz w:val="22"/>
        </w:rPr>
      </w:pPr>
      <w:r>
        <w:rPr>
          <w:sz w:val="22"/>
        </w:rPr>
        <w:t xml:space="preserve">2. Apakah terdapat pengaruh Tadabbur Ayat Tasliyah terhadap penurunan Kecemasan pada santri Pondok Informatika?</w:t>
      </w:r>
    </w:p>
    <w:p>
      <w:pPr>
        <w:rPr>
          <w:sz w:val="22"/>
        </w:rPr>
      </w:pPr>
      <w:r>
        <w:rPr>
          <w:sz w:val="22"/>
        </w:rPr>
        <w:t xml:space="preserve">3. Apakah terdapat pengaruh Tadabbur Ayat Tasliyah terhadap Restrukturisasi Kognitif pada santri Pondok Informatika?</w:t>
      </w:r>
    </w:p>
    <w:p>
      <w:pPr>
        <w:rPr>
          <w:sz w:val="22"/>
        </w:rPr>
      </w:pPr>
      <w:r>
        <w:rPr>
          <w:sz w:val="22"/>
        </w:rPr>
        <w:t xml:space="preserve">4. Apakah Tadabbur Ayat Tasliyah berpengaruh secara simultan terhadap Positive Thinking, Kecemasan, dan Restrukturisasi Kognitif pada santri Pondok Informatika?</w:t>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1.4 Manfaat/Kegunaan Penelitian</w:t>
      </w: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Manfaat Teoritis (Scientific Contribution)</w:t>
      </w: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memberikan kontribusi empiris pada pengembangan Psikologi Islam melalui bukti scientific tentang efektivitas tadabbur dalam restrukturisasi kognitif dan penurunan kecemasan. Hasilnya diharapkan mengisi kekosongan literatur terkait mekanisme psikologis perubahan kognitif berbasis spiritualitas, memperkuat model integrasi antara teori CBT Barat dan nilai-nilai Qur'ani Islam.</w:t>
      </w: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Manfaat Praktis (Applied Contribution)</w:t>
      </w: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diharapkan menghasilkan protokol intervensi Qur'ani yang terstandarisasi dan terukur (Standard Operating Procedure/SOP) bagi konselor, guru pembimbing, dan praktisi psikologi Islam di pesantren.</w:t>
      </w: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Manfaat Sosial dan Spiritual</w:t>
      </w: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merupakan upaya Islamisasi ilmu psikologi dengan menjadikan Al-Qur'an bukan hanya sumber nilai, tetapi juga sumber metodologis dan epistemologis dalam penyembuhan psikologis.</w:t>
      </w: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1.5 Kerangka Pikir (Conceptual Framework)</w:t>
      </w: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Model Konseptual</w:t>
      </w: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sdt>
        <w:sdtPr>
          <w:id w:val="-1163584715"/>
          <w:tag w:val="goog_rdk_1"/>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Tadabbur Ayat Tasliyah (X) → Restrukturisasi Kognitif (Z) → Positive Thinking (Y1) dan Penurunan Kecemasan (Y2).</w:t>
          </w:r>
        </w:sdtContent>
      </w:sdt>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1.6 Hipotesis Penelitian</w:t>
      </w: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H1: Ada pengaruh signifikan Tadabbur Ayat Tasliyah terhadap peningkatan Positive Thinking.</w:t>
      </w: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H2: Ada pengaruh signifikan Tadabbur Ayat Tasliyah terhadap penurunan Kecemasan.</w:t>
      </w: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H3: Restrukturisasi Kognitif memediasi hubungan antara Tadabbur Ayat Tasliyah dan Positive Thinking.</w:t>
      </w: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H4: Restrukturisasi Kognitif memediasi hubungan antara Tadabbur Ayat Tasliyah dan Kecemasan.</w:t>
      </w: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BAB II</w:t>
      </w: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TINJAUAN PUSTAKA</w:t>
      </w: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 Landasan Qur’ani: Ayat-Ayat Tasliyah</w:t>
      </w: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2.1.1 Konsep Tasliyah dalam Al-Qur’an</w:t>
      </w: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التسلية</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etimologis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berasal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akar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salla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yusallī</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bermakna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menghibur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menenangkan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serta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menguatkan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hati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Dalam</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konteks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merujuk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pada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diturunkan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untuk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memberikan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dukungan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psikospiritual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kepada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Rasulullah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ﷺ</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serta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umat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manusia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ketika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menghadapi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tekanan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kesedihan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penolakan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sosial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ketidakpastian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tidak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hanya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memuat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penghiburan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melainkan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juga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membangun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kerangka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makna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meaning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making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bahwa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adalah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bagian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sunnatullah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penderitaan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bersifat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temporer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pertolongan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nyata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 perspektif konseling Islam, tasliyah berfungsi sebagai bentuk intervensi berbasis wahyu yang menstabilkan afek negatif, menumbuhkan harapan (raja’), dan memperkuat keyakinan (yaqīn). Secara psikologis, tasliyah dapat dipahami sebagai stimulus spiritual yang mendorong reframing kognitif—yakni perubahan interpretasi terhadap peristiwa sulit sehingga emosi yang muncul menjadi lebih adaptif.</w:t>
      </w:r>
      <w:r w:rsidDel="00000000" w:rsidR="00000000" w:rsidRPr="00000000">
        <w:rPr>
          <w:rtl w:val="0"/>
        </w:rPr>
      </w:r>
    </w:p>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2.1.2 QS Adh-Dhuha (Surah 93) sebagai Narasi Penguatan Psikologis</w:t>
      </w: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Adh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Dhuha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diturunkan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ketika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wahyu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sempat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terhenti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Rasulullah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ﷺ</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mengalami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tekanan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emosional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akibat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ejekan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kaum</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Quraisy</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Menurut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tafsir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Ibn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Kathir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surah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menegaskan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tidak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meninggalkan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Rasul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Nya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masa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depan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lebih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baik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masa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lalu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pertolongan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hadir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melalui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pengalaman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hidup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kewajiban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bersyukur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berbuat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baik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sebagai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respons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terhadap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nikmat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Narasi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memiliki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fungsi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terapeutik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menggeser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fokus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ancaman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menuju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makna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kekhawatiran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menuju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harapan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ketidakpastian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menuju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keyakinan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2.1.3 QS Al-Insyirah (Surah 94) dan Prinsip Kemudahan Pasca Kesulitan</w:t>
      </w:r>
      <w:r w:rsidDel="00000000" w:rsidR="00000000" w:rsidRPr="00000000">
        <w:rPr>
          <w:rtl w:val="0"/>
        </w:rPr>
      </w:r>
    </w:p>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Insyirah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menekankan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repetisi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prinsip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psikospiritual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inna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usri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yusrā</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ف</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إ</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ن</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م</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ع</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ال</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ع</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س</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ر</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ي</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س</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ر</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menunjukkan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bahwa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kesulitan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tidak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pernah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berdiri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sendiri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melainkan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selalu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disertai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peluang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kemudahan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Tafsir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Maraghi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menekankan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keteguhan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resiliensi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pembesaran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dada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syarh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shadr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serta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penguatan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mental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menghadapi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beban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hidup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psikologis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pesan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berperan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sebagai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kognisi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alternatif</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menetralkan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pikiran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katastrofik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mengaktifkan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coping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religius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sehat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2.1.4 Nilai-Nilai Psikospiritual dalam Ayat Tasliyah</w:t>
      </w: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Kedua surah memuat prinsip konseling Islam seperti tawakkul (berserah diri disertai usaha), sabr (ketahanan diri aktif), shukr (rasa syukur), serta tazkiyah al-nafs (penyucian jiwa). Prinsip-prinsip ini dapat dijelaskan sebagai mekanisme psikologis yang memfasilitasi regulasi emosi dan restrukturisasi kognitif. Dengan demikian, tadabbur ayat tasliyah diposisikan sebagai strategi psikospiritual yang relevan bagi konteks santri yang menghadapi tekanan akademik dan peran religius secara bersamaan.</w:t>
      </w: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 Landasan Psikologis</w:t>
      </w: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2.2.1 Cognitive Behavioral Therapy (CBT) dan Restrukturisasi Kognitif</w:t>
      </w: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Beck (1979) menjelaskan bahwa kecemasan dan distress psikologis muncul bukan semata karena peristiwa, melainkan karena interpretasi kognitif atas peristiwa tersebut. CBT memandang pikiran otomatis negatif (automatic negative thoughts) dan distorsi kognitif sebagai pemicu utama emosi negatif. Restrukturisasi kognitif adalah proses mengidentifikasi pikiran disfungsional, mengevaluasi bukti, serta mengganti pikiran tersebut dengan pemikiran alternatif yang lebih realistis dan adaptif.</w:t>
      </w:r>
      <w:r w:rsidDel="00000000" w:rsidR="00000000" w:rsidRPr="00000000">
        <w:rPr>
          <w:rtl w:val="0"/>
        </w:rPr>
      </w:r>
    </w:p>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Hamdan (2008) mengembangkan kerangka restrukturisasi kognitif dari perspektif Islam, dengan menegaskan bahwa kognisi alternatif pada klien Muslim dapat bersumber dari nilai tauhid, sabr, shukr, dan tawakkul. Dengan demikian, tadabbur ayat tasliyah dapat berfungsi sebagai pemicu restrukturisasi kognitif yang tidak hanya rasional, tetapi juga bermakna spiritual.</w:t>
      </w: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2.2.2 Positive Psychology, Optimism, dan Positive Thinking</w:t>
      </w: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Seligman (2011) menjelaskan bahwa kesejahteraan psikologis tidak cukup dipahami sebagai ketiadaan gangguan, melainkan sebagai kemampuan individu untuk flourishing. Optimisme, rasa syukur, dan makna hidup merupakan pilar utama. Positive thinking dalam penelitian ini dipahami sebagai orientasi optimistik yang realistis—yakni kecenderungan mengantisipasi hasil yang baik sambil tetap berusaha. Konsep ini selaras dengan nilai husn al-dhann (berprasangka baik kepada Allah) yang mendorong pengelolaan stres berbasis iman.</w:t>
      </w: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2.2.3 Regulasi Emosi dan Broaden-and-Build Theory</w:t>
      </w:r>
      <w:r w:rsidDel="00000000" w:rsidR="00000000" w:rsidRPr="00000000">
        <w:rPr>
          <w:rtl w:val="0"/>
        </w:rPr>
      </w:r>
    </w:p>
    <w:p>
      <w:pPr>
        <w:rPr>
          <w:b/>
          <w:sz w:val="24"/>
        </w:rPr>
      </w:pPr>
      <w:r>
        <w:rPr>
          <w:b/>
          <w:sz w:val="24"/>
        </w:rPr>
        <w:t xml:space="preserve">2.2.6 Landasan Teori Pengaruh Tadabbur Ayat Tasliyah terhadap Variabel Penelitian</w:t>
      </w:r>
    </w:p>
    <w:p>
      <w:pPr>
        <w:rPr>
          <w:sz w:val="22"/>
        </w:rPr>
      </w:pPr>
      <w:r>
        <w:rPr>
          <w:sz w:val="22"/>
        </w:rPr>
        <w:t xml:space="preserve"/>
      </w:r>
    </w:p>
    <w:p>
      <w:pPr>
        <w:rPr>
          <w:b/>
          <w:sz w:val="22"/>
        </w:rPr>
      </w:pPr>
      <w:r>
        <w:rPr>
          <w:b/>
          <w:sz w:val="22"/>
        </w:rPr>
        <w:t xml:space="preserve">2.2.6.1 Tadabbur Ayat Tasliyah dan Restrukturisasi Kognitif</w:t>
      </w:r>
    </w:p>
    <w:p>
      <w:pPr>
        <w:rPr>
          <w:sz w:val="22"/>
        </w:rPr>
      </w:pPr>
      <w:r>
        <w:rPr>
          <w:sz w:val="22"/>
        </w:rPr>
        <w:t xml:space="preserve">Mekanisme Tadabbur Ayat Tasliyah dalam mempengaruhi restrukturisasi kognitif dapat dijelaskan melalui kerangka Cognitive Behavioral Therapy (CBT) yang dikembangkan oleh Aaron Beck (1976) dan Rational Emotive Behavior Therapy (REBT) oleh Albert Ellis (1962). Kedua pendekatan ini menekankan bahwa distorsi kognitif dan keyakinan irasional merupakan akar dari gangguan psikologis, dan perubahan pada struktur kognitif akan menghasilkan perubahan pada emosi dan perilaku. Tadabbur, sebagai aktivitas kontemplasi mendalam terhadap makna ayat-ayat Al-Qur'an, secara alamiah mengaktifkan proses restrukturisasi kognitif.</w:t>
      </w:r>
    </w:p>
    <w:p>
      <w:r>
        <w:t xml:space="preserve">Secara teoretis, mekanisme Tadabbur dalam mempengaruhi restrukturisasi kognitif juga didukung oleh analisis tafsir ayat-ayat tasliyah. Tafsir Al-Razi (Mafatih al-Ghaib) dan As-Sa'di terhadap QS Ad-Dhuha dan Al-Insyirah menunjukkan bahwa ayat-ayat ini secara langsung ditujukan untuk mengubah penilaian kognitif Nabi Muhammad ﷺ terhadap situasi yang dihadapinya—dari penilaian negatif ("diriku telah ditinggalkan") menjadi penilaian positif ("Tuhanku tidak meninggalkanku dan tidak membenciku"). Proses pergeseran penilaian kognitif ini identik dengan cognitive restructuring dalam psikologi modern (Beck, 1979; Ellis, 1962).</w:t>
      </w:r>
    </w:p>
    <w:p>
      <w:r>
        <w:t xml:space="preserve">Dari perspektif Attachment Theory (Bowlby, 1969; Ainsworth, 1978), afirmasi "ma wadda'aka rabbuka" (Tuhanmu tidak meninggalkanmu) berfungsi sebagai secure base priming—aktivasi figur lekat yang aman. Penelitian Granqvist &amp; Kirkpatrick (2008) menunjukkan bahwa individu yang merasa dekat dengan Tuhan menunjukkan tingkat kecemasan yang lebih rendah. Ini memperkuat landasan teoretis bahwa Tadabbur Ayat Tasliyah dapat mempengaruhi restrukturisasi kognitif melalui mekanisme attachment spiritual.</w:t>
      </w:r>
    </w:p>
    <w:p>
      <w:pPr>
        <w:rPr>
          <w:sz w:val="22"/>
        </w:rPr>
      </w:pPr>
      <w:r>
        <w:rPr>
          <w:sz w:val="22"/>
        </w:rPr>
        <w:t xml:space="preserve">Ketika seorang santri mentadabburi QS Adh-Dhuha yang menegaskan bahwa Allah tidak meninggalkan hamba-Nya (ayat 3), dan QS Al-Insyirah yang menjamin bahwa setiap kesulitan disertai kemudahan (ayat 5-6), terjadi penggantian skema kognitif negatif dengan skema kognitif yang lebih adaptif dan sesuai realitas teologis. Proses ini identik dengan cognitive restructuring dalam tradisi CBT.</w:t>
      </w:r>
    </w:p>
    <w:p>
      <w:pPr>
        <w:rPr>
          <w:sz w:val="22"/>
        </w:rPr>
      </w:pPr>
      <w:r>
        <w:rPr>
          <w:sz w:val="22"/>
        </w:rPr>
        <w:t xml:space="preserve"/>
      </w:r>
    </w:p>
    <w:p>
      <w:pPr>
        <w:rPr>
          <w:b/>
          <w:sz w:val="22"/>
        </w:rPr>
      </w:pPr>
      <w:r>
        <w:rPr>
          <w:b/>
          <w:sz w:val="22"/>
        </w:rPr>
        <w:t xml:space="preserve">2.2.6.2 Tadabbur Ayat Tasliyah dan Positive Thinking</w:t>
      </w:r>
    </w:p>
    <w:p>
      <w:pPr>
        <w:rPr>
          <w:sz w:val="22"/>
        </w:rPr>
      </w:pPr>
      <w:r>
        <w:rPr>
          <w:sz w:val="22"/>
        </w:rPr>
        <w:t xml:space="preserve">Pengaruh Tadabbur terhadap Positive Thinking dapat dijelaskan melalui kerangka Positive Psychology yang dikembangkan oleh Martin Seligman (2002) dan teori Broaden-and-Build oleh Barbara Fredrickson (2001). Positive Thinking mencakup optimisme, harapan, dan keyakinan akan hasil yang positif. Narasi QS Adh-Dhuha dan QS Al-Insyirah sarat dengan afirmasi positif: afirmasi bahwa Allah tidak meninggalkan dan tidak membenci hamba-Nya, serta jaminan kemudahan pasca kesulitan.</w:t>
      </w:r>
    </w:p>
    <w:p>
      <w:pPr>
        <w:rPr>
          <w:sz w:val="22"/>
        </w:rPr>
      </w:pPr>
      <w:r>
        <w:rPr>
          <w:sz w:val="22"/>
        </w:rPr>
        <w:t xml:space="preserve">Afirmasi-afirmasi ini, ketika dikontemplasikan secara berulang (tadabbur), berfungsi sebagai cognitive reappraisal yang menggeser fokus dari stimulus negatif ke kerangka berpikir yang lebih optimis. Teori Broaden-and-Build Fredrickson menjelaskan bahwa emosi positif—yang muncul dari kontemplasi ayat-ayat yang menenangkan—memperluas momentary thought-action repertoire dan membangun sumber daya psikologis yang tahan lama.</w:t>
      </w:r>
    </w:p>
    <w:p>
      <w:pPr>
        <w:rPr>
          <w:sz w:val="22"/>
        </w:rPr>
      </w:pPr>
      <w:r>
        <w:rPr>
          <w:sz w:val="22"/>
        </w:rPr>
        <w:t xml:space="preserve"/>
      </w:r>
    </w:p>
    <w:p>
      <w:pPr>
        <w:rPr>
          <w:b/>
          <w:sz w:val="22"/>
        </w:rPr>
      </w:pPr>
      <w:r>
        <w:rPr>
          <w:b/>
          <w:sz w:val="22"/>
        </w:rPr>
        <w:t xml:space="preserve">2.2.6.3 Tadabbur Ayat Tasliyah dan Kecemasan</w:t>
      </w:r>
    </w:p>
    <w:p>
      <w:r>
        <w:t xml:space="preserve">Temuan ini dikuatkan oleh berbagai penelitian empiris tentang efektivitas terapi berbasis Al-Qur'an dalam mengurangi kecemasan. Moulaei et al. (2023) dalam systematic review mereka menemukan bahwa intervensi berbasis ayat-ayat Al-Qur'an secara signifikan mengurangi kecemasan pada pasien dengan berbagai kondisi klinis. Ansyah (2019) secara spesifik meneliti tadabbur QS Al-Insyirah dan menemukan penurunan stres akademik yang signifikan pada mahasiswa setelah mengikuti program tadabbur terstruktur. Penelitian tentang pengaruh tadabbur ayat-ayat Al-Qur'an terhadap perilaku tanggung jawab dan kedisiplinan (Hikam, 2023) juga menunjukkan efektivitas pendekatan ini dalam konteks pendidikan Islam.</w:t>
      </w:r>
    </w:p>
    <w:p>
      <w:pPr>
        <w:rPr>
          <w:sz w:val="22"/>
        </w:rPr>
      </w:pPr>
      <w:r>
        <w:rPr>
          <w:sz w:val="22"/>
        </w:rPr>
        <w:t xml:space="preserve">Kecemasan, menurut Lazarus dan Folkman (1984), muncul ketika individu menilai suatu tuntutan sebagai sesuatu yang melampaui sumber daya yang dimilikinya (primary appraisal) dan merasa tidak memiliki strategi koping yang memadai (secondary appraisal). Tadabbur Ayat Tasliyah mengintervensi proses penilaian ini pada kedua level. Pada level primary appraisal, ayat-ayat tasliyah mengubah persepsi terhadap ancaman melalui afirmasi pertolongan Allah. Pada level secondary appraisal, tadabbur meningkatkan persepsi akan ketersediaan sumber daya koping.</w:t>
      </w:r>
    </w:p>
    <w:p>
      <w:pPr>
        <w:rPr>
          <w:sz w:val="22"/>
        </w:rPr>
      </w:pPr>
      <w:r>
        <w:rPr>
          <w:sz w:val="22"/>
        </w:rPr>
        <w:t xml:space="preserve">Teori regulasi emosi Gross (2015) memberikan kerangka tambahan: tadabbur dapat dipahami sebagai strategi cognitive change dalam process model of emotion regulation—khususnya reappraisal—yang terjadi sebelum respons emosional sepenuhnya terbentuk. Penelitian Ansyah (2019) menemukan bahwa tadabbur QS Al-Insyirah secara signifikan menurunkan stres akademik mahasiswa. Moulaei et al. (2023) menunjukkan bahwa terapi berbasis Al-Qur'an efektif mengurangi kecemasan pada berbagai populasi klinis.</w:t>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Fredrickson (2001) menjelaskan bahwa emosi positif memperluas repertoar berpikir dan bertindak (broaden), serta membangun sumber daya psikologis jangka panjang (build) seperti resiliensi, fleksibilitas kognitif, dan dukungan sosial. Tadabbur yang memunculkan ketenangan dan harapan diprediksi meningkatkan emosi positif, sehingga memperkuat regulasi emosi dan menurunkan kecenderungan kecemasan.</w:t>
      </w: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2.2.4 Epistemologi Islam dan Kerangka Tauhid</w:t>
      </w: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Al-Attas (1995) dan Al-Faruqi (1982) menekankan bahwa ilmu psikologi dalam masyarakat Muslim idealnya terintegrasi dengan nilai tauhid. Intervensi psikologis tidak hanya bertujuan menurunkan gejala (symptom reduction), tetapi juga memperbaiki orientasi jiwa menuju Allah. Integrasi tadabbur Qur’ani dan teknik restrukturisasi kognitif menciptakan pendekatan yang koheren secara teologis dan ilmiah, sehingga relevan bagi santri sebagai populasi beridentitas religius kuat.</w:t>
      </w: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2.2.5 Model Psikoterapi Islam Integratif</w:t>
      </w: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Keshavarzi dan Haque (2013) serta Keshavarzi dan Khan (2018) mengembangkan model psikoterapi Islam terintegrasi (TIIP) yang menempatkan dimensi spiritual sebagai inti, namun tetap menggunakan teknik psikologi modern secara selektif. Model ini memandang manusia sebagai kesatuan aql (kognisi), nafs (dorongan), ruh (spirit), dan ihsaas (emosi). Dalam konteks ini, tadabbur ayat tasliyah dapat menjadi intervensi yang ‘spiritually-attuned’ dan sekaligus berfungsi sebagai kognisi alternatif untuk restrukturisasi pikiran.</w:t>
      </w: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 Konsep Utama dan Definisi Operasional</w:t>
      </w: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Bagian ini menjelaskan definisi konseptual dan operasional variabel penelitian agar terukur dan sesuai kebutuhan desain kuasi-eksperimental.</w:t>
      </w: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2.3.1 Tadabbur Ayat Tasliyah (Variabel Independen)</w:t>
      </w: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konseptual: Proses refleksi mendalam terhadap QS Adh-Dhuha dan QS Al-Insyirah untuk memahami makna ujian, rahmat Allah, serta membangun harapan spiritual.</w:t>
      </w: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operasional: Partisipasi dalam program tadabbur terstruktur selama 4 minggu (8 sesi × 60 menit) mencakup tilawah, tafsir ringkas, refleksi terbimbing, journaling, dan diskusi kelompok; kehadiran minimal 80% (7 dari 8 sesi) sebagai kriteria keterpaparan perlakuan.</w:t>
      </w: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2.3.2 Restrukturisasi Kognitif (Mediator)</w:t>
      </w:r>
      <w:r w:rsidDel="00000000" w:rsidR="00000000" w:rsidRPr="00000000">
        <w:rPr>
          <w:rtl w:val="0"/>
        </w:rPr>
      </w:r>
    </w:p>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konseptual: Perubahan pola pikir negatif/distorsif menjadi lebih rasional dan adaptif melalui proses evaluasi dan reframing.</w:t>
      </w:r>
      <w:r w:rsidDel="00000000" w:rsidR="00000000" w:rsidRPr="00000000">
        <w:rPr>
          <w:rtl w:val="0"/>
        </w:rPr>
      </w:r>
    </w:p>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operasional: Diukur menggunakan Cognitive Restructuring Scale (CRS) yang memuat dimensi identifikasi pikiran negatif, evaluasi rasional, dan reframing adaptif.</w:t>
      </w:r>
      <w:r w:rsidDel="00000000" w:rsidR="00000000" w:rsidRPr="00000000">
        <w:rPr>
          <w:rtl w:val="0"/>
        </w:rPr>
      </w:r>
    </w:p>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2.3.3 Positive Thinking (Dependen 1)</w:t>
      </w: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konseptual: Orientasi optimistik-konstruktif terhadap diri dan masa depan.</w:t>
      </w:r>
      <w:r w:rsidDel="00000000" w:rsidR="00000000" w:rsidRPr="00000000">
        <w:rPr>
          <w:rtl w:val="0"/>
        </w:rPr>
      </w:r>
    </w:p>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operasional: Diukur menggunakan LOT-R (Scheier et al., 1994) sebagai indikator dispositional optimism.</w:t>
      </w:r>
      <w:r w:rsidDel="00000000" w:rsidR="00000000" w:rsidRPr="00000000">
        <w:rPr>
          <w:rtl w:val="0"/>
        </w:rPr>
      </w:r>
    </w:p>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2.3.4 Kecemasan (Dependen 2)</w:t>
      </w: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konseptual: Respons emosional-kognitif berupa kekhawatiran dan ketegangan.</w:t>
      </w:r>
      <w:r w:rsidDel="00000000" w:rsidR="00000000" w:rsidRPr="00000000">
        <w:rPr>
          <w:rtl w:val="0"/>
        </w:rPr>
      </w:r>
    </w:p>
    <w:p w:rsidR="00000000" w:rsidDel="00000000" w:rsidP="00000000" w:rsidRDefault="00000000" w:rsidRPr="00000000" w14:paraId="000000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operasional: Diukur menggunakan BAI (Beck &amp; Steer, 1993).</w:t>
      </w: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2.4 Penelitian Terdahulu dan Sintesis Temuan</w:t>
      </w: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 umum, penelitian menunjukkan bahwa intervensi Qur’ani (tilawah, tadabbur, mendengar Al-Qur’an) efektif menurunkan kecemasan, stres, dan depresi. Namun, sebagian besar studi belum menguji mekanisme psikologis mediasi secara kuantitatif dan kausal.</w:t>
      </w:r>
      <w:r w:rsidDel="00000000" w:rsidR="00000000" w:rsidRPr="00000000">
        <w:rPr>
          <w:rtl w:val="0"/>
        </w:rPr>
      </w:r>
    </w:p>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Beberapa studi mendukung arah penelitian ini: Mawaddah et al. (2025) menemukan tadabbur menurunkan stres; Abas &amp; Sahad (2021) menegaskan ayat Qur’an memperdalam proses CBT; Mohiuddin (2025) menunjukkan integrasi Qur’ani + dukungan CBT meningkatkan kesejahteraan emosional. Scoping review oleh Jafari et al. (2023) dan systematic review Rashed et al. (2023) memperkuat basis evidence bahwa intervensi Qur’ani dapat menjadi terapi non-farmakologis yang valid.</w:t>
      </w:r>
      <w:r w:rsidDel="00000000" w:rsidR="00000000" w:rsidRPr="00000000">
        <w:rPr>
          <w:rtl w:val="0"/>
        </w:rPr>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2.4.1 Kesenjangan Penelitian (Research Gaps)</w:t>
      </w: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sdt>
        <w:sdtPr>
          <w:id w:val="-1326150378"/>
          <w:tag w:val="goog_rdk_2"/>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Kesenjangan yang masih tampak adalah: (1) keterbatasan desain eksperimental yang ketat dalam konteks pesantren; (2) minimnya pengukuran mediator restrukturisasi kognitif; (3) variasi instrumen yang belum terstandarisasi; dan (4) keterbatasan generalisasi ke populasi santri Indonesia. Penelitian ini berupaya mengisi gap tersebut melalui desain kuasi-eksperimental berbasis klaster dengan model mediasi (tadabbur → restrukturisasi kognitif → outcome).</w:t>
          </w:r>
        </w:sdtContent>
      </w:sdt>
      <w:r w:rsidDel="00000000" w:rsidR="00000000" w:rsidRPr="00000000">
        <w:rPr>
          <w:rtl w:val="0"/>
        </w:rPr>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2.5 Posisi Penelitian dalam Dialog Teoritis</w:t>
      </w:r>
      <w:r w:rsidDel="00000000" w:rsidR="00000000" w:rsidRPr="00000000">
        <w:rPr>
          <w:rtl w:val="0"/>
        </w:rPr>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memposisikan tadabbur ayat tasliyah sebagai intervensi psikospiritual yang kompatibel dengan prinsip CBT dan Positive Psychology, namun tetap berada dalam epistemologi tauhid. Kontribusi utama penelitian adalah menjelaskan secara empiris bukan hanya bahwa tadabbur berkorelasi dengan kesehatan mental, melainkan bagaimana mekanisme perubahan terjadi melalui restrukturisasi kognitif. Hal ini memperkuat agenda pengembangan Psikologi Islam sebagai disiplin evidence-based.</w:t>
      </w:r>
      <w:r w:rsidDel="00000000" w:rsidR="00000000" w:rsidRPr="00000000">
        <w:rPr>
          <w:rtl w:val="0"/>
        </w:rPr>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BAB III</w:t>
      </w:r>
      <w:r w:rsidDel="00000000" w:rsidR="00000000" w:rsidRPr="00000000">
        <w:rPr>
          <w:rtl w:val="0"/>
        </w:rPr>
      </w:r>
    </w:p>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METODOLOGI PENELITIAN</w:t>
      </w:r>
      <w:r w:rsidDel="00000000" w:rsidR="00000000" w:rsidRPr="00000000">
        <w:rPr>
          <w:rtl w:val="0"/>
        </w:rPr>
      </w:r>
    </w:p>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3.1 Rancangan Penelitian</w:t>
      </w:r>
      <w:r w:rsidDel="00000000" w:rsidR="00000000" w:rsidRPr="00000000">
        <w:rPr>
          <w:rtl w:val="0"/>
        </w:rPr>
      </w:r>
    </w:p>
    <w:p w:rsidR="00000000" w:rsidDel="00000000" w:rsidP="00000000" w:rsidRDefault="00000000" w:rsidRPr="00000000" w14:paraId="000000A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menggunakan pendekatan kuantitatif dengan metode eksperimental. Secara spesifik, desain yang digunakan adalah quasi-experimental design with nonequivalent control group pretest-posttest berbasis klaster. Pemilihan desain ini didasarkan pada pertimbangan metodologis yang relevan dengan tujuan penelitian, yaitu menguji hubungan kausal antara intervensi Tadabbur Ayat Tasliyah (variabel independen) terhadap Positive Thinking dan Kecemasan (variabel dependen), serta peran Restrukturisasi Kognitif sebagai mediator. Hubungan kausal ini dapat diuji melalui manipulasi sistematis terhadap variabel independen sebagai ciri utama penelitian eksperimental (Shadish et al., 2002).</w:t>
      </w:r>
      <w:r w:rsidDel="00000000" w:rsidR="00000000" w:rsidRPr="00000000">
        <w:rPr>
          <w:rtl w:val="0"/>
        </w:rPr>
      </w:r>
    </w:p>
    <w:p w:rsidR="00000000" w:rsidDel="00000000" w:rsidP="00000000" w:rsidRDefault="00000000" w:rsidRPr="00000000" w14:paraId="000000A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Randomisasi individu secara penuh tidak memungkinkan dilakukan karena santri telah terbagi dalam kelompok alami berbasis asrama. Oleh karena itu, pembagian kelompok eksperimen dan kontrol dilakukan pada level asrama (cluster random assignment), sehingga penelitian ini tergolong quasi-experiment (Campbell &amp; Stanley, 1963). Strategi klaster dipilih untuk mencegah kontaminasi perlakuan antar kelompok.</w:t>
      </w:r>
      <w:r w:rsidDel="00000000" w:rsidR="00000000" w:rsidRPr="00000000">
        <w:rPr>
          <w:rtl w:val="0"/>
        </w:rPr>
      </w:r>
    </w:p>
    <w:p w:rsidR="00000000" w:rsidDel="00000000" w:rsidP="00000000" w:rsidRDefault="00000000" w:rsidRPr="00000000" w14:paraId="000000A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Desain pretest-posttest digunakan untuk mengukur perubahan variabel dependen sebelum dan sesudah intervensi, sehingga perbedaan yang terjadi dapat diatribusikan pada efek perlakuan dengan mengontrol kondisi awal (baseline) pada masing-masing kelompok. Kelompok kontrol berfungsi sebagai pembanding untuk mengisolasi efek intervensi dari faktor perancu seperti maturasi, sejarah, dan efek pengujian berulang.</w:t>
      </w:r>
      <w:r w:rsidDel="00000000" w:rsidR="00000000" w:rsidRPr="00000000">
        <w:rPr>
          <w:rtl w:val="0"/>
        </w:rPr>
      </w:r>
    </w:p>
    <w:p w:rsidR="00000000" w:rsidDel="00000000" w:rsidP="00000000" w:rsidRDefault="00000000" w:rsidRPr="00000000" w14:paraId="000000A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 skematis, desain penelitian digambarkan sebagai berikut:</w:t>
      </w:r>
      <w:r w:rsidDel="00000000" w:rsidR="00000000" w:rsidRPr="00000000">
        <w:rPr>
          <w:rtl w:val="0"/>
        </w:rPr>
      </w:r>
    </w:p>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sdt>
        <w:sdtPr>
          <w:id w:val="-1165159537"/>
          <w:tag w:val="goog_rdk_3"/>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Kelompok Eksperimen: O1 → X → O2</w:t>
          </w:r>
        </w:sdtContent>
      </w:sdt>
      <w:r w:rsidDel="00000000" w:rsidR="00000000" w:rsidRPr="00000000">
        <w:rPr>
          <w:rtl w:val="0"/>
        </w:rPr>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sdt>
        <w:sdtPr>
          <w:id w:val="-1047695706"/>
          <w:tag w:val="goog_rdk_4"/>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Kelompok Kontrol: O1 → - → O2</w:t>
          </w:r>
        </w:sdtContent>
      </w:sdt>
      <w:r w:rsidDel="00000000" w:rsidR="00000000" w:rsidRPr="00000000">
        <w:rPr>
          <w:rtl w:val="0"/>
        </w:rPr>
      </w:r>
    </w:p>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Keterangan:</w:t>
      </w: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O1 = Pretest (BAI, LOT-R, CRS)</w:t>
      </w:r>
      <w:r w:rsidDel="00000000" w:rsidR="00000000" w:rsidRPr="00000000">
        <w:rPr>
          <w:rtl w:val="0"/>
        </w:rPr>
      </w:r>
    </w:p>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X = Intervensi Tadabbur Ayat Tasliyah (4 minggu)</w:t>
      </w: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O2 = Posttest (BAI, LOT-R, CRS)</w:t>
      </w: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 Tanpa perlakuan khusus (aktivitas rutin pesantren)</w:t>
      </w:r>
      <w:r w:rsidDel="00000000" w:rsidR="00000000" w:rsidRPr="00000000">
        <w:rPr>
          <w:rtl w:val="0"/>
        </w:rPr>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w:t>
      </w: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Penelitian</w:t>
      </w:r>
      <w:r w:rsidDel="00000000" w:rsidR="00000000" w:rsidRPr="00000000">
        <w:rPr>
          <w:rtl w:val="0"/>
        </w:rPr>
      </w:r>
    </w:p>
    <w:p w:rsidR="00000000" w:rsidDel="00000000" w:rsidP="00000000" w:rsidRDefault="00000000" w:rsidRPr="00000000" w14:paraId="000000B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melibatkan empat variabel utama yang saling terkait dalam model mediasi kausal. Identifikasi variabel dalam penelitian adalah sebagai berikut.</w:t>
      </w:r>
      <w:r w:rsidDel="00000000" w:rsidR="00000000" w:rsidRPr="00000000">
        <w:rPr>
          <w:rtl w:val="0"/>
        </w:rPr>
      </w:r>
    </w:p>
    <w:tbl>
      <w:tblPr>
        <w:tblStyle w:val="Table1"/>
        <w:tblW w:w="8640.0" w:type="dxa"/>
        <w:jc w:val="left"/>
        <w:tblLayout w:type="fixed"/>
        <w:tblLook w:val="0000"/>
      </w:tblPr>
      <w:tblGrid>
        <w:gridCol w:w="2880"/>
        <w:gridCol w:w="2880"/>
        <w:gridCol w:w="2880"/>
        <w:tblGridChange w:id="0">
          <w:tblGrid>
            <w:gridCol w:w="2880"/>
            <w:gridCol w:w="2880"/>
            <w:gridCol w:w="288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B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Jenis Variabel</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Nama Variabel</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Peran dalam Model</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B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Independen (X)</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 Ayat Tasliyah</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Treatment/Manipulasi</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B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Mediator (Z)</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Restrukturisasi Kognitif</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Mekanisme Perantara</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B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Dependen 1 (Y1)</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Positive Thinking</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Outcome 1</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C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Dependen 2 (Y2)</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Kecemasan</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Outcome 2</w:t>
            </w:r>
            <w:r w:rsidDel="00000000" w:rsidR="00000000" w:rsidRPr="00000000">
              <w:rPr>
                <w:rtl w:val="0"/>
              </w:rPr>
            </w:r>
          </w:p>
        </w:tc>
      </w:tr>
    </w:tbl>
    <w:p w:rsidR="00000000" w:rsidDel="00000000" w:rsidP="00000000" w:rsidRDefault="00000000" w:rsidRPr="00000000" w14:paraId="000000C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Model hubungan antar variabel mengikuti kerangka mediasi sederhana, meliputi jalur langsung (c’) dan jalur tidak langsung (a×b) melalui mediator.</w:t>
      </w:r>
      <w:r w:rsidDel="00000000" w:rsidR="00000000" w:rsidRPr="00000000">
        <w:rPr>
          <w:rtl w:val="0"/>
        </w:rPr>
      </w:r>
    </w:p>
    <w:p w:rsidR="00000000" w:rsidDel="00000000" w:rsidP="00000000" w:rsidRDefault="00000000" w:rsidRPr="00000000" w14:paraId="000000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3.2.1 Definisi Konseptual</w:t>
      </w:r>
      <w:r w:rsidDel="00000000" w:rsidR="00000000" w:rsidRPr="00000000">
        <w:rPr>
          <w:rtl w:val="0"/>
        </w:rPr>
      </w:r>
    </w:p>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 Tadabbur Ayat Tasliyah (Variabel Independen)</w:t>
      </w:r>
      <w:r w:rsidDel="00000000" w:rsidR="00000000" w:rsidRPr="00000000">
        <w:rPr>
          <w:rtl w:val="0"/>
        </w:rPr>
      </w:r>
    </w:p>
    <w:p w:rsidR="00000000" w:rsidDel="00000000" w:rsidP="00000000" w:rsidRDefault="00000000" w:rsidRPr="00000000" w14:paraId="000000C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 dalam bahasa Arab berasal dari kata dabbara-yudabbiru yang bermakna merenungkan secara mendalam. Secara konseptual, tadabbur merujuk pada “deep reflection and contemplation of the Quran's meanings with the intention of understanding, deriving lessons, and applying them in one's life” (Al-Qaradawi, 1999, p. 47). Dalam konteks psikologi, tadabbur dapat dipahami sebagai proses kognitif-afektif yang melibatkan atensi terfokus, elaborasi makna, serta internalisasi nilai-nilai spiritual dari ayat-ayat Al-Qur’an.</w:t>
      </w:r>
      <w:r w:rsidDel="00000000" w:rsidR="00000000" w:rsidRPr="00000000">
        <w:rPr>
          <w:rtl w:val="0"/>
        </w:rPr>
      </w:r>
    </w:p>
    <w:p w:rsidR="00000000" w:rsidDel="00000000" w:rsidP="00000000" w:rsidRDefault="00000000" w:rsidRPr="00000000" w14:paraId="000000C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 tasliyah merujuk pada ayat-ayat yang berfungsi memberikan penghiburan dan ketenangan, khususnya QS Adh-Dhuha (93) dan QS Al-Insyirah (94). Kedua surah ini mengandung pesan tentang kasih sayang Allah, janji kemudahan setelah kesulitan, dan dorongan untuk bersyukur.</w:t>
      </w:r>
      <w:r w:rsidDel="00000000" w:rsidR="00000000" w:rsidRPr="00000000">
        <w:rPr>
          <w:rtl w:val="0"/>
        </w:rPr>
      </w:r>
    </w:p>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 Restrukturisasi Kognitif (Variabel Mediator)</w:t>
      </w:r>
      <w:r w:rsidDel="00000000" w:rsidR="00000000" w:rsidRPr="00000000">
        <w:rPr>
          <w:rtl w:val="0"/>
        </w:rPr>
      </w:r>
    </w:p>
    <w:p w:rsidR="00000000" w:rsidDel="00000000" w:rsidP="00000000" w:rsidRDefault="00000000" w:rsidRPr="00000000" w14:paraId="000000C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Restrukturisasi kognitif (cognitive restructuring) didefinisikan sebagai “the process of identifying and modifying dysfunctional thoughts, beliefs, and cognitive distortions that contribute to emotional disturbance” (Beck, 1979, p. 142). Proses ini meliputi identifikasi pikiran otomatis negatif, evaluasi terhadap validitas pikiran tersebut, dan penggantiannya dengan pikiran yang lebih adaptif dan realistis. Dalam konteks Islam, restrukturisasi kognitif selaras dengan konsep tafakkur dan tazkiyah al-nafs yang menekankan perubahan cara berpikir sebagai fondasi perubahan emosi dan perilaku (Hamdan, 2008).</w:t>
      </w:r>
      <w:r w:rsidDel="00000000" w:rsidR="00000000" w:rsidRPr="00000000">
        <w:rPr>
          <w:rtl w:val="0"/>
        </w:rPr>
      </w:r>
    </w:p>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 Positive Thinking (Variabel Dependen 1)</w:t>
      </w:r>
      <w:r w:rsidDel="00000000" w:rsidR="00000000" w:rsidRPr="00000000">
        <w:rPr>
          <w:rtl w:val="0"/>
        </w:rPr>
      </w:r>
    </w:p>
    <w:p w:rsidR="00000000" w:rsidDel="00000000" w:rsidP="00000000" w:rsidRDefault="00000000" w:rsidRPr="00000000" w14:paraId="000000C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Positive thinking didefinisikan sebagai “a generalized tendency to expect positive outcomes even in the face of obstacles” (Scheier &amp; Carver, 1985, p. 219). Konstruk ini sering dioperasionalisasikan sebagai dispositional optimism, yaitu kecenderungan untuk memandang masa depan secara positif dan percaya bahwa hal-hal baik akan terjadi.</w:t>
      </w:r>
      <w:r w:rsidDel="00000000" w:rsidR="00000000" w:rsidRPr="00000000">
        <w:rPr>
          <w:rtl w:val="0"/>
        </w:rPr>
      </w:r>
    </w:p>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 Kecemasan (Variabel Dependen 2)</w:t>
      </w:r>
      <w:r w:rsidDel="00000000" w:rsidR="00000000" w:rsidRPr="00000000">
        <w:rPr>
          <w:rtl w:val="0"/>
        </w:rPr>
      </w:r>
    </w:p>
    <w:p w:rsidR="00000000" w:rsidDel="00000000" w:rsidP="00000000" w:rsidRDefault="00000000" w:rsidRPr="00000000" w14:paraId="000000C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Kecemasan merupakan keadaan emosional yang ditandai oleh ketegangan, pikiran khawatir, serta perubahan fisiologis (Beck &amp; Steer, 1993). Kecemasan melibatkan komponen somatik, kognitif, dan afektif yang dapat mengganggu fungsi individu.</w:t>
      </w:r>
      <w:r w:rsidDel="00000000" w:rsidR="00000000" w:rsidRPr="00000000">
        <w:rPr>
          <w:rtl w:val="0"/>
        </w:rPr>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3.2.2 Definisi Operasional</w:t>
      </w:r>
      <w:r w:rsidDel="00000000" w:rsidR="00000000" w:rsidRPr="00000000">
        <w:rPr>
          <w:rtl w:val="0"/>
        </w:rPr>
      </w:r>
    </w:p>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 Definisi Operasional Variabel Bebas (Tadabbur Ayat Tasliyah)</w:t>
      </w:r>
      <w:r w:rsidDel="00000000" w:rsidR="00000000" w:rsidRPr="00000000">
        <w:rPr>
          <w:rtl w:val="0"/>
        </w:rPr>
      </w:r>
    </w:p>
    <w:p w:rsidR="00000000" w:rsidDel="00000000" w:rsidP="00000000" w:rsidRDefault="00000000" w:rsidRPr="00000000" w14:paraId="000000D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 Ayat Tasliyah dioperasionalisasikan sebagai partisipasi aktif santri dalam program intervensi terstruktur selama 4 minggu dengan frekuensi 2 sesi per minggu (total 8 sesi × 60 menit). Setiap sesi intervensi terdiri dari lima komponen terstandarisasi: (1) Tilawah dan Istima’ (10 menit); (2) Tafsir Ringkas (10 menit) berdasarkan tafsir klasik (Ibn Kathir, Al-Maraghi); (3) Refleksi Terbimbing (20 menit); (4) Journaling (10 menit); dan (5) Diskusi Kelompok (10 menit). Perlakuan dianggap lengkap apabila partisipan menghadiri minimal 80% sesi (7 dari 8 sesi).</w:t>
      </w: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 Manipulation Check</w:t>
      </w:r>
      <w:r w:rsidDel="00000000" w:rsidR="00000000" w:rsidRPr="00000000">
        <w:rPr>
          <w:rtl w:val="0"/>
        </w:rPr>
      </w:r>
    </w:p>
    <w:p w:rsidR="00000000" w:rsidDel="00000000" w:rsidP="00000000" w:rsidRDefault="00000000" w:rsidRPr="00000000" w14:paraId="000000D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Manipulation check dilakukan untuk memastikan intervensi menghasilkan refleksi mendalam sesuai tujuan. Pengukuran dilakukan melalui: (1) Tadabbur Engagement Checklist (kehadiran dan partisipasi aktif); (2) </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Reflection Depth Scale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(RDS) 5 item dengan skor minimal 15 dari 25; dan (3) wawancara singkat pada sampel 10% partisipan untuk verifikasi pengalaman tadabbur.</w:t>
      </w:r>
      <w:r w:rsidDel="00000000" w:rsidR="00000000" w:rsidRPr="00000000">
        <w:rPr>
          <w:rtl w:val="0"/>
        </w:rPr>
      </w:r>
    </w:p>
    <w:p w:rsidR="00000000" w:rsidDel="00000000" w:rsidP="00000000" w:rsidRDefault="00000000" w:rsidRPr="00000000" w14:paraId="000000D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Partisipan yang tidak memenuhi engagement minimal tidak langsung dikeluarkan dari analisis utama. Analisis utama menggunakan pendekatan intention-to-treat (ITT) untuk meminimalkan bias akibat attrition. Selanjutnya dilakukan analisis tambahan (sensitivity analysis) dengan pendekatan per-protocol yang hanya melibatkan partisipan yang memenuhi engagement minimal.</w:t>
      </w:r>
      <w:r w:rsidDel="00000000" w:rsidR="00000000" w:rsidRPr="00000000">
        <w:rPr>
          <w:rtl w:val="0"/>
        </w:rPr>
      </w:r>
    </w:p>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 Definisi Operasional Variabel Mediator (Restrukturisasi Kognitif)</w:t>
      </w:r>
      <w:r w:rsidDel="00000000" w:rsidR="00000000" w:rsidRPr="00000000">
        <w:rPr>
          <w:rtl w:val="0"/>
        </w:rPr>
      </w:r>
    </w:p>
    <w:p w:rsidR="00000000" w:rsidDel="00000000" w:rsidP="00000000" w:rsidRDefault="00000000" w:rsidRPr="00000000" w14:paraId="000000D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Restrukturisasi Kognitif diukur menggunakan</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 Cognitive Restructuring Scale</w:t>
      </w:r>
      <w:sdt>
        <w:sdtPr>
          <w:id w:val="-238742247"/>
          <w:tag w:val="goog_rdk_5"/>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 (CRS) yang terdiri dari 15 item dalam tiga dimensi: (1) Identifikasi Pikiran Negatif (5 item); (2) Evaluasi Rasional (5 item); dan (3) Reframing Adaptif (5 item). Skala menggunakan Likert 5 poin (1 = Sangat Tidak Setuju hingga 5 = Sangat Setuju) dengan rentang skor 15–75. Semakin tinggi skor menunjukkan kemampuan restrukturisasi kognitif yang semakin tinggi. Reliabilitas internal target Cronbach’s α ≥ 0.75.</w:t>
          </w:r>
        </w:sdtContent>
      </w:sdt>
      <w:r w:rsidDel="00000000" w:rsidR="00000000" w:rsidRPr="00000000">
        <w:rPr>
          <w:rtl w:val="0"/>
        </w:rPr>
      </w:r>
    </w:p>
    <w:p w:rsidR="00000000" w:rsidDel="00000000" w:rsidP="00000000" w:rsidRDefault="00000000" w:rsidRPr="00000000" w14:paraId="000000D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 Definisi Operasional Variabel Dependen 1 (Positive Thinking)</w:t>
      </w:r>
      <w:r w:rsidDel="00000000" w:rsidR="00000000" w:rsidRPr="00000000">
        <w:rPr>
          <w:rtl w:val="0"/>
        </w:rPr>
      </w:r>
    </w:p>
    <w:p w:rsidR="00000000" w:rsidDel="00000000" w:rsidP="00000000" w:rsidRDefault="00000000" w:rsidRPr="00000000" w14:paraId="000000D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Positive Thinking diukur menggunakan Life Orientation Test-Revised (LOT-R) (Scheier et al., 1994) yang terdiri dari 10 item: 3 item optimisme, 3 item pesimisme (reverse scoring), dan 4 item filler (tidak diskor). Skala Likert 5 poin (0–4). Rentang skor 0–24; semakin tinggi skor menunjukkan positive thinking/optimisme yang lebih tinggi.</w:t>
      </w:r>
      <w:r w:rsidDel="00000000" w:rsidR="00000000" w:rsidRPr="00000000">
        <w:rPr>
          <w:rtl w:val="0"/>
        </w:rPr>
      </w:r>
    </w:p>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 Definisi Operasional Variabel Dependen 2 (Kecemasan)</w:t>
      </w:r>
      <w:r w:rsidDel="00000000" w:rsidR="00000000" w:rsidRPr="00000000">
        <w:rPr>
          <w:rtl w:val="0"/>
        </w:rPr>
      </w:r>
    </w:p>
    <w:p w:rsidR="00000000" w:rsidDel="00000000" w:rsidP="00000000" w:rsidRDefault="00000000" w:rsidRPr="00000000" w14:paraId="000000D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Kecemasan diukur menggunakan Beck Anxiety Inventory (BAI) (Beck &amp; Steer, 1993) yang terdiri dari 21 item dengan skala Likert 4 poin (0–3). Rentang skor 0–63 dengan interpretasi: 0–7 minimal, 8–15 ringan, 16–25 sedang, 26–63 berat.</w:t>
      </w:r>
      <w:r w:rsidDel="00000000" w:rsidR="00000000" w:rsidRPr="00000000">
        <w:rPr>
          <w:rtl w:val="0"/>
        </w:rPr>
      </w:r>
    </w:p>
    <w:p w:rsidR="00000000" w:rsidDel="00000000" w:rsidP="00000000" w:rsidRDefault="00000000" w:rsidRPr="00000000" w14:paraId="000000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3.3 Partisipan dan Lokasi Penelitian</w:t>
      </w:r>
      <w:r w:rsidDel="00000000" w:rsidR="00000000" w:rsidRPr="00000000">
        <w:rPr>
          <w:rtl w:val="0"/>
        </w:rPr>
      </w:r>
    </w:p>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Populasi Penelitian</w:t>
      </w:r>
      <w:r w:rsidDel="00000000" w:rsidR="00000000" w:rsidRPr="00000000">
        <w:rPr>
          <w:rtl w:val="0"/>
        </w:rPr>
      </w:r>
    </w:p>
    <w:p w:rsidR="00000000" w:rsidDel="00000000" w:rsidP="00000000" w:rsidRDefault="00000000" w:rsidRPr="00000000" w14:paraId="000000E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Populasi penelitian adalah seluruh santri Pondok Informatika berusia 15–22 tahun dan berstatus </w:t>
      </w:r>
      <w:r w:rsidDel="00000000" w:rsidR="00000000" w:rsidRPr="00000000">
        <w:rPr>
          <w:rFonts w:ascii="Times New Roman" w:cs="Times New Roman" w:eastAsia="Times New Roman" w:hAnsi="Times New Roman"/>
          <w:sz w:val="24"/>
          <w:szCs w:val="24"/>
          <w:rtl w:val="0"/>
        </w:rPr>
        <w:t xml:space="preserve">terdaftar (offline/online)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Total populasi terjangkau sekitar </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santri.</w:t>
      </w:r>
      <w:r w:rsidDel="00000000" w:rsidR="00000000" w:rsidRPr="00000000">
        <w:rPr>
          <w:rtl w:val="0"/>
        </w:rPr>
      </w:r>
    </w:p>
    <w:p w:rsidR="00000000" w:rsidDel="00000000" w:rsidP="00000000" w:rsidRDefault="00000000" w:rsidRPr="00000000" w14:paraId="000000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Sampel dan Teknik Sampling</w:t>
      </w:r>
      <w:r w:rsidDel="00000000" w:rsidR="00000000" w:rsidRPr="00000000">
        <w:rPr>
          <w:rtl w:val="0"/>
        </w:rPr>
      </w:r>
    </w:p>
    <w:p w:rsidR="00000000" w:rsidDel="00000000" w:rsidP="00000000" w:rsidRDefault="00000000" w:rsidRPr="00000000" w14:paraId="000000E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Pengambilan sampel menggunakan purposive sampling dengan kriteria inklusi: (1) usia 15–22 tahun; (2) santri </w:t>
      </w:r>
      <w:r w:rsidDel="00000000" w:rsidR="00000000" w:rsidRPr="00000000">
        <w:rPr>
          <w:rFonts w:ascii="Times New Roman" w:cs="Times New Roman" w:eastAsia="Times New Roman" w:hAnsi="Times New Roman"/>
          <w:sz w:val="24"/>
          <w:szCs w:val="24"/>
          <w:rtl w:val="0"/>
        </w:rPr>
        <w:t xml:space="preserve">terdaftar</w:t>
      </w:r>
      <w:sdt>
        <w:sdtPr>
          <w:id w:val="2108992245"/>
          <w:tag w:val="goog_rdk_6"/>
        </w:sdtPr>
        <w:sdtContent>
          <w:r w:rsidDel="00000000" w:rsidR="00000000" w:rsidRPr="00000000">
            <w:rPr>
              <w:rFonts w:ascii="Gungsuh" w:cs="Gungsuh" w:eastAsia="Gungsuh" w:hAnsi="Gungsuh"/>
              <w:b w:val="0"/>
              <w:bCs w:val="0"/>
              <w:i w:val="0"/>
              <w:iCs w:val="0"/>
              <w:color w:val="000000"/>
              <w:sz w:val="24"/>
              <w:szCs w:val="24"/>
              <w:shd w:fill="auto" w:val="clear"/>
              <w:vertAlign w:val="baseline"/>
              <w:rtl w:val="0"/>
            </w:rPr>
            <w:t xml:space="preserve">; (3) skor BAI ≥ 8 pada screening awal; (4) bersedia mengikuti intervensi; (5) belum mengikuti terapi psikologis formal 6 bulan terakhir. Kriteria eksklusi: (1) diagnosis gangguan psikiatrik berat; (2) sedang dalam pengobatan psikofarmakologis; (3) tidak mampu membaca Al-Qur’an dengan lancar.</w:t>
          </w:r>
        </w:sdtContent>
      </w:sdt>
      <w:r w:rsidDel="00000000" w:rsidR="00000000" w:rsidRPr="00000000">
        <w:rPr>
          <w:rtl w:val="0"/>
        </w:rPr>
      </w:r>
    </w:p>
    <w:p w:rsidR="00000000" w:rsidDel="00000000" w:rsidP="00000000" w:rsidRDefault="00000000" w:rsidRPr="00000000" w14:paraId="000000E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Ukuran sampel dihitung menggunakan G*Power 3.1 untuk </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ANCOVA/Mixed ANOVA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dengan parameter effect size f=0.25, α=0.05, power=0.80, jumlah kelompok=2. Hasil menunjukkan kebutuhan minimal 64 partisipan (32/kelompok). Dengan antisipasi dropout 20%, target rekrutmen adalah 80 partisipan (40 eksperimen, 40 kontrol).</w:t>
      </w:r>
      <w:r w:rsidDel="00000000" w:rsidR="00000000" w:rsidRPr="00000000">
        <w:rPr>
          <w:rtl w:val="0"/>
        </w:rPr>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Pembagian Kelompok</w:t>
      </w:r>
      <w:r w:rsidDel="00000000" w:rsidR="00000000" w:rsidRPr="00000000">
        <w:rPr>
          <w:rtl w:val="0"/>
        </w:rPr>
      </w:r>
    </w:p>
    <w:p w:rsidR="00000000" w:rsidDel="00000000" w:rsidP="00000000" w:rsidRDefault="00000000" w:rsidRPr="00000000" w14:paraId="000000E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Partisipan yang memenuhi kriteria dibagi menjadi dua kelompok melalui cluster random assignment berbasis unit asrama. Asrama terpilih secara acak dialokasikan sebagai kelompok eksperimen atau kontrol untuk menghindari kontaminasi antar kelompok.</w:t>
      </w:r>
      <w:r w:rsidDel="00000000" w:rsidR="00000000" w:rsidRPr="00000000">
        <w:rPr>
          <w:rtl w:val="0"/>
        </w:rPr>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Lokasi Penelitian</w:t>
      </w:r>
      <w:r w:rsidDel="00000000" w:rsidR="00000000" w:rsidRPr="00000000">
        <w:rPr>
          <w:rtl w:val="0"/>
        </w:rPr>
      </w:r>
    </w:p>
    <w:p w:rsidR="00000000" w:rsidDel="00000000" w:rsidP="00000000" w:rsidRDefault="00000000" w:rsidRPr="00000000" w14:paraId="000000E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dilaksanakan di Pondok Informatika. Pemilihan lokasi didasarkan pada relevansi kontekstual, aksesibilitas, infrastruktur, dan dukungan institusional pesantren.</w:t>
      </w:r>
      <w:r w:rsidDel="00000000" w:rsidR="00000000" w:rsidRPr="00000000">
        <w:rPr>
          <w:rtl w:val="0"/>
        </w:rPr>
      </w:r>
    </w:p>
    <w:p w:rsidR="00000000" w:rsidDel="00000000" w:rsidP="00000000" w:rsidRDefault="00000000" w:rsidRPr="00000000" w14:paraId="000000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3.4 Penyusunan Alat Ukur</w:t>
      </w:r>
      <w:r w:rsidDel="00000000" w:rsidR="00000000" w:rsidRPr="00000000">
        <w:rPr>
          <w:rtl w:val="0"/>
        </w:rPr>
      </w:r>
    </w:p>
    <w:p w:rsidR="00000000" w:rsidDel="00000000" w:rsidP="00000000" w:rsidRDefault="00000000" w:rsidRPr="00000000" w14:paraId="000000E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menggunakan tiga instrumen utama (BAI, LOT-R, CRS) yang diadaptasi melalui prosedur translasi standar forward-backward translation dan uji validitas-reliabilitas pada sampel pilot.</w:t>
      </w:r>
      <w:r w:rsidDel="00000000" w:rsidR="00000000" w:rsidRPr="00000000">
        <w:rPr>
          <w:rtl w:val="0"/>
        </w:rPr>
      </w:r>
    </w:p>
    <w:p w:rsidR="00000000" w:rsidDel="00000000" w:rsidP="00000000" w:rsidRDefault="00000000" w:rsidRPr="00000000" w14:paraId="000000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 Beck Anxiety Inventory (BAI)</w:t>
      </w:r>
      <w:r w:rsidDel="00000000" w:rsidR="00000000" w:rsidRPr="00000000">
        <w:rPr>
          <w:rtl w:val="0"/>
        </w:rPr>
      </w:r>
    </w:p>
    <w:p w:rsidR="00000000" w:rsidDel="00000000" w:rsidP="00000000" w:rsidRDefault="00000000" w:rsidRPr="00000000" w14:paraId="000000EC">
      <w:pPr>
        <w:spacing w:line="240" w:lineRule="auto"/>
        <w:jc w:val="both"/>
        <w:rPr>
          <w:rFonts w:ascii="Times New Roman" w:cs="Times New Roman" w:eastAsia="Times New Roman" w:hAnsi="Times New Roman"/>
          <w:sz w:val="24"/>
          <w:szCs w:val="24"/>
        </w:rPr>
      </w:pPr>
      <w:sdt>
        <w:sdtPr>
          <w:id w:val="-696644435"/>
          <w:tag w:val="goog_rdk_7"/>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Sumber: Beck &amp; Steer (1993); 21 item; skala Likert 4 poin; target α ≥ 0.80; korelasi item-total ≥ 0.30.</w:t>
          </w:r>
        </w:sdtContent>
      </w:sdt>
      <w:r w:rsidDel="00000000" w:rsidR="00000000" w:rsidRPr="00000000">
        <w:rPr>
          <w:rtl w:val="0"/>
        </w:rPr>
      </w:r>
    </w:p>
    <w:p w:rsidR="00000000" w:rsidDel="00000000" w:rsidP="00000000" w:rsidRDefault="00000000" w:rsidRPr="00000000" w14:paraId="000000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 Life Orientation Test-Revised (LOT-R)</w:t>
      </w:r>
      <w:r w:rsidDel="00000000" w:rsidR="00000000" w:rsidRPr="00000000">
        <w:rPr>
          <w:rtl w:val="0"/>
        </w:rPr>
      </w:r>
    </w:p>
    <w:p w:rsidR="00000000" w:rsidDel="00000000" w:rsidP="00000000" w:rsidRDefault="00000000" w:rsidRPr="00000000" w14:paraId="000000EE">
      <w:pPr>
        <w:spacing w:line="240" w:lineRule="auto"/>
        <w:jc w:val="both"/>
        <w:rPr>
          <w:rFonts w:ascii="Times New Roman" w:cs="Times New Roman" w:eastAsia="Times New Roman" w:hAnsi="Times New Roman"/>
          <w:sz w:val="24"/>
          <w:szCs w:val="24"/>
        </w:rPr>
      </w:pPr>
      <w:sdt>
        <w:sdtPr>
          <w:id w:val="-846533441"/>
          <w:tag w:val="goog_rdk_8"/>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Sumber: Scheier, Carver, &amp; Bridges (1994); 10 item; skala Likert 5 poin; target α ≥ 0.75; CFA: CFI ≥ 0.90; RMSEA ≤ 0.08.</w:t>
          </w:r>
        </w:sdtContent>
      </w:sdt>
      <w:r w:rsidDel="00000000" w:rsidR="00000000" w:rsidRPr="00000000">
        <w:rPr>
          <w:rtl w:val="0"/>
        </w:rPr>
      </w:r>
    </w:p>
    <w:p w:rsidR="00000000" w:rsidDel="00000000" w:rsidP="00000000" w:rsidRDefault="00000000" w:rsidRPr="00000000" w14:paraId="000000E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 Cognitive Restructuring Scale (CRS)</w:t>
      </w:r>
      <w:r w:rsidDel="00000000" w:rsidR="00000000" w:rsidRPr="00000000">
        <w:rPr>
          <w:rtl w:val="0"/>
        </w:rPr>
      </w:r>
    </w:p>
    <w:p w:rsidR="00000000" w:rsidDel="00000000" w:rsidP="00000000" w:rsidRDefault="00000000" w:rsidRPr="00000000" w14:paraId="000000F0">
      <w:pPr>
        <w:spacing w:after="200" w:line="276" w:lineRule="auto"/>
        <w:jc w:val="both"/>
        <w:rPr>
          <w:rFonts w:ascii="Times New Roman" w:cs="Times New Roman" w:eastAsia="Times New Roman" w:hAnsi="Times New Roman"/>
          <w:sz w:val="24"/>
          <w:szCs w:val="24"/>
        </w:rPr>
      </w:pPr>
      <w:sdt>
        <w:sdtPr>
          <w:id w:val="-531953308"/>
          <w:tag w:val="goog_rdk_9"/>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Disusun/modifikasi berbasis literatur CBT dengan konteks Islam; 15 item; target α ≥ 0.75 per subskala.</w:t>
          </w:r>
        </w:sdtContent>
      </w:sdt>
      <w:r w:rsidDel="00000000" w:rsidR="00000000" w:rsidRPr="00000000">
        <w:rPr>
          <w:rtl w:val="0"/>
        </w:rPr>
      </w:r>
    </w:p>
    <w:p w:rsidR="00000000" w:rsidDel="00000000" w:rsidP="00000000" w:rsidRDefault="00000000" w:rsidRPr="00000000" w14:paraId="000000F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Prosedur Validasi Instrumen</w:t>
      </w:r>
      <w:r w:rsidDel="00000000" w:rsidR="00000000" w:rsidRPr="00000000">
        <w:rPr>
          <w:rtl w:val="0"/>
        </w:rPr>
      </w:r>
    </w:p>
    <w:p w:rsidR="00000000" w:rsidDel="00000000" w:rsidP="00000000" w:rsidRDefault="00000000" w:rsidRPr="00000000" w14:paraId="000000F2">
      <w:pPr>
        <w:spacing w:after="200" w:line="276" w:lineRule="auto"/>
        <w:jc w:val="both"/>
        <w:rPr>
          <w:rFonts w:ascii="Times New Roman" w:cs="Times New Roman" w:eastAsia="Times New Roman" w:hAnsi="Times New Roman"/>
          <w:sz w:val="24"/>
          <w:szCs w:val="24"/>
        </w:rPr>
      </w:pPr>
      <w:sdt>
        <w:sdtPr>
          <w:id w:val="-1410254943"/>
          <w:tag w:val="goog_rdk_10"/>
        </w:sdtPr>
        <w:sdtContent>
          <w:r w:rsidDel="00000000" w:rsidR="00000000" w:rsidRPr="00000000">
            <w:rPr>
              <w:rFonts w:ascii="Gungsuh" w:cs="Gungsuh" w:eastAsia="Gungsuh" w:hAnsi="Gungsuh"/>
              <w:b w:val="0"/>
              <w:bCs w:val="0"/>
              <w:i w:val="0"/>
              <w:iCs w:val="0"/>
              <w:color w:val="000000"/>
              <w:sz w:val="24"/>
              <w:szCs w:val="24"/>
              <w:shd w:fill="auto" w:val="clear"/>
              <w:vertAlign w:val="baseline"/>
              <w:rtl w:val="0"/>
            </w:rPr>
            <w:t xml:space="preserve">Validasi instrumen dilakukan melalui: (1) expert judgment oleh 3 ahli dan perhitungan CVI (≥0.80); (2) uji keterbacaan pada 10 santri; (3) pilot study pada 40 santri di luar sampel utama untuk reliabilitas dan EFA; (4) CFA pada sampel utama untuk konfirmasi struktur faktor.</w:t>
          </w:r>
        </w:sdtContent>
      </w:sdt>
      <w:r w:rsidDel="00000000" w:rsidR="00000000" w:rsidRPr="00000000">
        <w:rPr>
          <w:rtl w:val="0"/>
        </w:rPr>
      </w:r>
    </w:p>
    <w:p w:rsidR="00000000" w:rsidDel="00000000" w:rsidP="00000000" w:rsidRDefault="00000000" w:rsidRPr="00000000" w14:paraId="000000F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3.5 Validitas Internal Eksperimen</w:t>
      </w:r>
      <w:r w:rsidDel="00000000" w:rsidR="00000000" w:rsidRPr="00000000">
        <w:rPr>
          <w:rtl w:val="0"/>
        </w:rPr>
      </w:r>
    </w:p>
    <w:p w:rsidR="00000000" w:rsidDel="00000000" w:rsidP="00000000" w:rsidRDefault="00000000" w:rsidRPr="00000000" w14:paraId="000000F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 mengantisipasi ancaman validitas internal (history, maturation, testing, instrumentation, statistical regression, selection, mortality/attrition, diffusion/contamination). Strategi pengendalian meliputi penggunaan kelompok kontrol, monitoring event log, interval 4 minggu, penggunaan instrumen identik, assessor blind, cluster assignment, pengecekan homogenitas baseline, </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ANCOVA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bila diperlukan, serta analisis ITT.</w:t>
      </w:r>
      <w:r w:rsidDel="00000000" w:rsidR="00000000" w:rsidRPr="00000000">
        <w:rPr>
          <w:rtl w:val="0"/>
        </w:rPr>
      </w:r>
    </w:p>
    <w:p w:rsidR="00000000" w:rsidDel="00000000" w:rsidP="00000000" w:rsidRDefault="00000000" w:rsidRPr="00000000" w14:paraId="000000F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3.6 Peralatan Penelitian</w:t>
      </w:r>
      <w:r w:rsidDel="00000000" w:rsidR="00000000" w:rsidRPr="00000000">
        <w:rPr>
          <w:rtl w:val="0"/>
        </w:rPr>
      </w:r>
    </w:p>
    <w:p w:rsidR="00000000" w:rsidDel="00000000" w:rsidP="00000000" w:rsidRDefault="00000000" w:rsidRPr="00000000" w14:paraId="000000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 Peralatan Intervensi</w:t>
      </w:r>
      <w:r w:rsidDel="00000000" w:rsidR="00000000" w:rsidRPr="00000000">
        <w:rPr>
          <w:rtl w:val="0"/>
        </w:rPr>
      </w:r>
    </w:p>
    <w:p w:rsidR="00000000" w:rsidDel="00000000" w:rsidP="00000000" w:rsidRDefault="00000000" w:rsidRPr="00000000" w14:paraId="000000F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Audio player dan speaker; mushaf Al-Qur’an; buku catatan tadabbur; panduan fasilitator; timer; ruang kajian yang kondusif.</w:t>
      </w:r>
      <w:r w:rsidDel="00000000" w:rsidR="00000000" w:rsidRPr="00000000">
        <w:rPr>
          <w:rtl w:val="0"/>
        </w:rPr>
      </w:r>
    </w:p>
    <w:p w:rsidR="00000000" w:rsidDel="00000000" w:rsidP="00000000" w:rsidRDefault="00000000" w:rsidRPr="00000000" w14:paraId="000000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 Peralatan Pengumpulan Data</w:t>
      </w:r>
      <w:r w:rsidDel="00000000" w:rsidR="00000000" w:rsidRPr="00000000">
        <w:rPr>
          <w:rtl w:val="0"/>
        </w:rPr>
      </w:r>
    </w:p>
    <w:p w:rsidR="00000000" w:rsidDel="00000000" w:rsidP="00000000" w:rsidRDefault="00000000" w:rsidRPr="00000000" w14:paraId="000000F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Booklet kuesioner; form screening; informed consent; attendance log; voice recorder (opsional) untuk wawancara manipulation check.</w:t>
      </w:r>
      <w:r w:rsidDel="00000000" w:rsidR="00000000" w:rsidRPr="00000000">
        <w:rPr>
          <w:rtl w:val="0"/>
        </w:rPr>
      </w:r>
    </w:p>
    <w:p w:rsidR="00000000" w:rsidDel="00000000" w:rsidP="00000000" w:rsidRDefault="00000000" w:rsidRPr="00000000" w14:paraId="000000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 Peralatan Analisis Data</w:t>
      </w:r>
      <w:r w:rsidDel="00000000" w:rsidR="00000000" w:rsidRPr="00000000">
        <w:rPr>
          <w:rtl w:val="0"/>
        </w:rPr>
      </w:r>
    </w:p>
    <w:p w:rsidR="00000000" w:rsidDel="00000000" w:rsidP="00000000" w:rsidRDefault="00000000" w:rsidRPr="00000000" w14:paraId="000000F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IBM SPSS Statistics 26; JASP 0.18; PROCESS Macro v4.2; Microsoft Excel.</w:t>
      </w:r>
      <w:r w:rsidDel="00000000" w:rsidR="00000000" w:rsidRPr="00000000">
        <w:rPr>
          <w:rtl w:val="0"/>
        </w:rPr>
      </w:r>
    </w:p>
    <w:p w:rsidR="00000000" w:rsidDel="00000000" w:rsidP="00000000" w:rsidRDefault="00000000" w:rsidRPr="00000000" w14:paraId="000000F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3.7 Teknik Pengambilan Data</w:t>
      </w:r>
      <w:r w:rsidDel="00000000" w:rsidR="00000000" w:rsidRPr="00000000">
        <w:rPr>
          <w:rtl w:val="0"/>
        </w:rPr>
      </w:r>
    </w:p>
    <w:p w:rsidR="00000000" w:rsidDel="00000000" w:rsidP="00000000" w:rsidRDefault="00000000" w:rsidRPr="00000000" w14:paraId="000000FD">
      <w:pPr>
        <w:spacing w:after="200" w:line="276" w:lineRule="auto"/>
        <w:jc w:val="both"/>
        <w:rPr>
          <w:rFonts w:ascii="Times New Roman" w:cs="Times New Roman" w:eastAsia="Times New Roman" w:hAnsi="Times New Roman"/>
          <w:sz w:val="24"/>
          <w:szCs w:val="24"/>
        </w:rPr>
      </w:pPr>
      <w:sdt>
        <w:sdtPr>
          <w:id w:val="-158560235"/>
          <w:tag w:val="goog_rdk_11"/>
        </w:sdtPr>
        <w:sdtContent>
          <w:r w:rsidDel="00000000" w:rsidR="00000000" w:rsidRPr="00000000">
            <w:rPr>
              <w:rFonts w:ascii="Gungsuh" w:cs="Gungsuh" w:eastAsia="Gungsuh" w:hAnsi="Gungsuh"/>
              <w:b w:val="0"/>
              <w:bCs w:val="0"/>
              <w:i w:val="0"/>
              <w:iCs w:val="0"/>
              <w:color w:val="000000"/>
              <w:sz w:val="24"/>
              <w:szCs w:val="24"/>
              <w:shd w:fill="auto" w:val="clear"/>
              <w:vertAlign w:val="baseline"/>
              <w:rtl w:val="0"/>
            </w:rPr>
            <w:t xml:space="preserve">Pengumpulan data dilakukan dalam empat tahap dengan total durasi 6 minggu: (1) persiapan dan screening (minggu 1); (2) pretest dan alokasi kelompok (minggu 2); (3) pelaksanaan intervensi (minggu 3–5); (4) posttest dan debriefing (minggu 6). Screening awal menggunakan BAI untuk identifikasi kecemasan baseline (BAI ≥ 8). Kelompok eksperimen menerima 8 sesi intervensi (2 sesi per minggu); kelompok kontrol menjalani aktivitas rutin. Manipulation check dilakukan pada sesi ke-4 dan ke-8.</w:t>
          </w:r>
        </w:sdtContent>
      </w:sdt>
      <w:r w:rsidDel="00000000" w:rsidR="00000000" w:rsidRPr="00000000">
        <w:rPr>
          <w:rtl w:val="0"/>
        </w:rPr>
      </w:r>
    </w:p>
    <w:p w:rsidR="00000000" w:rsidDel="00000000" w:rsidP="00000000" w:rsidRDefault="00000000" w:rsidRPr="00000000" w14:paraId="000000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Etika Penelitian</w:t>
      </w:r>
      <w:r w:rsidDel="00000000" w:rsidR="00000000" w:rsidRPr="00000000">
        <w:rPr>
          <w:rtl w:val="0"/>
        </w:rPr>
      </w:r>
    </w:p>
    <w:p w:rsidR="00000000" w:rsidDel="00000000" w:rsidP="00000000" w:rsidRDefault="00000000" w:rsidRPr="00000000" w14:paraId="000000F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mengikuti prinsip etika: (1) informed consent; (2) confidentiality; (3) beneficence/non-maleficence; (4) justice. Partisipan memiliki hak withdrawal without penalty. Jika terjadi distress (misalnya panik/menangis), fasilitator menghentikan sesi untuk partisipan tersebut, melakukan grounding sederhana, dan merujuk ke konselor pesantren/psikolog sesuai SOP institusi dengan persetujuan partisipan. Penelitian diajukan ke komite etik untuk memperoleh ethical clearance.</w:t>
      </w:r>
      <w:r w:rsidDel="00000000" w:rsidR="00000000" w:rsidRPr="00000000">
        <w:rPr>
          <w:rtl w:val="0"/>
        </w:rPr>
      </w:r>
    </w:p>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3.8 Teknik Pengolahan dan Analisa Data</w:t>
      </w:r>
      <w:r w:rsidDel="00000000" w:rsidR="00000000" w:rsidRPr="00000000">
        <w:rPr>
          <w:rtl w:val="0"/>
        </w:rPr>
      </w:r>
    </w:p>
    <w:p w:rsidR="00000000" w:rsidDel="00000000" w:rsidP="00000000" w:rsidRDefault="00000000" w:rsidRPr="00000000" w14:paraId="000001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Pengolahan Data</w:t>
      </w:r>
      <w:r w:rsidDel="00000000" w:rsidR="00000000" w:rsidRPr="00000000">
        <w:rPr>
          <w:rtl w:val="0"/>
        </w:rPr>
      </w:r>
    </w:p>
    <w:p w:rsidR="00000000" w:rsidDel="00000000" w:rsidP="00000000" w:rsidRDefault="00000000" w:rsidRPr="00000000" w14:paraId="0000010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Pengolahan data meliputi: (1) data cleaning dan pemeriksaan missing values/outliers (Mahalanobis distance); (2) coding dan scoring termasuk reverse scoring; (3) penghitungan skor total dan subskala; (4) entri data ke SPSS dengan double-entry verification.</w:t>
      </w:r>
      <w:r w:rsidDel="00000000" w:rsidR="00000000" w:rsidRPr="00000000">
        <w:rPr>
          <w:rtl w:val="0"/>
        </w:rPr>
      </w:r>
    </w:p>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 Asumsi Statistik</w:t>
      </w:r>
      <w:r w:rsidDel="00000000" w:rsidR="00000000" w:rsidRPr="00000000">
        <w:rPr>
          <w:rtl w:val="0"/>
        </w:rPr>
      </w:r>
    </w:p>
    <w:p w:rsidR="00000000" w:rsidDel="00000000" w:rsidP="00000000" w:rsidRDefault="00000000" w:rsidRPr="00000000" w14:paraId="0000010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 asumsi meliputi: (1) normalitas (Shapiro–Wilk dan skewness/kurtosis ±2); (2) homogenitas varians (Levene); (3) linearitas untuk analisis mediasi; (4) multikolinearitas (VIF &lt; 5). Jika asumsi terlanggar, transformasi data atau uji non-parametrik diterapkan.</w:t>
      </w:r>
      <w:r w:rsidDel="00000000" w:rsidR="00000000" w:rsidRPr="00000000">
        <w:rPr>
          <w:rtl w:val="0"/>
        </w:rPr>
      </w:r>
    </w:p>
    <w:p w:rsidR="00000000" w:rsidDel="00000000" w:rsidP="00000000" w:rsidRDefault="00000000" w:rsidRPr="00000000" w14:paraId="0000010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Karena desain penelitian merupakan quasi-experiment berbasis klaster, dilakukan uji kesetaraan baseline (homogenitas pretest) melalui independent samples t-test atau Mann–Whitney U untuk membandingkan skor pretest antar kelompok. Apabila ditemukan perbedaan pretest yang signifikan, maka analisis utama disesuaikan dengan menggunakan ANCOVA (membandingkan skor posttest antar kelompok dengan mengontrol skor pretest sebagai kovariat) atau mixed ANCOVA bila diperlukan.</w:t>
      </w:r>
      <w:r w:rsidDel="00000000" w:rsidR="00000000" w:rsidRPr="00000000">
        <w:rPr>
          <w:rtl w:val="0"/>
        </w:rPr>
      </w:r>
    </w:p>
    <w:p w:rsidR="00000000" w:rsidDel="00000000" w:rsidP="00000000" w:rsidRDefault="00000000" w:rsidRPr="00000000" w14:paraId="000001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Analisis Utama</w:t>
      </w:r>
      <w:r w:rsidDel="00000000" w:rsidR="00000000" w:rsidRPr="00000000">
        <w:rPr>
          <w:rtl w:val="0"/>
        </w:rPr>
      </w:r>
    </w:p>
    <w:p w:rsidR="00000000" w:rsidDel="00000000" w:rsidP="00000000" w:rsidRDefault="00000000" w:rsidRPr="00000000" w14:paraId="0000010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 Hipotesis 1 dan 2 menggunakan Mixed ANOVA (2×2): faktor between-subject = kelompok (eksperimen vs kontrol) dan faktor within-subject = waktu (pretest vs posttest). Efek interaksi (p &lt; 0.05) menunjukkan perubahan skor yang berbeda antar kelompok. Sebagai alternatif jika baseline tidak setara, digunakan ANCOVA.</w:t>
      </w:r>
      <w:r w:rsidDel="00000000" w:rsidR="00000000" w:rsidRPr="00000000">
        <w:rPr>
          <w:rtl w:val="0"/>
        </w:rPr>
      </w:r>
    </w:p>
    <w:p w:rsidR="00000000" w:rsidDel="00000000" w:rsidP="00000000" w:rsidRDefault="00000000" w:rsidRPr="00000000" w14:paraId="0000010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 Hipotesis 3 dan 4 menggunakan analisis mediasi dengan PROCESS Macro Model 4 (Hayes, 2018) dengan bootstrapping 5000 resamples. Mediasi signifikan bila 95% CI indirect effect tidak melewati nol.</w:t>
      </w:r>
      <w:r w:rsidDel="00000000" w:rsidR="00000000" w:rsidRPr="00000000">
        <w:rPr>
          <w:rtl w:val="0"/>
        </w:rPr>
      </w:r>
    </w:p>
    <w:p w:rsidR="00000000" w:rsidDel="00000000" w:rsidP="00000000" w:rsidRDefault="00000000" w:rsidRPr="00000000" w14:paraId="0000010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Effect size dilaporkan menggunakan Cohen’s d dan η² (eta-squared).</w:t>
      </w: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Hipotesis Statistik</w:t>
      </w:r>
      <w:r w:rsidDel="00000000" w:rsidR="00000000" w:rsidRPr="00000000">
        <w:rPr>
          <w:rtl w:val="0"/>
        </w:rPr>
      </w:r>
    </w:p>
    <w:p w:rsidR="00000000" w:rsidDel="00000000" w:rsidP="00000000" w:rsidRDefault="00000000" w:rsidRPr="00000000" w14:paraId="000001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H0₁: μ₁(posttest-pretest) = μ₂(posttest-pretest) untuk LOT-R</w:t>
      </w:r>
      <w:r w:rsidDel="00000000" w:rsidR="00000000" w:rsidRPr="00000000">
        <w:rPr>
          <w:rtl w:val="0"/>
        </w:rPr>
      </w:r>
    </w:p>
    <w:p w:rsidR="00000000" w:rsidDel="00000000" w:rsidP="00000000" w:rsidRDefault="00000000" w:rsidRPr="00000000" w14:paraId="000001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H1₁: μ₁(posttest-pretest) &gt; μ₂(posttest-pretest) untuk LOT-R</w:t>
      </w:r>
      <w:r w:rsidDel="00000000" w:rsidR="00000000" w:rsidRPr="00000000">
        <w:rPr>
          <w:rtl w:val="0"/>
        </w:rPr>
      </w:r>
    </w:p>
    <w:p w:rsidR="00000000" w:rsidDel="00000000" w:rsidP="00000000" w:rsidRDefault="00000000" w:rsidRPr="00000000" w14:paraId="000001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H0₂: μ₁(posttest-pretest) = μ₂(posttest-pretest) untuk BAI</w:t>
      </w:r>
      <w:r w:rsidDel="00000000" w:rsidR="00000000" w:rsidRPr="00000000">
        <w:rPr>
          <w:rtl w:val="0"/>
        </w:rPr>
      </w:r>
    </w:p>
    <w:p w:rsidR="00000000" w:rsidDel="00000000" w:rsidP="00000000" w:rsidRDefault="00000000" w:rsidRPr="00000000" w14:paraId="000001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H1₂: μ₁(posttest-pretest) &lt; μ₂(posttest-pretest) untuk BAI</w:t>
      </w:r>
      <w:r w:rsidDel="00000000" w:rsidR="00000000" w:rsidRPr="00000000">
        <w:rPr>
          <w:rtl w:val="0"/>
        </w:rPr>
      </w:r>
    </w:p>
    <w:p w:rsidR="00000000" w:rsidDel="00000000" w:rsidP="00000000" w:rsidRDefault="00000000" w:rsidRPr="00000000" w14:paraId="00000111">
      <w:pPr>
        <w:spacing w:line="240" w:lineRule="auto"/>
        <w:jc w:val="both"/>
        <w:rPr>
          <w:rFonts w:ascii="Times New Roman" w:cs="Times New Roman" w:eastAsia="Times New Roman" w:hAnsi="Times New Roman"/>
          <w:sz w:val="24"/>
          <w:szCs w:val="24"/>
        </w:rPr>
      </w:pPr>
      <w:sdt>
        <w:sdtPr>
          <w:id w:val="-1025578891"/>
          <w:tag w:val="goog_rdk_12"/>
        </w:sdtPr>
        <w:sdtContent>
          <w:r w:rsidDel="00000000" w:rsidR="00000000" w:rsidRPr="00000000">
            <w:rPr>
              <w:rFonts w:ascii="Caudex" w:cs="Caudex" w:eastAsia="Caudex" w:hAnsi="Caudex"/>
              <w:b w:val="0"/>
              <w:bCs w:val="0"/>
              <w:i w:val="0"/>
              <w:iCs w:val="0"/>
              <w:color w:val="000000"/>
              <w:sz w:val="24"/>
              <w:szCs w:val="24"/>
              <w:shd w:fill="auto" w:val="clear"/>
              <w:vertAlign w:val="baseline"/>
              <w:rtl w:val="0"/>
            </w:rPr>
            <w:t xml:space="preserve">H0₃: Indirect effect (Tadabbur → CRS → LOT-R) = 0</w:t>
          </w:r>
        </w:sdtContent>
      </w:sdt>
      <w:r w:rsidDel="00000000" w:rsidR="00000000" w:rsidRPr="00000000">
        <w:rPr>
          <w:rtl w:val="0"/>
        </w:rPr>
      </w:r>
    </w:p>
    <w:p w:rsidR="00000000" w:rsidDel="00000000" w:rsidP="00000000" w:rsidRDefault="00000000" w:rsidRPr="00000000" w14:paraId="00000112">
      <w:pPr>
        <w:spacing w:line="240" w:lineRule="auto"/>
        <w:jc w:val="both"/>
        <w:rPr>
          <w:rFonts w:ascii="Times New Roman" w:cs="Times New Roman" w:eastAsia="Times New Roman" w:hAnsi="Times New Roman"/>
          <w:sz w:val="24"/>
          <w:szCs w:val="24"/>
        </w:rPr>
      </w:pPr>
      <w:sdt>
        <w:sdtPr>
          <w:id w:val="1225789591"/>
          <w:tag w:val="goog_rdk_13"/>
        </w:sdtPr>
        <w:sdtContent>
          <w:r w:rsidDel="00000000" w:rsidR="00000000" w:rsidRPr="00000000">
            <w:rPr>
              <w:rFonts w:ascii="Caudex" w:cs="Caudex" w:eastAsia="Caudex" w:hAnsi="Caudex"/>
              <w:b w:val="0"/>
              <w:bCs w:val="0"/>
              <w:i w:val="0"/>
              <w:iCs w:val="0"/>
              <w:color w:val="000000"/>
              <w:sz w:val="24"/>
              <w:szCs w:val="24"/>
              <w:shd w:fill="auto" w:val="clear"/>
              <w:vertAlign w:val="baseline"/>
              <w:rtl w:val="0"/>
            </w:rPr>
            <w:t xml:space="preserve">H1₃: Indirect effect (Tadabbur → CRS → LOT-R) ≠ 0</w:t>
          </w:r>
        </w:sdtContent>
      </w:sdt>
      <w:r w:rsidDel="00000000" w:rsidR="00000000" w:rsidRPr="00000000">
        <w:rPr>
          <w:rtl w:val="0"/>
        </w:rPr>
      </w:r>
    </w:p>
    <w:p w:rsidR="00000000" w:rsidDel="00000000" w:rsidP="00000000" w:rsidRDefault="00000000" w:rsidRPr="00000000" w14:paraId="00000113">
      <w:pPr>
        <w:spacing w:line="240" w:lineRule="auto"/>
        <w:jc w:val="both"/>
        <w:rPr>
          <w:rFonts w:ascii="Times New Roman" w:cs="Times New Roman" w:eastAsia="Times New Roman" w:hAnsi="Times New Roman"/>
          <w:sz w:val="24"/>
          <w:szCs w:val="24"/>
        </w:rPr>
      </w:pPr>
      <w:sdt>
        <w:sdtPr>
          <w:id w:val="2035618588"/>
          <w:tag w:val="goog_rdk_14"/>
        </w:sdtPr>
        <w:sdtContent>
          <w:r w:rsidDel="00000000" w:rsidR="00000000" w:rsidRPr="00000000">
            <w:rPr>
              <w:rFonts w:ascii="Caudex" w:cs="Caudex" w:eastAsia="Caudex" w:hAnsi="Caudex"/>
              <w:b w:val="0"/>
              <w:bCs w:val="0"/>
              <w:i w:val="0"/>
              <w:iCs w:val="0"/>
              <w:color w:val="000000"/>
              <w:sz w:val="24"/>
              <w:szCs w:val="24"/>
              <w:shd w:fill="auto" w:val="clear"/>
              <w:vertAlign w:val="baseline"/>
              <w:rtl w:val="0"/>
            </w:rPr>
            <w:t xml:space="preserve">H0₄: Indirect effect (Tadabbur → CRS → BAI) = 0</w:t>
          </w:r>
        </w:sdtContent>
      </w:sdt>
      <w:r w:rsidDel="00000000" w:rsidR="00000000" w:rsidRPr="00000000">
        <w:rPr>
          <w:rtl w:val="0"/>
        </w:rPr>
      </w:r>
    </w:p>
    <w:p w:rsidR="00000000" w:rsidDel="00000000" w:rsidP="00000000" w:rsidRDefault="00000000" w:rsidRPr="00000000" w14:paraId="00000114">
      <w:pPr>
        <w:spacing w:line="240" w:lineRule="auto"/>
        <w:jc w:val="both"/>
        <w:rPr>
          <w:rFonts w:ascii="Times New Roman" w:cs="Times New Roman" w:eastAsia="Times New Roman" w:hAnsi="Times New Roman"/>
          <w:sz w:val="24"/>
          <w:szCs w:val="24"/>
        </w:rPr>
      </w:pPr>
      <w:sdt>
        <w:sdtPr>
          <w:id w:val="1076200938"/>
          <w:tag w:val="goog_rdk_15"/>
        </w:sdtPr>
        <w:sdtContent>
          <w:r w:rsidDel="00000000" w:rsidR="00000000" w:rsidRPr="00000000">
            <w:rPr>
              <w:rFonts w:ascii="Caudex" w:cs="Caudex" w:eastAsia="Caudex" w:hAnsi="Caudex"/>
              <w:b w:val="0"/>
              <w:bCs w:val="0"/>
              <w:i w:val="0"/>
              <w:iCs w:val="0"/>
              <w:color w:val="000000"/>
              <w:sz w:val="24"/>
              <w:szCs w:val="24"/>
              <w:shd w:fill="auto" w:val="clear"/>
              <w:vertAlign w:val="baseline"/>
              <w:rtl w:val="0"/>
            </w:rPr>
            <w:t xml:space="preserve">H1₄: Indirect effect (Tadabbur → CRS → BAI) ≠ 0</w:t>
          </w:r>
        </w:sdtContent>
      </w:sdt>
      <w:r w:rsidDel="00000000" w:rsidR="00000000" w:rsidRPr="00000000">
        <w:rPr>
          <w:rtl w:val="0"/>
        </w:rPr>
      </w:r>
    </w:p>
    <w:p w:rsidR="00000000" w:rsidDel="00000000" w:rsidP="00000000" w:rsidRDefault="00000000" w:rsidRPr="00000000" w14:paraId="0000011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Taraf signifikansi: α = 0.05</w:t>
      </w:r>
      <w:r w:rsidDel="00000000" w:rsidR="00000000" w:rsidRPr="00000000">
        <w:rPr>
          <w:rtl w:val="0"/>
        </w:rPr>
      </w:r>
    </w:p>
    <w:p w:rsidR="00000000" w:rsidDel="00000000" w:rsidP="00000000" w:rsidRDefault="00000000" w:rsidRPr="00000000" w14:paraId="0000011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3.9 Prosedur Eksperimen</w:t>
      </w:r>
      <w:r w:rsidDel="00000000" w:rsidR="00000000" w:rsidRPr="00000000">
        <w:rPr>
          <w:rtl w:val="0"/>
        </w:rPr>
      </w:r>
    </w:p>
    <w:p w:rsidR="00000000" w:rsidDel="00000000" w:rsidP="00000000" w:rsidRDefault="00000000" w:rsidRPr="00000000" w14:paraId="0000011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Prosedur eksperimen terdiri dari tiga tahap utama: (A) persiapan meliputi pelatihan fasilitator, uji coba modul, serta persiapan ruangan dan peralatan; (B) pelaksanaan meliputi pembukaan/ta’aruf, sesi tadabbur rutin QS Adh-Dhuha (sesi 2–4), QS Al-Insyirah (sesi 5–7), serta sesi refleksi dan penutupan (sesi 8); (C) penutup meliputi pengisian posttest dan debriefing.</w:t>
      </w:r>
      <w:r w:rsidDel="00000000" w:rsidR="00000000" w:rsidRPr="00000000">
        <w:rPr>
          <w:rtl w:val="0"/>
        </w:rPr>
      </w:r>
    </w:p>
    <w:p w:rsidR="00000000" w:rsidDel="00000000" w:rsidP="00000000" w:rsidRDefault="00000000" w:rsidRPr="00000000" w14:paraId="000001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Instruksi Khusus untuk Partisipan:</w:t>
      </w:r>
      <w:r w:rsidDel="00000000" w:rsidR="00000000" w:rsidRPr="00000000">
        <w:rPr>
          <w:rtl w:val="0"/>
        </w:rPr>
      </w:r>
    </w:p>
    <w:p w:rsidR="00000000" w:rsidDel="00000000" w:rsidP="00000000" w:rsidRDefault="00000000" w:rsidRPr="00000000" w14:paraId="0000011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Assalamu’alaikum. Hari ini kita akan melakukan tadabbur QS [nama surah]. Silakan duduk dengan nyaman, tenangkan pikiran, dan niatkan bahwa kita ingin memahami pesan Allah dalam ayat ini. Dengarkan tilawah dengan khusyuk, renungkan maknanya, dan hubungkan dengan pengalaman hidup Anda. Tidak ada jawaban benar atau salah dalam refleksi ini. Yang penting adalah kejujuran dan keterbukaan hati.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11B">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3.10 Prosedur Normalisasi Setelah Proses Eksperimen</w:t>
      </w:r>
      <w:r w:rsidDel="00000000" w:rsidR="00000000" w:rsidRPr="00000000">
        <w:rPr>
          <w:rtl w:val="0"/>
        </w:rPr>
      </w:r>
    </w:p>
    <w:p>
      <w:pPr>
        <w:rPr>
          <w:sz w:val="22"/>
        </w:rPr>
      </w:pPr>
      <w:r>
        <w:rPr>
          <w:sz w:val="22"/>
        </w:rPr>
        <w:t xml:space="preserve"/>
      </w:r>
    </w:p>
    <w:p>
      <w:pPr>
        <w:rPr>
          <w:sz w:val="22"/>
        </w:rPr>
      </w:pPr>
      <w:r>
        <w:rPr>
          <w:sz w:val="22"/>
        </w:rPr>
        <w:t xml:space="preserve">Kelompok kontrol dalam penelitian ini tidak dibiarkan tanpa aktivitas. Sebaliknya, kelompok kontrol tetap mengikuti kegiatan briefing santri rutin yang sudah dijadwalkan oleh pondok setiap malam. Perbedaan perlakuan antara kelompok eksperimen dan kontrol terletak pada konten sesi: kelompok eksperimen mendapatkan Tadabbur Ayat Tasliyah sebagai tambahan dalam sesi briefing, sementara kelompok kontrol mengikuti briefing standar yang sudah berjalan sebelumnya. Dengan demikian, kedua kelompok sama-sama berpartisipasi dalam sesi kelompok dengan durasi yang setara, namun dengan konten yang berbeda. Hal ini memastikan bahwa perbedaan hasil antara kedua kelompok benar-benar disebabkan oleh intervensi Tadabbur, bukan semata-mata karena adanya perhatian tambahan (attention effect).</w:t>
      </w:r>
    </w:p>
    <w:p w:rsidR="00000000" w:rsidDel="00000000" w:rsidP="00000000" w:rsidRDefault="00000000" w:rsidRPr="00000000" w14:paraId="0000011E">
      <w:pPr>
        <w:spacing w:after="200" w:line="276" w:lineRule="auto"/>
        <w:jc w:val="both"/>
        <w:rPr>
          <w:rFonts w:ascii="Times New Roman" w:cs="Times New Roman" w:eastAsia="Times New Roman" w:hAnsi="Times New Roman"/>
          <w:sz w:val="24"/>
          <w:szCs w:val="24"/>
        </w:rPr>
      </w:pPr>
      <w:sdt>
        <w:sdtPr>
          <w:id w:val="-440474608"/>
          <w:tag w:val="goog_rdk_16"/>
        </w:sdtPr>
        <w:sdtContent>
          <w:r w:rsidDel="00000000" w:rsidR="00000000" w:rsidRPr="00000000">
            <w:rPr>
              <w:rFonts w:ascii="Gungsuh" w:cs="Gungsuh" w:eastAsia="Gungsuh" w:hAnsi="Gungsuh"/>
              <w:b w:val="0"/>
              <w:bCs w:val="0"/>
              <w:i w:val="0"/>
              <w:iCs w:val="0"/>
              <w:color w:val="000000"/>
              <w:sz w:val="24"/>
              <w:szCs w:val="24"/>
              <w:shd w:fill="auto" w:val="clear"/>
              <w:vertAlign w:val="baseline"/>
              <w:rtl w:val="0"/>
            </w:rPr>
            <w:t xml:space="preserve">Setelah eksperimen selesai, peneliti melaksanakan prosedur normalisasi untuk memastikan kesejahteraan partisipan dan pemenuhan etika penelitian: (1) debriefing lengkap; (2) penawaran intervensi kepada kelompok kontrol (waitlist control); (3) screening akhir kesejahteraan dan rujukan untuk partisipan dengan kecemasan tinggi (BAI ≥ 26); (4) apresiasi berupa sertifikat partisipasi; dan (5) penyimpanan data secara aman minimal 5 tahun.</w:t>
          </w:r>
        </w:sdtContent>
      </w:sdt>
      <w:r w:rsidDel="00000000" w:rsidR="00000000" w:rsidRPr="00000000">
        <w:rPr>
          <w:rtl w:val="0"/>
        </w:rPr>
      </w:r>
    </w:p>
    <w:p w:rsidR="00000000" w:rsidDel="00000000" w:rsidP="00000000" w:rsidRDefault="00000000" w:rsidRPr="00000000" w14:paraId="0000011F">
      <w:pPr>
        <w:spacing w:after="200" w:line="276"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DAFTAR PUSTAKA</w:t>
      </w:r>
      <w:r w:rsidDel="00000000" w:rsidR="00000000" w:rsidRPr="00000000">
        <w:rPr>
          <w:rtl w:val="0"/>
        </w:rPr>
      </w:r>
    </w:p>
    <w:p>
      <w:r>
        <w:t xml:space="preserve">Ainsworth, M. D. S. (1978). *Patterns of Attachment*. Hillsdale: Lawrence Erlbaum.</w:t>
      </w:r>
    </w:p>
    <w:p>
      <w:r>
        <w:t xml:space="preserve">Al-Ashfahani, A. (2009). *Mufradat Alfazh al-Qur'an*. Beirut: Dar al-Qalam.</w:t>
      </w:r>
    </w:p>
    <w:p>
      <w:r>
        <w:t xml:space="preserve">Al-Attas, S. M. N. (2001). *Prolegomena to the Metaphysics of Islam*. Kuala Lumpur: ISTAC.</w:t>
      </w:r>
    </w:p>
    <w:p>
      <w:r>
        <w:t xml:space="preserve">Al-Farmawi, A. H. (2005). *Metode Tafsir Maudhu'i*. Jakarta: RajaGrafindo Persada.</w:t>
      </w:r>
    </w:p>
    <w:p>
      <w:r>
        <w:t xml:space="preserve">Al-Ghazali, A. H. (2003). *Kimia' al-Sa'adah*. Bandung: Mizan.</w:t>
      </w:r>
    </w:p>
    <w:p>
      <w:r>
        <w:t xml:space="preserve">Al-Ghazali, A. H. (2010). *Ihya' Ulum al-Din*. Beirut: Dar al-Ma'rifah.</w:t>
      </w:r>
    </w:p>
    <w:p>
      <w:r>
        <w:t xml:space="preserve">Al-Ghazali, M. (2004). *Meneladani Akhlak Nabi: Tafsir Tematik*. Bandung: Mizan.</w:t>
      </w:r>
    </w:p>
    <w:p>
      <w:r>
        <w:t xml:space="preserve">Al-Mahdi, A. Z. (2008). *Psikologi Sufi: Tazkiyatun Nafs sebagai Terapi*. Jakarta: Zaman.</w:t>
      </w:r>
    </w:p>
    <w:p>
      <w:r>
        <w:t xml:space="preserve">Al-Munajjid, M. S. (2014). *Konsep Tasliyah dalam Al-Qur'an*. Riyadh: Dar al-Wathan.</w:t>
      </w:r>
    </w:p>
    <w:p>
      <w:r>
        <w:t xml:space="preserve">Al-Qurtubi, M. (2006). *Al-Jami' li Ahkam al-Qur'an*. Beirut: Mu'assasah al-Risalah.</w:t>
      </w:r>
    </w:p>
    <w:p>
      <w:r>
        <w:t xml:space="preserve">Al-Razi, F. (2004). *Mafatih al-Ghaib*. Beirut: Dar al-Fikr.</w:t>
      </w:r>
    </w:p>
    <w:p>
      <w:r>
        <w:t xml:space="preserve">Al-Sabuni, M. A. (2003). *Shafwah al-Tafasir*. Beirut: Dar al-Qalam.</w:t>
      </w:r>
    </w:p>
    <w:p>
      <w:r>
        <w:t xml:space="preserve">Al-Siba'i, M. (2006). *Tasliyah wa Takwin*. Beirut: Dar al-Wafa'.</w:t>
      </w:r>
    </w:p>
    <w:p>
      <w:r>
        <w:t xml:space="preserve">Al-Tabari, M. J. (2000). *Jami' al-Bayan fi Ta'wil al-Qur'an*. Beirut: Mu'assasah al-Risalah.</w:t>
      </w:r>
    </w:p>
    <w:p>
      <w:r>
        <w:t xml:space="preserve">Al-Thabathaba'i, M. H. (2003). *Al-Mizan fi Tafsir al-Qur'an*. Beirut: Mu'assasah al-A'lami.</w:t>
      </w:r>
    </w:p>
    <w:p>
      <w:r>
        <w:t xml:space="preserve">Al-Zamakhsyari, M. (1998). *Al-Kasyaf 'an Haqa'iq al-Tanzil*. Beirut: Dar al-Kitab al-'Arabi.</w:t>
      </w:r>
    </w:p>
    <w:p>
      <w:r>
        <w:t xml:space="preserve">American Psychological Association. (2013). *Diagnostic and Statistical Manual of Mental Disorders* (5th ed.). Washington, DC: APA.</w:t>
      </w:r>
    </w:p>
    <w:p>
      <w:r>
        <w:t xml:space="preserve">Ano, G. G., &amp; Vasconcelles, E. B. (2005). "Religious Coping and Psychological Adjustment." *Journal of Clinical Psychology*, 61(4), 461–480.</w:t>
      </w:r>
    </w:p>
    <w:p>
      <w:r>
        <w:t xml:space="preserve">Anshari, F. Z. (2010). *Tasawuf dan Psikologi*. Bandung: Pustaka Hidayah.</w:t>
      </w:r>
    </w:p>
    <w:p>
      <w:r>
        <w:t xml:space="preserve">Ansyah, M. (2019). *Pengaruh Tadabbur QS Al-Insyirah terhadap Stres Akademik Mahasiswa*.</w:t>
      </w:r>
    </w:p>
    <w:p>
      <w:r>
        <w:t xml:space="preserve">Anwar, S. (2015). *Psikologi Shalat*. Yogyakarta: Pustaka Pelajar.</w:t>
      </w:r>
    </w:p>
    <w:p>
      <w:r>
        <w:t xml:space="preserve">Arif, M., et al. (2024). "Systematic Literature Review of Islamic Boarding School Education in Indonesia."</w:t>
      </w:r>
    </w:p>
    <w:p>
      <w:r>
        <w:t xml:space="preserve">Arnett, J. J. (2015). *The Oxford Handbook of Emerging Adulthood*. Oxford: Oxford University Press.</w:t>
      </w:r>
    </w:p>
    <w:p>
      <w:r>
        <w:t xml:space="preserve">As-Sa'di, A. R. (2002). *Taysir al-Karim al-Rahman fi Tafsir Kalam al-Mannan*. Riyadh: Dar al-Salam.</w:t>
      </w:r>
    </w:p>
    <w:p>
      <w:r>
        <w:t xml:space="preserve">Azhar, M. Z., &amp; Varma, S. L. (1995). "Religious Psychotherapy as Management of Bereavement." *Acta Psychiatrica Scandinavica*, 91(4), 233–235.</w:t>
      </w:r>
    </w:p>
    <w:p>
      <w:r>
        <w:t xml:space="preserve">Azwar, S. (2015). *Penyusunan Skala Psikologi* (2nd ed.). Yogyakarta: Pustaka Pelajar.</w:t>
      </w:r>
    </w:p>
    <w:p>
      <w:r>
        <w:t xml:space="preserve">Azwar, S. (2017). *Reliabilitas dan Validitas* (4th ed.). Yogyakarta: Pustaka Pelajar.</w:t>
      </w:r>
    </w:p>
    <w:p>
      <w:r>
        <w:t xml:space="preserve">Badri, M. (2001). *The Dilemma of Muslim Psychologists*. Jakarta: Pustaka Firdaus.</w:t>
      </w:r>
    </w:p>
    <w:p>
      <w:r>
        <w:t xml:space="preserve">Baharuddin. (2007). *Paradigma Psikologi Islami*. Yogyakarta: Pustaka Pelajar.</w:t>
      </w:r>
    </w:p>
    <w:p>
      <w:r>
        <w:t xml:space="preserve">Baidan, N. (2011). *Metodologi Penafsiran al-Qur'an*. Yogyakarta: Pustaka Pelajar.</w:t>
      </w:r>
    </w:p>
    <w:p>
      <w:r>
        <w:t xml:space="preserve">Bastaman, H. D. (2007). *Logoterapi: Psikologi untuk Menemukan Makna Hidup*. Jakarta: RajaGrafindo Persada.</w:t>
      </w:r>
    </w:p>
    <w:p>
      <w:r>
        <w:t xml:space="preserve">Beard, C., Weisberg, R. B., &amp; Primack, J. (2012). "Socially Anxious Primary Care Patients' Attitudes Toward Cognitive Bias Modification." *Journal of Anxiety Disorders*, 26(2), 306–313.</w:t>
      </w:r>
    </w:p>
    <w:p>
      <w:r>
        <w:t xml:space="preserve">Beck, A. T. (1976). *Cognitive Therapy and the Emotional Disorders*. New York: International Universities Press.</w:t>
      </w:r>
    </w:p>
    <w:p>
      <w:r>
        <w:t xml:space="preserve">Beck, A. T. (2011). *Cognitive Therapy: Basics and Beyond* (2nd ed.). New York: Guilford Press.</w:t>
      </w:r>
    </w:p>
    <w:p>
      <w:r>
        <w:t xml:space="preserve">Beck, A. T., Rush, A. J., Shaw, B. F., &amp; Emery, G. (1979). *Cognitive Therapy of Depression*. New York: Guilford Press.</w:t>
      </w:r>
    </w:p>
    <w:p>
      <w:r>
        <w:t xml:space="preserve">Beck, J. S. (2005). *Cognitive Therapy for Challenging Problems*. New York: Guilford Press.</w:t>
      </w:r>
    </w:p>
    <w:p>
      <w:r>
        <w:t xml:space="preserve">Bowlby, J. (1969). *Attachment and Loss* (Vol. 1). New York: Basic Books.</w:t>
      </w:r>
    </w:p>
    <w:p>
      <w:r>
        <w:t xml:space="preserve">Carver, C. S., &amp; Scheier, M. F. (2014). "Dispositional Optimism." *Trends in Cognitive Sciences*, 18(6), 293–299.</w:t>
      </w:r>
    </w:p>
    <w:p>
      <w:r>
        <w:t xml:space="preserve">Carver, C. S., Scheier, M. F., &amp; Segerstrom, S. C. (2010). "Optimism." *Clinical Psychology Review*, 30(7), 879–889.</w:t>
      </w:r>
    </w:p>
    <w:p>
      <w:r>
        <w:t xml:space="preserve">Chodijah, S. (2018). "Tadabbur Ayat Al-Qur'an sebagai Intervensi Psikologis: Sebuah Systematic Review." *Jurnal Psikologi Islam*, 5(1), 25–42.</w:t>
      </w:r>
    </w:p>
    <w:p>
      <w:r>
        <w:t xml:space="preserve">Clark, D. A., &amp; Beck, A. T. (2010). *Cognitive Therapy of Anxiety Disorders*. New York: Guilford Press.</w:t>
      </w:r>
    </w:p>
    <w:p>
      <w:r>
        <w:t xml:space="preserve">Cohen, J. (1988). *Statistical Power Analysis for the Behavioral Sciences* (2nd ed.). Hillsdale: Lawrence Erlbaum.</w:t>
      </w:r>
    </w:p>
    <w:p>
      <w:r>
        <w:t xml:space="preserve">Creed, T. A., Reisweber, J., &amp; Beck, A. T. (2011). *Cognitive Therapy for Adolescents*. New York: Guilford Press.</w:t>
      </w:r>
    </w:p>
    <w:p>
      <w:r>
        <w:t xml:space="preserve">Creswell, J. W., &amp; Creswell, J. D. (2018). *Research Design: Qualitative, Quantitative, and Mixed Methods Approaches* (5th ed.). Thousand Oaks: SAGE.</w:t>
      </w:r>
    </w:p>
    <w:p>
      <w:r>
        <w:t xml:space="preserve">Daradjat, Z. (2005). *Islam dan Kesehatan Mental*. Jakarta: Gunung Agung.</w:t>
      </w:r>
    </w:p>
    <w:p>
      <w:r>
        <w:t xml:space="preserve">Daradjat, Z. (2006). *Peran Agama dalam Kesehatan Mental*. Jakarta: Haji Masagung.</w:t>
      </w:r>
    </w:p>
    <w:p>
      <w:r>
        <w:t xml:space="preserve">Diener, E. (2000). "Subjective Well-Being: The Science of Happiness and a Proposal for a National Index." *American Psychologist*, 55(1), 34–43.</w:t>
      </w:r>
    </w:p>
    <w:p>
      <w:r>
        <w:t xml:space="preserve">Diener, E., Emmons, R. A., Larsen, R. J., &amp; Griffin, S. (1985). "The Satisfaction with Life Scale." *Journal of Personality Assessment*, 49(1), 71–75.</w:t>
      </w:r>
    </w:p>
    <w:p>
      <w:r>
        <w:t xml:space="preserve">Dobson, D., &amp; Dobson, K. S. (2018). *Evidence-Based Practice of Cognitive-Behavioral Therapy* (2nd ed.). New York: Guilford Press.</w:t>
      </w:r>
    </w:p>
    <w:p>
      <w:r>
        <w:t xml:space="preserve">Eisenberger, R. (1992). "Learned Industriousness." *Psychological Review*, 99(2), 248–267.</w:t>
      </w:r>
    </w:p>
    <w:p>
      <w:r>
        <w:t xml:space="preserve">El-Azayem, A. (1999). *Tazkiyat al-Nafs wa Tarbiyat al-Dhamir*. Beirut: Dar al-Hadi.</w:t>
      </w:r>
    </w:p>
    <w:p>
      <w:r>
        <w:t xml:space="preserve">Ellis, A. (1962). *Reason and Emotion in Psychotherapy*. New York: Lyle Stuart.</w:t>
      </w:r>
    </w:p>
    <w:p>
      <w:r>
        <w:t xml:space="preserve">Ellis, A. (1994). *Reason and Emotion in Psychotherapy* (Rev. ed.). New York: Birch Lane Press.</w:t>
      </w:r>
    </w:p>
    <w:p>
      <w:r>
        <w:t xml:space="preserve">Emmons, R. A., &amp; McCullough, M. E. (2003). "Counting Blessings Versus Burdens." *Journal of Personality and Social Psychology*, 84(2), 377–389.</w:t>
      </w:r>
    </w:p>
    <w:p>
      <w:r>
        <w:t xml:space="preserve">Erikson, E. H. (1968). *Identity: Youth and Crisis*. New York: Norton.</w:t>
      </w:r>
    </w:p>
    <w:p>
      <w:r>
        <w:t xml:space="preserve">Faul, F., Erdfelder, E., Buchner, A., &amp; Lang, A. G. (2009). "Statistical Power Analyses Using G*Power 3.1." *Behavior Research Methods*, 41(4), 1149–1160.</w:t>
      </w:r>
    </w:p>
    <w:p>
      <w:r>
        <w:t xml:space="preserve">Field, A. (2018). *Discovering Statistics Using IBM SPSS Statistics* (5th ed.). London: SAGE.</w:t>
      </w:r>
    </w:p>
    <w:p>
      <w:r>
        <w:t xml:space="preserve">Fitri, A., &amp; Kurniawan, I. N. (2021). "Restrukturisasi Kognitif Islami untuk Meningkatkan Optimisme Santri." *Jurnal Psikologi*, 48(2), 89–104.</w:t>
      </w:r>
    </w:p>
    <w:p>
      <w:r>
        <w:t xml:space="preserve">Folkman, S. (2010). "Stress, Coping, and Hope." *Psycho-Oncology*, 19(9), 901–908.</w:t>
      </w:r>
    </w:p>
    <w:p>
      <w:r>
        <w:t xml:space="preserve">Fredrickson, B. L. (2001). "The Role of Positive Emotions in Positive Psychology." *American Psychologist*, 56(3), 218–226.</w:t>
      </w:r>
    </w:p>
    <w:p>
      <w:r>
        <w:t xml:space="preserve">Fredrickson, B. L. (2013). *Positivity*. New York: Crown.</w:t>
      </w:r>
    </w:p>
    <w:p>
      <w:r>
        <w:t xml:space="preserve">Friedberg, R. D., &amp; McClure, J. M. (2015). *Clinical Practice of Cognitive Therapy with Children and Adolescents* (2nd ed.). New York: Guilford Press.</w:t>
      </w:r>
    </w:p>
    <w:p>
      <w:r>
        <w:t xml:space="preserve">Granqvist, P., &amp; Kirkpatrick, L. A. (2008). "Attachment and Religious Representations." *Journal of Personality*, 76(3), 635–686.</w:t>
      </w:r>
    </w:p>
    <w:p>
      <w:r>
        <w:t xml:space="preserve">Greenberger, D., &amp; Padesky, C. A. (2016). *Mind Over Mood* (2nd ed.). New York: Guilford Press.</w:t>
      </w:r>
    </w:p>
    <w:p>
      <w:r>
        <w:t xml:space="preserve">Gross, J. J. (2015). "Emotion Regulation: Current Status and Future Prospects." *Psychological Inquiry*, 26(1), 1–26.</w:t>
      </w:r>
    </w:p>
    <w:p>
      <w:r>
        <w:t xml:space="preserve">Hamka. (2015). *Tafsir al-Azhar*. Jakarta: Gema Insani.</w:t>
      </w:r>
    </w:p>
    <w:p>
      <w:r>
        <w:t xml:space="preserve">Hanifah, L., &amp; Latifah, M. (2018). "Efektivitas Tadabbur Al-Qur'an dalam Meningkatkan Self-Esteem Remaja Panti Asuhan." *Jurnal Psikologi Islam*, 5(1), 1–16.</w:t>
      </w:r>
    </w:p>
    <w:p>
      <w:r>
        <w:t xml:space="preserve">Hawwa, S. (2004). *Tazkiyatun Nafs: Konsep Pendidikan Jiwa*. Jakarta: Pena Pundi Aksara.</w:t>
      </w:r>
    </w:p>
    <w:p>
      <w:r>
        <w:t xml:space="preserve">Hayes, A. F. (2013). *Introduction to Mediation, Moderation, and Conditional Process Analysis*. New York: Guilford Press.</w:t>
      </w:r>
    </w:p>
    <w:p>
      <w:r>
        <w:t xml:space="preserve">Hayes, A. F. (2018). *Introduction to Mediation, Moderation, and Conditional Process Analysis* (2nd ed.). New York: Guilford Press.</w:t>
      </w:r>
    </w:p>
    <w:p>
      <w:r>
        <w:t xml:space="preserve">Hayes, S. C., &amp; Hofmann, S. G. (Eds.). (2018). *Process-Based CBT: The Science and Core Clinical Competencies*. Oakland: Context Press.</w:t>
      </w:r>
    </w:p>
    <w:p>
      <w:r>
        <w:t xml:space="preserve">Hidayati, F. (2017). "Intervensi Psikospiritual Berbasis Al-Qur'an untuk Menurunkan Depresi pada Remaja." *Jurnal Intervensi Psikologi*, 9(2), 123–142.</w:t>
      </w:r>
    </w:p>
    <w:p>
      <w:r>
        <w:t xml:space="preserve">Hikam, M. A. (2023). "Pengaruh Tadabbur Ayat-Ayat Al-Qur'an tentang Amanat dengan Perilaku Tanggung Jawab dan Kedisiplinan."</w:t>
      </w:r>
    </w:p>
    <w:p>
      <w:r>
        <w:t xml:space="preserve">Hodge, D. R. (2006). "Spiritually Modified Cognitive Therapy: A Review of the Literature." *Social Work*, 51(2), 157–166.</w:t>
      </w:r>
    </w:p>
    <w:p>
      <w:r>
        <w:t xml:space="preserve">Hofmann, S. G. (2011). *An Introduction to Modern CBT*. Chichester: Wiley-Blackwell.</w:t>
      </w:r>
    </w:p>
    <w:p>
      <w:r>
        <w:t xml:space="preserve">Husain, A. (2014). *Psikologi Sufistik*. Bandung: Pustaka Hidayah.</w:t>
      </w:r>
    </w:p>
    <w:p>
      <w:r>
        <w:t xml:space="preserve">Ibn 'Ashur, M. T. (1984). *Al-Tahrir wa al-Tanwir*. Tunis: Dar al-Tunisiyyah.</w:t>
      </w:r>
    </w:p>
    <w:p>
      <w:r>
        <w:t xml:space="preserve">Ibn Kathir, I. (1999). *Tafsir al-Qur'an al-'Azhim*. Riyadh: Dar al-Salam.</w:t>
      </w:r>
    </w:p>
    <w:p>
      <w:r>
        <w:t xml:space="preserve">Ibn Qayyim al-Jawziyyah. (2005). *Zad al-Ma'ad fi Hadyi Khayr al-'Ibad*. Beirut: Dar al-Fikr.</w:t>
      </w:r>
    </w:p>
    <w:p>
      <w:r>
        <w:t xml:space="preserve">Ibn Qayyim al-Jawziyyah. (2013). *Madarij al-Salikin*. Beirut: Dar al-Kitab al-'Arabi.</w:t>
      </w:r>
    </w:p>
    <w:p>
      <w:r>
        <w:t xml:space="preserve">Ibn Sina. (2000). *Al-Qanun fi al-Thibb*. Beirut: Dar al-Sadir.</w:t>
      </w:r>
    </w:p>
    <w:p>
      <w:r>
        <w:t xml:space="preserve">Inzlicht, M., et al. (2009). "The Neural Correlates of Religious Experience." *Social Cognitive and Affective Neuroscience*, 4(2), 177–185.</w:t>
      </w:r>
    </w:p>
    <w:p>
      <w:r>
        <w:t xml:space="preserve">Jalaluddin. (2012). *Psikologi Agama*. Jakarta: RajaGrafindo Persada.</w:t>
      </w:r>
    </w:p>
    <w:p>
      <w:r>
        <w:t xml:space="preserve">Jazayeri, R. S. (2013). *Religious Cognitive Behavioral Therapy: Intervention Manual*. Tehran: University of Social Welfare.</w:t>
      </w:r>
    </w:p>
    <w:p>
      <w:r>
        <w:t xml:space="preserve">Kasali, R. (2018). *Metode Penelitian Eksperimen*. Jakarta: Gramedia.</w:t>
      </w:r>
    </w:p>
    <w:p>
      <w:r>
        <w:t xml:space="preserve">Kendall, P. C. (Ed.). (2012). *Child and Adolescent Therapy: Cognitive-Behavioral Procedures* (4th ed.). New York: Guilford Press.</w:t>
      </w:r>
    </w:p>
    <w:p>
      <w:r>
        <w:t xml:space="preserve">Knapp, P., &amp; Beck, A. T. (2008). "Cognitive Therapy: Foundations, Conceptual Models, Applications and Research." *Revista Brasileira de Psiquiatria*, 30(Suppl II), S54–S64.</w:t>
      </w:r>
    </w:p>
    <w:p>
      <w:r>
        <w:t xml:space="preserve">Layous, K., &amp; Lyubomirsky, S. (2014). "The How, Why, What, When, and Who of Happiness." In J. Gruber &amp; J. T. Moskowitz (Eds.), *Positive Emotion* (pp. 473–495). Oxford University Press.</w:t>
      </w:r>
    </w:p>
    <w:p>
      <w:r>
        <w:t xml:space="preserve">Lazarus, R. S., &amp; Folkman, S. (1984). *Stress, Appraisal, and Coping*. New York: Springer.</w:t>
      </w:r>
    </w:p>
    <w:p>
      <w:r>
        <w:t xml:space="preserve">Lerner, R. M., &amp; Steinberg, L. (Eds.). (2009). *Handbook of Adolescent Psychology* (3rd ed.). Hoboken: Wiley.</w:t>
      </w:r>
    </w:p>
    <w:p>
      <w:r>
        <w:t xml:space="preserve">Lestari, P., &amp; Rahayu, M. S. (2019). "Program Tadabbur Al-Qur'an sebagai Upaya Peningkatan Kesejahteraan Psikologis Remaja." *Gadjah Mada Journal of Professional Psychology*, 5(1), 31–48.</w:t>
      </w:r>
    </w:p>
    <w:p>
      <w:r>
        <w:t xml:space="preserve">Lyubomirsky, S. (2007). *The How of Happiness*. New York: Penguin.</w:t>
      </w:r>
    </w:p>
    <w:p>
      <w:r>
        <w:t xml:space="preserve">Lyubomirsky, S., King, L., &amp; Diener, E. (2005). "The Benefits of Frequent Positive Affect." *Psychological Bulletin*, 131(6), 803–855.</w:t>
      </w:r>
    </w:p>
    <w:p>
      <w:r>
        <w:t xml:space="preserve">MacKinnon, D. P. (2008). *Introduction to Statistical Mediation Analysis*. New York: Lawrence Erlbaum.</w:t>
      </w:r>
    </w:p>
    <w:p>
      <w:r>
        <w:t xml:space="preserve">Mahmud, R., &amp; Agustin, R. W. (2020). "Tadabbur Al-Qur'an dan Psychological Well-Being pada Santri." *Psikologika*, 25(1), 55–72.</w:t>
      </w:r>
    </w:p>
    <w:p>
      <w:r>
        <w:t xml:space="preserve">Marcia, J. E. (1966). "Development and Validation of Ego-Identity Status." *Journal of Personality and Social Psychology*, 3(5), 551–558.</w:t>
      </w:r>
    </w:p>
    <w:p>
      <w:r>
        <w:t xml:space="preserve">Masten, A. S. (2014). *Ordinary Magic: Resilience in Development*. New York: Guilford Press.</w:t>
      </w:r>
    </w:p>
    <w:p>
      <w:r>
        <w:t xml:space="preserve">Moulaei, N., et al. (2023). "Quran-Based Therapy for Anxiety: A Systematic Review." *Journal of Religion and Health*, 62(4), 2451–2473.</w:t>
      </w:r>
    </w:p>
    <w:p>
      <w:r>
        <w:t xml:space="preserve">Mujib, A. (2006). *Kepribadian dalam Psikologi Islam*. Jakarta: RajaGrafindo Persada.</w:t>
      </w:r>
    </w:p>
    <w:p>
      <w:r>
        <w:t xml:space="preserve">Naeem, F., &amp; Kingdon, D. (2012). *Cognitive Behaviour Therapy in Non-Western Cultures*. New York: Nova Science.</w:t>
      </w:r>
    </w:p>
    <w:p>
      <w:r>
        <w:t xml:space="preserve">Najati, M. U. (2002). *Al-Qur'an dan Ilmu Jiwa*. Bandung: Pustaka.</w:t>
      </w:r>
    </w:p>
    <w:p>
      <w:r>
        <w:t xml:space="preserve">Najati, M. U. (2005). *Psikologi dalam Al-Qur'an: Terapi Qur'ani dalam Penyembuhan Gangguan Jiwa*. Bandung: Pustaka Setia.</w:t>
      </w:r>
    </w:p>
    <w:p>
      <w:r>
        <w:t xml:space="preserve">Nashori, F. (2008). *Psikologi Sosial Islami*. Bandung: Refika Aditama.</w:t>
      </w:r>
    </w:p>
    <w:p>
      <w:r>
        <w:t xml:space="preserve">Nata, A. (2003). *Konsep Manusia dalam Al-Qur'an*. Jakarta: RajaGrafindo Persada.</w:t>
      </w:r>
    </w:p>
    <w:p>
      <w:r>
        <w:t xml:space="preserve">Neuman, W. L. (2014). *Social Research Methods: Qualitative and Quantitative Approaches* (7th ed.). Boston: Pearson.</w:t>
      </w:r>
    </w:p>
    <w:p>
      <w:r>
        <w:t xml:space="preserve">Newberg, A. B., et al. (2014). "Meditation and the Brain." *Annals of the New York Academy of Sciences*, 1307(1), 88–96.</w:t>
      </w:r>
    </w:p>
    <w:p>
      <w:r>
        <w:t xml:space="preserve">Pallant, J. (2020). *SPSS Survival Manual* (7th ed.). London: Open University Press.</w:t>
      </w:r>
    </w:p>
    <w:p>
      <w:r>
        <w:t xml:space="preserve">Papalia, D. E., &amp; Martorell, G. (2021). *Experience Human Development* (14th ed.). New York: McGraw-Hill.</w:t>
      </w:r>
    </w:p>
    <w:p>
      <w:r>
        <w:t xml:space="preserve">Pargament, K. I. (2007). *Spiritually Integrated Psychotherapy*. New York: Guilford Press.</w:t>
      </w:r>
    </w:p>
    <w:p>
      <w:r>
        <w:t xml:space="preserve">Pargament, K. I., Koenig, H. G., &amp; Perez, L. M. (2000). "The Many Methods of Religious Coping." *Journal of Clinical Psychology*, 56(4), 519–543.</w:t>
      </w:r>
    </w:p>
    <w:p>
      <w:r>
        <w:t xml:space="preserve">Post, S. G. (2005). "Altruism, Happiness, and Health." *Mental Health, Religion &amp; Culture*, 8(1), 1–16.</w:t>
      </w:r>
    </w:p>
    <w:p>
      <w:r>
        <w:t xml:space="preserve">Preacher, K. J., &amp; Hayes, A. F. (2008). "Asymptotic and Resampling Strategies for Assessing and Comparing Indirect Effects." *Behavior Research Methods*, 40(3), 879–891.</w:t>
      </w:r>
    </w:p>
    <w:p>
      <w:r>
        <w:t xml:space="preserve">Purwakania Hasan, A. (2006). *Psikologi Perkembangan Islami*. Jakarta: RajaGrafindo Persada.</w:t>
      </w:r>
    </w:p>
    <w:p>
      <w:r>
        <w:t xml:space="preserve">Quraish Shihab, M. (1996). *Wawasan al-Qur'an: Tafsir Maudhu'i atas Pelbagai Persoalan Umat*. Bandung: Mizan.</w:t>
      </w:r>
    </w:p>
    <w:p>
      <w:r>
        <w:t xml:space="preserve">Rakhmat, J. (2005). *Psikologi Agama: Sebuah Pengantar*. Bandung: Mizan.</w:t>
      </w:r>
    </w:p>
    <w:p>
      <w:r>
        <w:t xml:space="preserve">Ramayulis. (2010). *Psikologi Agama*. Jakarta: Kalam Mulia.</w:t>
      </w:r>
    </w:p>
    <w:p>
      <w:r>
        <w:t xml:space="preserve">Razali, S. M., Aminah, K., &amp; Khan, U. A. (2002). "Religious-Cognitive Therapy in the Treatment of Anxiety Disorders." *European Journal of Psychiatry*, 16(3), 147–157.</w:t>
      </w:r>
    </w:p>
    <w:p>
      <w:r>
        <w:t xml:space="preserve">Rosyidah, N., &amp; Nashori, F. (2019). "Pengaruh Terapi Tadabbur Al-Qur'an terhadap Optimisme Mahasiswa." *Jurnal Psikologi Islam*, 6(2), 89–104.</w:t>
      </w:r>
    </w:p>
    <w:p>
      <w:r>
        <w:t xml:space="preserve">Ryff, C. D. (1989). "Happiness Is Everything, or Is It? Explorations on the Meaning of Psychological Well-Being." *Journal of Personality and Social Psychology*, 57(6), 1069–1081.</w:t>
      </w:r>
    </w:p>
    <w:p>
      <w:r>
        <w:t xml:space="preserve">Ryff, C. D. (2014). "Psychological Well-Being Revisited: Advances in the Science and Practice of Eudaimonia." *Psychotherapy and Psychosomatics*, 83(1), 10–28.</w:t>
      </w:r>
    </w:p>
    <w:p>
      <w:r>
        <w:t xml:space="preserve">Ryff, C. D., &amp; Keyes, C. L. M. (1995). "The Structure of Psychological Well-Being Revisited." *Journal of Personality and Social Psychology*, 69(4), 719–727.</w:t>
      </w:r>
    </w:p>
    <w:p>
      <w:r>
        <w:t xml:space="preserve">Ryff, C. D., &amp; Singer, B. H. (2008). "Know Thyself and Become What You Are: A Eudaimonic Approach to Psychological Well-Being." *Journal of Happiness Studies*, 9(1), 13–39.</w:t>
      </w:r>
    </w:p>
    <w:p>
      <w:r>
        <w:t xml:space="preserve">Safaria, T. (2013). "The Role of Islamic Cognitive Restructuring on Academic Stress and Psychological Well-Being." *International Journal of Research Studies in Psychology*, 2(2), 41–52.</w:t>
      </w:r>
    </w:p>
    <w:p>
      <w:r>
        <w:t xml:space="preserve">Santrock, J. W. (2019). *Adolescence* (17th ed.). New York: McGraw-Hill.</w:t>
      </w:r>
    </w:p>
    <w:p>
      <w:r>
        <w:t xml:space="preserve">Scheier, M. F., &amp; Carver, C. S. (1985). "Optimism, Coping, and Health: Assessment and Implications of Generalized Outcome Expectancies." *Health Psychology*, 4(3), 219–247.</w:t>
      </w:r>
    </w:p>
    <w:p>
      <w:r>
        <w:t xml:space="preserve">Scheier, M. F., Carver, C. S., &amp; Bridges, M. W. (1994). "Distinguishing Optimism from Neuroticism." *Journal of Personality and Social Psychology*, 67(6), 1063–1078.</w:t>
      </w:r>
    </w:p>
    <w:p>
      <w:r>
        <w:t xml:space="preserve">Seligman, M. E. P. (1991). *Learned Optimism*. New York: Knopf.</w:t>
      </w:r>
    </w:p>
    <w:p>
      <w:r>
        <w:t xml:space="preserve">Seligman, M. E. P. (2002). *Authentic Happiness*. New York: Free Press.</w:t>
      </w:r>
    </w:p>
    <w:p>
      <w:r>
        <w:t xml:space="preserve">Seligman, M. E. P. (2011). *Flourish: A Visionary New Understanding of Happiness and Well-Being*. New York: Free Press.</w:t>
      </w:r>
    </w:p>
    <w:p>
      <w:r>
        <w:t xml:space="preserve">Seligman, M. E. P., &amp; Csikszentmihalyi, M. (2000). "Positive Psychology: An Introduction." *American Psychologist*, 55(1), 5–14.</w:t>
      </w:r>
    </w:p>
    <w:p>
      <w:r>
        <w:t xml:space="preserve">Shadish, W. R., Cook, T. D., &amp; Campbell, D. T. (2002). *Experimental and Quasi-Experimental Designs*. Boston: Houghton Mifflin.</w:t>
      </w:r>
    </w:p>
    <w:p>
      <w:r>
        <w:t xml:space="preserve">Shihab, M. Q. (2002). *Tafsir al-Mishbah: Pesan, Kesan, dan Keserasian al-Qur'an*. Jakarta: Lentera Hati.</w:t>
      </w:r>
    </w:p>
    <w:p>
      <w:r>
        <w:t xml:space="preserve">Snyder, C. R. (2002). "Hope Theory: Rainbows in the Mind." *Psychological Inquiry*, 13(4), 249–275.</w:t>
      </w:r>
    </w:p>
    <w:p>
      <w:r>
        <w:t xml:space="preserve">Snyder, C. R., Rand, K. L., &amp; Sigmon, D. R. (2018). "Hope Theory: A Member of the Positive Psychology Family." In C. R. Snyder &amp; S. J. Lopez (Eds.), *Handbook of Positive Psychology* (pp. 257–276). Oxford: Oxford University Press.</w:t>
      </w:r>
    </w:p>
    <w:p>
      <w:r>
        <w:t xml:space="preserve">Steinberg, L. (2017). *Adolescence* (11th ed.). New York: McGraw-Hill.</w:t>
      </w:r>
    </w:p>
    <w:p>
      <w:r>
        <w:t xml:space="preserve">Subandi. (2009). *Psikologi Agama dan Kesehatan Mental*. Yogyakarta: Pustaka Pelajar.</w:t>
      </w:r>
    </w:p>
    <w:p>
      <w:r>
        <w:t xml:space="preserve">Sugiyono. (2017). *Metode Penelitian Kuantitatif, Kualitatif, dan R&amp;D*. Bandung: Alfabeta.</w:t>
      </w:r>
    </w:p>
    <w:p>
      <w:r>
        <w:t xml:space="preserve">Suryadi, A. (2020). "Efektivitas Tadabbur Al-Qur'an terhadap Penurunan Kecemasan pada Remaja Pondok Pesantren." *Jurnal Psikologi dan Kesehatan Mental*, 4(2), 112–128.</w:t>
      </w:r>
    </w:p>
    <w:p>
      <w:r>
        <w:t xml:space="preserve">Tabachnick, B. G., &amp; Fidell, L. S. (2019). *Using Multivariate Statistics* (7th ed.). Boston: Pearson.</w:t>
      </w:r>
    </w:p>
    <w:p>
      <w:r>
        <w:t xml:space="preserve">Tedeschi, R. G., &amp; Calhoun, L. G. (1996). "The Posttraumatic Growth Inventory." *Journal of Traumatic Stress*, 9(3), 455–471.</w:t>
      </w:r>
    </w:p>
    <w:p>
      <w:r>
        <w:t xml:space="preserve">Thohari, A. (2012). *Psikoterapi Islam*. Yogyakarta: UIN Sunan Kalijaga Press.</w:t>
      </w:r>
    </w:p>
    <w:p>
      <w:r>
        <w:t xml:space="preserve">Wahbah al-Zuhayli. (2005). *Tafsir al-Munir*. Beirut: Dar al-Fikr.</w:t>
      </w:r>
    </w:p>
    <w:p>
      <w:r>
        <w:t xml:space="preserve">Worthington, E. L., &amp; Aten, J. D. (2009). "Psychotherapy and Religious Values." *Journal of Contemporary Psychotherapy*, 39(1), 1–8.</w:t>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b w:val="0"/>
          <w:bCs w:val="0"/>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vHvg7rnSTK5VwEagiz4w/Op4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ICV">
    <vt:lpwstr>40e42f4007b94c3d807cdbbcfdd75862</vt:lpwstr>
  </property>
</Properties>
</file>