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rFonts w:ascii="Georgia" w:cs="Georgia" w:eastAsia="Georgia" w:hAnsi="Georgia"/>
          <w:b/>
          <w:bCs/>
          <w:color w:val="7A1F2B"/>
          <w:sz w:val="22"/>
          <w:szCs w:val="22"/>
        </w:rPr>
        <w:t xml:space="preserve">MOHSIN HAEMATOLOGY ACADEMY</w:t>
      </w:r>
    </w:p>
    <w:p>
      <w:pPr>
        <w:spacing w:after="480" w:before="60"/>
        <w:jc w:val="center"/>
      </w:pPr>
      <w:r>
        <w:rPr>
          <w:rFonts w:ascii="Georgia" w:cs="Georgia" w:eastAsia="Georgia" w:hAnsi="Georgia"/>
          <w:i/>
          <w:iCs/>
          <w:color w:val="4A4A4A"/>
          <w:sz w:val="20"/>
          <w:szCs w:val="20"/>
        </w:rPr>
        <w:t xml:space="preserve">Evidence — Education — Practice</w:t>
      </w:r>
    </w:p>
    <w:p>
      <w:pPr>
        <w:spacing w:after="240" w:before="240"/>
        <w:jc w:val="center"/>
      </w:pPr>
      <w:r>
        <w:rPr>
          <w:rFonts w:ascii="Georgia" w:cs="Georgia" w:eastAsia="Georgia" w:hAnsi="Georgia"/>
          <w:b/>
          <w:bCs/>
          <w:color w:val="7A1F2B"/>
          <w:sz w:val="56"/>
          <w:szCs w:val="56"/>
        </w:rPr>
        <w:t xml:space="preserve">Multiple Myeloma</w:t>
      </w:r>
    </w:p>
    <w:p>
      <w:pPr>
        <w:spacing w:after="480" w:before="60"/>
        <w:jc w:val="center"/>
      </w:pPr>
      <w:r>
        <w:rPr>
          <w:rFonts w:ascii="Georgia" w:cs="Georgia" w:eastAsia="Georgia" w:hAnsi="Georgia"/>
          <w:color w:val="1D1D1D"/>
          <w:sz w:val="32"/>
          <w:szCs w:val="32"/>
        </w:rPr>
        <w:t xml:space="preserve">Unified UK Practice Guideline</w:t>
      </w:r>
    </w:p>
    <w:p>
      <w:pPr>
        <w:spacing w:after="120" w:before="480"/>
        <w:jc w:val="center"/>
      </w:pPr>
      <w:r>
        <w:t>MHA-MYELOMA-2026-v1.1</w:t>
      </w:r>
    </w:p>
    <w:p>
      <w:pPr>
        <w:spacing w:after="60" w:before="60"/>
        <w:jc w:val="center"/>
      </w:pPr>
      <w:r>
        <w:t>PUBLISHED EDUCATIONAL GUIDELINE — v1.1</w:t>
      </w:r>
    </w:p>
    <w:p>
      <w:pPr>
        <w:spacing w:after="60" w:before="60"/>
        <w:jc w:val="center"/>
      </w:pPr>
      <w:r>
        <w:t>Clinical owner approval and pharmacy verification confirmed on 26 July 2026; pharmacist name retained privately</w:t>
      </w:r>
    </w:p>
    <w:p>
      <w:pPr>
        <w:spacing w:after="60" w:before="60"/>
        <w:jc w:val="center"/>
      </w:pPr>
      <w:r>
        <w:rPr>
          <w:rFonts w:ascii="Georgia" w:cs="Georgia" w:eastAsia="Georgia" w:hAnsi="Georgia"/>
          <w:color w:val="4A4A4A"/>
          <w:sz w:val="22"/>
          <w:szCs w:val="22"/>
        </w:rPr>
        <w:t xml:space="preserve">26 July 2026</w:t>
      </w:r>
    </w:p>
    <w:p>
      <w:pPr>
        <w:spacing w:after="60" w:before="720"/>
        <w:jc w:val="center"/>
      </w:pPr>
      <w:r>
        <w:rPr>
          <w:rFonts w:ascii="Georgia" w:cs="Georgia" w:eastAsia="Georgia" w:hAnsi="Georgia"/>
          <w:b/>
          <w:bCs/>
          <w:color w:val="1D1D1D"/>
          <w:sz w:val="22"/>
          <w:szCs w:val="22"/>
        </w:rPr>
        <w:t xml:space="preserve">Dr Muhammad Mohsin</w:t>
      </w:r>
    </w:p>
    <w:p>
      <w:pPr>
        <w:spacing w:after="60" w:before="30"/>
        <w:jc w:val="center"/>
      </w:pPr>
      <w:r>
        <w:rPr>
          <w:rFonts w:ascii="Georgia" w:cs="Georgia" w:eastAsia="Georgia" w:hAnsi="Georgia"/>
          <w:i/>
          <w:iCs/>
          <w:color w:val="4A4A4A"/>
          <w:sz w:val="22"/>
          <w:szCs w:val="22"/>
        </w:rPr>
        <w:t xml:space="preserve">Consultant Haematologist</w:t>
      </w:r>
    </w:p>
    <w:p>
      <w:pPr>
        <w:spacing w:after="0" w:before="0"/>
        <w:jc w:val="center"/>
      </w:pPr>
      <w:r>
        <w:rPr>
          <w:rFonts w:ascii="Georgia" w:cs="Georgia" w:eastAsia="Georgia" w:hAnsi="Georgia"/>
          <w:color w:val="4A4A4A"/>
          <w:sz w:val="20"/>
          <w:szCs w:val="20"/>
        </w:rPr>
        <w:t xml:space="preserve">mohsinhaemacademy.com</w:t>
      </w:r>
    </w:p>
    <w:p>
      <w:r>
        <w:br w:type="page"/>
      </w:r>
    </w:p>
    <w:p>
      <w:pPr>
        <w:pStyle w:val="Heading2"/>
        <w:spacing w:after="120" w:before="240"/>
      </w:pPr>
      <w:r>
        <w:rPr>
          <w:rFonts w:ascii="Georgia" w:cs="Georgia" w:eastAsia="Georgia" w:hAnsi="Georgia"/>
          <w:b/>
          <w:bCs/>
          <w:color w:val="7A1F2B"/>
          <w:sz w:val="26"/>
          <w:szCs w:val="26"/>
        </w:rPr>
        <w:t xml:space="preserve">Document Identity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Field</w:t>
            </w:r>
          </w:p>
        </w:tc>
        <w:tc>
          <w:tcPr>
            <w:tcW w:type="dxa" w:w="60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Value</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Document code</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t>MHA-MYELOMA-2026-v1.1</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Division</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Haematological Malignancy</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Current version</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t>v1.1 — published 26 July 2026</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Review due</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May 2027 or sooner on NICE / BSH / UKMS / EHA-EMN update</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Author</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Dr Muhammad Mohsin, Consultant Haematologist</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Status</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t>PUBLISHED EDUCATIONAL GUIDELINE — v1.1. Clinical owner approval and pharmacy verification confirmed on 26 July 2026; the pharmacist's name remains private.</w:t>
            </w:r>
          </w:p>
        </w:tc>
      </w:tr>
    </w:tbl>
    <w:p>
      <w:pPr>
        <w:pStyle w:val="Heading2"/>
        <w:spacing w:after="120" w:before="240"/>
      </w:pPr>
      <w:r>
        <w:rPr>
          <w:rFonts w:ascii="Georgia" w:cs="Georgia" w:eastAsia="Georgia" w:hAnsi="Georgia"/>
          <w:b/>
          <w:bCs/>
          <w:color w:val="7A1F2B"/>
          <w:sz w:val="26"/>
          <w:szCs w:val="26"/>
        </w:rPr>
        <w:t xml:space="preserve">Tool Metadata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Field</w:t>
            </w:r>
          </w:p>
        </w:tc>
        <w:tc>
          <w:tcPr>
            <w:tcW w:type="dxa" w:w="66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Detail</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Scope</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Diagnosis, monitoring and management of plasma cell disorders in adults aged 18 years and over across the disease continuum: MGUS, smouldering myeloma, MGRS, newly diagnosed myeloma (transplant-eligible and ineligible, including high-risk), imaging, relapsed and refractory disease, supportive care and survivorship. Primary plasma cell leukaemia and AL amyloidosis are signposted to dedicated pathways.</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Intended users</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UK consultant haematologists, haematology registrars and SHOs, myeloma clinical nurse specialists, CNS teams, MDT coordinators, and renal/nephrology and palliative-care colleagues working in joint MDT pathways. Not intended for patients.</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Evidence base</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BSH 2017 to 2025 and UK Myeloma Society / UK Myeloma Forum guidelines (Snowden 2017, Sive 2021, Stern 2023, Hughes 2024, Kaiser 2024 high-risk TE-NDMM, Kaiser 2024 advanced imaging, Pinney 2025, Jenner 2025); NICE NG35; NICE technology appraisals; IMWG 2014 diagnostic criteria; IMWG 2021 PCL; IKMG 2019; EHA-EMN 2025 (Dimopoulos, Nat Rev Clin Oncol).</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Tags</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Interpretation, MDT, BSH, NICE, UKMS, IMWG</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Last reviewed</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t>v1.1 PUBLISHED: D-VRd updated to TA1170 for ASCT-unsuitable untreated myeloma; GID-TA11254 / ID6249 recorded as in development for ASCT-suitable untreated myeloma. Clinical owner approval and pharmacy verification confirmed on 26 July 2026.</w:t>
            </w:r>
          </w:p>
        </w:tc>
      </w:tr>
    </w:tbl>
    <w:p>
      <w:pPr>
        <w:spacing w:after="80" w:before="80" w:line="300"/>
        <w:jc w:val="left"/>
      </w:pPr>
      <w:r>
        <w:rPr>
          <w:rFonts w:ascii="Georgia" w:cs="Georgia" w:eastAsia="Georgia" w:hAnsi="Georgia"/>
          <w:b w:val="false"/>
          <w:bCs w:val="false"/>
          <w:i w:val="false"/>
          <w:iCs w:val="false"/>
          <w:color w:val="1D1D1D"/>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7A1F2B" w:sz="16"/>
              <w:bottom w:val="single" w:color="D8C9CB" w:sz="4"/>
              <w:right w:val="single" w:color="D8C9CB" w:sz="4"/>
            </w:tcBorders>
            <w:shd w:fill="F5E9EB" w:val="clear"/>
            <w:tcMar>
              <w:top w:type="dxa" w:w="140"/>
              <w:left w:type="dxa" w:w="200"/>
              <w:bottom w:type="dxa" w:w="140"/>
              <w:right w:type="dxa" w:w="160"/>
            </w:tcMar>
          </w:tcPr>
          <w:p>
            <w:pPr>
              <w:spacing w:after="80" w:before="0"/>
            </w:pPr>
            <w:r>
              <w:rPr>
                <w:rFonts w:ascii="Georgia" w:cs="Georgia" w:eastAsia="Georgia" w:hAnsi="Georgia"/>
                <w:b/>
                <w:bCs/>
                <w:color w:val="7A1F2B"/>
                <w:sz w:val="22"/>
                <w:szCs w:val="22"/>
              </w:rPr>
              <w:t xml:space="preserve">Disclaimer</w:t>
            </w:r>
          </w:p>
          <w:p>
            <w:pPr>
              <w:spacing w:after="0" w:before="0" w:line="280"/>
            </w:pPr>
            <w:r>
              <w:rPr>
                <w:rFonts w:ascii="Georgia" w:cs="Georgia" w:eastAsia="Georgia" w:hAnsi="Georgia"/>
                <w:color w:val="1D1D1D"/>
                <w:sz w:val="22"/>
                <w:szCs w:val="22"/>
              </w:rPr>
              <w:t xml:space="preserve">Clinical decision-support only. Not for direct patient use. Use alongside local trust policy, senior clinical judgement and patient-specific context. Local trust policies take precedence over any content in this document. This document synthesises BSH/UKMS, EHA-EMN and IMWG recommendations for educational purposes. For UK clinical practice, only BSH-aligned regimens commissioned by NICE apply. EHA-EMN and IMWG content is used for European/international diagnostic, staging and response-assessment context. UK practice should follow NICE commissioning, BSH/UKMS guidance, Blueteq criteria and local MDT policy. Always verify current NICE commissioning status, Blueteq eligibility and local formulary before prescribing. Off-label use must be clearly flagged.</w:t>
            </w:r>
          </w:p>
        </w:tc>
      </w:tr>
    </w:tbl>
    <w:p>
      <w:pPr>
        <w:pStyle w:val="Heading2"/>
        <w:spacing w:after="120" w:before="240"/>
      </w:pPr>
      <w:r>
        <w:rPr>
          <w:rFonts w:ascii="Georgia" w:cs="Georgia" w:eastAsia="Georgia" w:hAnsi="Georgia"/>
          <w:b/>
          <w:bCs/>
          <w:color w:val="7A1F2B"/>
          <w:sz w:val="26"/>
          <w:szCs w:val="26"/>
        </w:rPr>
        <w:t xml:space="preserve">Quick Decision Summary</w:t>
      </w:r>
    </w:p>
    <w:p>
      <w:pPr>
        <w:spacing w:after="80" w:before="80" w:line="300"/>
        <w:jc w:val="left"/>
      </w:pPr>
      <w:r>
        <w:rPr>
          <w:rFonts w:ascii="Georgia" w:cs="Georgia" w:eastAsia="Georgia" w:hAnsi="Georgia"/>
          <w:b w:val="false"/>
          <w:bCs w:val="false"/>
          <w:i/>
          <w:iCs/>
          <w:color w:val="4A4A4A"/>
          <w:sz w:val="22"/>
          <w:szCs w:val="22"/>
        </w:rPr>
        <w:t xml:space="preserve">Summary only. Full reasoning, evidence levels and references are in the sections below.</w:t>
      </w:r>
    </w:p>
    <w:p>
      <w:pPr>
        <w:pStyle w:val="ListParagraph"/>
        <w:numPr>
          <w:ilvl w:val="0"/>
          <w:numId w:val="2"/>
        </w:numPr>
        <w:spacing w:after="40" w:before="40" w:line="280"/>
      </w:pPr>
      <w:r>
        <w:rPr>
          <w:rFonts w:ascii="Georgia" w:cs="Georgia" w:eastAsia="Georgia" w:hAnsi="Georgia"/>
          <w:b/>
          <w:bCs/>
          <w:i w:val="false"/>
          <w:iCs w:val="false"/>
          <w:color w:val="7A1F2B"/>
          <w:sz w:val="22"/>
          <w:szCs w:val="22"/>
        </w:rPr>
        <w:t xml:space="preserve">MGUS: </w:t>
      </w:r>
      <w:r>
        <w:rPr>
          <w:rFonts w:ascii="Georgia" w:cs="Georgia" w:eastAsia="Georgia" w:hAnsi="Georgia"/>
          <w:b w:val="false"/>
          <w:bCs w:val="false"/>
          <w:i w:val="false"/>
          <w:iCs w:val="false"/>
          <w:color w:val="1D1D1D"/>
          <w:sz w:val="22"/>
          <w:szCs w:val="22"/>
        </w:rPr>
        <w:t xml:space="preserve">risk-stratify all new cases with the Mayo 2005 model. Low and low-intermediate risk need no bone marrow and no imaging at diagnosis; discharge low-risk to primary care after the 6-month confirmation visit. High-intermediate and high-risk need bone marrow plus whole-body imaging.</w:t>
      </w:r>
    </w:p>
    <w:p>
      <w:pPr>
        <w:pStyle w:val="ListParagraph"/>
        <w:numPr>
          <w:ilvl w:val="0"/>
          <w:numId w:val="2"/>
        </w:numPr>
        <w:spacing w:after="40" w:before="40" w:line="280"/>
      </w:pPr>
      <w:r>
        <w:rPr>
          <w:rFonts w:ascii="Georgia" w:cs="Georgia" w:eastAsia="Georgia" w:hAnsi="Georgia"/>
          <w:b/>
          <w:bCs/>
          <w:i w:val="false"/>
          <w:iCs w:val="false"/>
          <w:color w:val="7A1F2B"/>
          <w:sz w:val="22"/>
          <w:szCs w:val="22"/>
        </w:rPr>
        <w:t xml:space="preserve">Smouldering myeloma: </w:t>
      </w:r>
      <w:r>
        <w:rPr>
          <w:rFonts w:ascii="Georgia" w:cs="Georgia" w:eastAsia="Georgia" w:hAnsi="Georgia"/>
          <w:b w:val="false"/>
          <w:bCs w:val="false"/>
          <w:i w:val="false"/>
          <w:iCs w:val="false"/>
          <w:color w:val="1D1D1D"/>
          <w:sz w:val="22"/>
          <w:szCs w:val="22"/>
        </w:rPr>
        <w:t xml:space="preserve">stratify with Mayo 20-2-20 or IMWG 2020. Treatment is not NHS standard of care outside trials. High-risk SMM is for clinical-trial consideration.</w:t>
      </w:r>
    </w:p>
    <w:p>
      <w:pPr>
        <w:pStyle w:val="ListParagraph"/>
        <w:numPr>
          <w:ilvl w:val="0"/>
          <w:numId w:val="2"/>
        </w:numPr>
        <w:spacing w:after="40" w:before="40" w:line="280"/>
      </w:pPr>
      <w:r>
        <w:rPr>
          <w:rFonts w:ascii="Georgia" w:cs="Georgia" w:eastAsia="Georgia" w:hAnsi="Georgia"/>
          <w:b/>
          <w:bCs/>
          <w:i w:val="false"/>
          <w:iCs w:val="false"/>
          <w:color w:val="7A1F2B"/>
          <w:sz w:val="22"/>
          <w:szCs w:val="22"/>
        </w:rPr>
        <w:t xml:space="preserve">MGRS: </w:t>
      </w:r>
      <w:r>
        <w:rPr>
          <w:rFonts w:ascii="Georgia" w:cs="Georgia" w:eastAsia="Georgia" w:hAnsi="Georgia"/>
          <w:b w:val="false"/>
          <w:bCs w:val="false"/>
          <w:i w:val="false"/>
          <w:iCs w:val="false"/>
          <w:color w:val="1D1D1D"/>
          <w:sz w:val="22"/>
          <w:szCs w:val="22"/>
        </w:rPr>
        <w:t xml:space="preserve">renal biopsy plus full haematological workup, joint nephrology-haematology MDT. Treat the clone where renal function is at risk; depth of haematological response drives renal outcome.</w:t>
      </w:r>
    </w:p>
    <w:p>
      <w:pPr>
        <w:pStyle w:val="ListParagraph"/>
        <w:numPr>
          <w:ilvl w:val="0"/>
          <w:numId w:val="2"/>
        </w:numPr>
        <w:spacing w:after="40" w:before="40" w:line="280"/>
      </w:pPr>
      <w:r>
        <w:t>NDMM transplant-eligible (standard risk): daratumumab-containing quadruplet induction per current NICE technology appraisal (currently D-VTd per TA763, within NICE criteria), plus single ASCT, plus lenalidomide maintenance until progression (TA680). D-VRd (PERSEUS-based) is under separate NICE appraisal for transplant-eligible NDMM (GID-TA11254 / ID6249, in development; expected publication TBC) and is not yet a commissioned TE-NDMM option.</w:t>
      </w:r>
    </w:p>
    <w:p>
      <w:pPr>
        <w:pStyle w:val="ListParagraph"/>
        <w:numPr>
          <w:ilvl w:val="0"/>
          <w:numId w:val="2"/>
        </w:numPr>
        <w:spacing w:after="40" w:before="40" w:line="280"/>
      </w:pPr>
      <w:r>
        <w:rPr>
          <w:rFonts w:ascii="Georgia" w:cs="Georgia" w:eastAsia="Georgia" w:hAnsi="Georgia"/>
          <w:b/>
          <w:bCs/>
          <w:i w:val="false"/>
          <w:iCs w:val="false"/>
          <w:color w:val="7A1F2B"/>
          <w:sz w:val="22"/>
          <w:szCs w:val="22"/>
        </w:rPr>
        <w:t xml:space="preserve">NDMM transplant-eligible (high-risk by 2+ HRCA, SKY92 or primary PCL): </w:t>
      </w:r>
      <w:r>
        <w:rPr>
          <w:rFonts w:ascii="Georgia" w:cs="Georgia" w:eastAsia="Georgia" w:hAnsi="Georgia"/>
          <w:b w:val="false"/>
          <w:bCs w:val="false"/>
          <w:i w:val="false"/>
          <w:iCs w:val="false"/>
          <w:color w:val="1D1D1D"/>
          <w:sz w:val="22"/>
          <w:szCs w:val="22"/>
        </w:rPr>
        <w:t xml:space="preserve">consider stratified induction-consolidation-maintenance evidence (OPTIMUM/MUKnine, GMMG-CONCEPT, IFM 2018-04, EMN12) within the limits of current NHS commissioning.</w:t>
      </w:r>
    </w:p>
    <w:p>
      <w:pPr>
        <w:pStyle w:val="ListParagraph"/>
        <w:numPr>
          <w:ilvl w:val="0"/>
          <w:numId w:val="2"/>
        </w:numPr>
        <w:spacing w:after="40" w:before="40" w:line="280"/>
      </w:pPr>
      <w:r>
        <w:rPr>
          <w:rFonts w:ascii="Georgia" w:cs="Georgia" w:eastAsia="Georgia" w:hAnsi="Georgia"/>
          <w:b/>
          <w:bCs/>
          <w:i w:val="false"/>
          <w:iCs w:val="false"/>
          <w:color w:val="7A1F2B"/>
          <w:sz w:val="22"/>
          <w:szCs w:val="22"/>
        </w:rPr>
        <w:t xml:space="preserve">Relapse: </w:t>
      </w:r>
      <w:r>
        <w:rPr>
          <w:rFonts w:ascii="Georgia" w:cs="Georgia" w:eastAsia="Georgia" w:hAnsi="Georgia"/>
          <w:b w:val="false"/>
          <w:bCs w:val="false"/>
          <w:i w:val="false"/>
          <w:iCs w:val="false"/>
          <w:color w:val="1D1D1D"/>
          <w:sz w:val="22"/>
          <w:szCs w:val="22"/>
        </w:rPr>
        <w:t xml:space="preserve">class-switch principle, triplet preferred over doublet, repeat FISH and TP53. Bispecifics (teclistamab TA1015) and CAR-T are reserved for triple-class exposed disease in approved centres. Always consider clinical trial.</w:t>
      </w:r>
    </w:p>
    <w:p>
      <w:pPr>
        <w:pStyle w:val="ListParagraph"/>
        <w:numPr>
          <w:ilvl w:val="0"/>
          <w:numId w:val="2"/>
        </w:numPr>
        <w:spacing w:after="40" w:before="40" w:line="280"/>
      </w:pPr>
      <w:r>
        <w:rPr>
          <w:rFonts w:ascii="Georgia" w:cs="Georgia" w:eastAsia="Georgia" w:hAnsi="Georgia"/>
          <w:b/>
          <w:bCs/>
          <w:i w:val="false"/>
          <w:iCs w:val="false"/>
          <w:color w:val="7A1F2B"/>
          <w:sz w:val="22"/>
          <w:szCs w:val="22"/>
        </w:rPr>
        <w:t xml:space="preserve">Always MDT. </w:t>
      </w:r>
      <w:r>
        <w:rPr>
          <w:rFonts w:ascii="Georgia" w:cs="Georgia" w:eastAsia="Georgia" w:hAnsi="Georgia"/>
          <w:b w:val="false"/>
          <w:bCs w:val="false"/>
          <w:i w:val="false"/>
          <w:iCs w:val="false"/>
          <w:color w:val="1D1D1D"/>
          <w:sz w:val="22"/>
          <w:szCs w:val="22"/>
        </w:rPr>
        <w:t xml:space="preserve">Escalate to consultant haematology for any treatment decision. Local trust policies and current NICE commissioning status take precedence.</w:t>
      </w:r>
    </w:p>
    <w:p>
      <w:r>
        <w:br w:type="page"/>
      </w:r>
    </w:p>
    <w:p>
      <w:pPr>
        <w:pStyle w:val="Heading1"/>
        <w:spacing w:after="160" w:before="360"/>
      </w:pPr>
      <w:r>
        <w:rPr>
          <w:rFonts w:ascii="Georgia" w:cs="Georgia" w:eastAsia="Georgia" w:hAnsi="Georgia"/>
          <w:b/>
          <w:bCs/>
          <w:color w:val="7A1F2B"/>
          <w:sz w:val="30"/>
          <w:szCs w:val="30"/>
        </w:rPr>
        <w:t xml:space="preserve">1. </w:t>
      </w:r>
      <w:r>
        <w:rPr>
          <w:rFonts w:ascii="Georgia" w:cs="Georgia" w:eastAsia="Georgia" w:hAnsi="Georgia"/>
          <w:b/>
          <w:bCs/>
          <w:color w:val="7A1F2B"/>
          <w:sz w:val="30"/>
          <w:szCs w:val="30"/>
        </w:rPr>
        <w:t xml:space="preserve">Scope and Purpose</w:t>
      </w:r>
    </w:p>
    <w:p>
      <w:pPr>
        <w:spacing w:after="80" w:before="80" w:line="300"/>
        <w:jc w:val="left"/>
      </w:pPr>
      <w:r>
        <w:rPr>
          <w:rFonts w:ascii="Georgia" w:cs="Georgia" w:eastAsia="Georgia" w:hAnsi="Georgia"/>
          <w:b w:val="false"/>
          <w:bCs w:val="false"/>
          <w:i w:val="false"/>
          <w:iCs w:val="false"/>
          <w:color w:val="1D1D1D"/>
          <w:sz w:val="22"/>
          <w:szCs w:val="22"/>
        </w:rPr>
        <w:t xml:space="preserve">This document covers the diagnosis, monitoring and management of plasma cell disorders in adults aged 18 years and over across the full disease continuum, integrating BSH and UK Myeloma Society / UK Myeloma Forum recommendations with NICE technology appraisals, NICE NG35 and EHA-EMN 2025 evidence-based guidelines. It applies in outpatient haematology, day-case and inpatient settings, and in shared-care pathways with nephrology, palliative care, transplant centres and approved cellular-therapy centres.</w:t>
      </w:r>
    </w:p>
    <w:p>
      <w:pPr>
        <w:spacing w:after="80" w:before="80" w:line="300"/>
        <w:jc w:val="left"/>
      </w:pPr>
      <w:r>
        <w:rPr>
          <w:rFonts w:ascii="Georgia" w:cs="Georgia" w:eastAsia="Georgia" w:hAnsi="Georgia"/>
          <w:b w:val="false"/>
          <w:bCs w:val="false"/>
          <w:i w:val="false"/>
          <w:iCs w:val="false"/>
          <w:color w:val="1D1D1D"/>
          <w:sz w:val="22"/>
          <w:szCs w:val="22"/>
        </w:rPr>
        <w:t xml:space="preserve">Primary plasma cell leukaemia, AL amyloidosis and Waldenstrom macroglobulinaemia are biologically related but follow separate UK pathways and are signposted only.</w:t>
      </w:r>
    </w:p>
    <w:p>
      <w:pPr>
        <w:spacing w:after="80" w:before="180"/>
      </w:pPr>
      <w:r>
        <w:rPr>
          <w:rFonts w:ascii="Georgia" w:cs="Georgia" w:eastAsia="Georgia" w:hAnsi="Georgia"/>
          <w:b/>
          <w:bCs/>
          <w:color w:val="1D1D1D"/>
          <w:sz w:val="24"/>
          <w:szCs w:val="24"/>
        </w:rPr>
        <w:t xml:space="preserve">UK Clinical Practice — Applicable NICE Technology Appraisals</w:t>
      </w:r>
    </w:p>
    <w:p>
      <w:pPr>
        <w:spacing w:after="80" w:before="80" w:line="300"/>
        <w:jc w:val="left"/>
      </w:pPr>
      <w:r>
        <w:t>The following NICE-commissioned technology appraisals govern UK clinical practice for myeloma at the time of writing. Named entries re-verified for the v1.1 publication on 26 July 2026; live NICE verification remains required before prescribing. TA numbers and commissioning criteria are subject to revision. Several relevant appraisals are in development, in managed-access, or have been terminated, see Section 1A for the active landscape.</w:t>
      </w:r>
    </w:p>
    <w:p>
      <w:pPr>
        <w:spacing w:after="80" w:before="80" w:line="300"/>
        <w:jc w:val="left"/>
      </w:pPr>
      <w:r>
        <w:rPr>
          <w:rFonts w:ascii="Georgia" w:cs="Georgia" w:eastAsia="Georgia" w:hAnsi="Georgia"/>
          <w:b/>
          <w:bCs/>
          <w:i w:val="false"/>
          <w:iCs w:val="false"/>
          <w:color w:val="1D1D1D"/>
          <w:sz w:val="22"/>
          <w:szCs w:val="22"/>
        </w:rPr>
        <w:t xml:space="preserve">Newly diagnosed, transplant-eligible: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TA763 — D-VTd induction/consolidation for newly diagnosed transplant-eligible myeloma, within NICE criteria (February 2022).</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TA228 — Bortezomib + thalidomide for first-line transplant-eligible induction (older TA; superseded in routine practice by quadruplet regimens where available).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TA311 — Bortezomib induction before HDT/ASCT (2014).</w:t>
      </w:r>
    </w:p>
    <w:p>
      <w:pPr>
        <w:spacing w:after="80" w:before="80" w:line="300"/>
        <w:jc w:val="left"/>
      </w:pPr>
      <w:r>
        <w:rPr>
          <w:rFonts w:ascii="Georgia" w:cs="Georgia" w:eastAsia="Georgia" w:hAnsi="Georgia"/>
          <w:b/>
          <w:bCs/>
          <w:i w:val="false"/>
          <w:iCs w:val="false"/>
          <w:color w:val="1D1D1D"/>
          <w:sz w:val="22"/>
          <w:szCs w:val="22"/>
        </w:rPr>
        <w:t xml:space="preserve">Newly diagnosed, transplant-ineligible: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TA587 — Lenalidomide + dexamethasone for previously untreated myeloma (2019).</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TA1098 — Isatuximab + bortezomib + lenalidomide + dexamethasone (Isa-VRd, IMROZ-based) for untreated myeloma when stem cell transplant is unsuitable (September 2025). Verify final recommendation wording, restrictions and commercial arrangement before prescribing.</w:t>
      </w:r>
    </w:p>
    <w:p>
      <w:pPr>
        <w:pStyle w:val="ListParagraph"/>
        <w:numPr>
          <w:ilvl w:val="0"/>
          <w:numId w:val="2"/>
        </w:numPr>
        <w:spacing w:after="40" w:before="40" w:line="280"/>
      </w:pPr>
      <w:r>
        <w:t>TA1170 — Daratumumab + bortezomib + lenalidomide + dexamethasone (D-VRd) for untreated multiple myeloma in adults when autologous stem cell transplant is unsuitable. Recommended by NICE on 24 June 2026, subject to the commercial arrangement. Confirm Blueteq, local formulary and implementation status before prescribing.</w:t>
      </w:r>
    </w:p>
    <w:p>
      <w:pPr>
        <w:spacing w:after="80" w:before="80" w:line="300"/>
        <w:jc w:val="left"/>
      </w:pPr>
      <w:r>
        <w:rPr>
          <w:rFonts w:ascii="Georgia" w:cs="Georgia" w:eastAsia="Georgia" w:hAnsi="Georgia"/>
          <w:b/>
          <w:bCs/>
          <w:i w:val="false"/>
          <w:iCs w:val="false"/>
          <w:color w:val="1D1D1D"/>
          <w:sz w:val="22"/>
          <w:szCs w:val="22"/>
        </w:rPr>
        <w:t xml:space="preserve">Maintenance after ASCT: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TA680 — Lenalidomide maintenance for newly diagnosed myeloma after ASCT (2021).</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GID-TA11846 / ID6639 — Isatuximab maintenance after ASCT. NICE awaiting development; horizon scanning only.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GID-TA10843 / ID1517 — Ixazomib citrate maintenance after ASCT. NICE appraisal DISCONTINUED 25 February 2026 after prior suspension. Not anticipated as a routine NICE-commissioned maintenance option.</w:t>
      </w:r>
    </w:p>
    <w:p>
      <w:pPr>
        <w:spacing w:after="80" w:before="80" w:line="300"/>
        <w:jc w:val="left"/>
      </w:pPr>
      <w:r>
        <w:rPr>
          <w:rFonts w:ascii="Georgia" w:cs="Georgia" w:eastAsia="Georgia" w:hAnsi="Georgia"/>
          <w:b/>
          <w:bCs/>
          <w:i w:val="false"/>
          <w:iCs w:val="false"/>
          <w:color w:val="1D1D1D"/>
          <w:sz w:val="22"/>
          <w:szCs w:val="22"/>
        </w:rPr>
        <w:t xml:space="preserve">Relapsed and refractory: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TA586 — Lenalidomide + dexamethasone after one prior bortezomib regimen.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TA695 — Carfilzomib + lenalidomide + dexamethasone (KRd) for previously treated myeloma (partially replaces TA657).</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TA657 — Carfilzomib for previously treated myeloma (2020), partially replaced by TA695.</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TA510 — Daratumumab monotherapy for R/R myeloma.</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TA129 — Bortezomib monotherapy at first relapse (older TA).</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TA427 — Pomalidomide + dexamethasone for R/R myeloma.</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TA1015 — Teclistamab for R/R myeloma after 3 or more prior treatments (November 2024; replaces and updates TA869).</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TA1023 — Elranatamab for R/R myeloma after 3 or more prior treatments (December 2024; managed access, evidence collection arrangement).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TA1114 — Talquetamab for R/R myeloma after 3 or more prior treatments (December 2025; routine NHS option within NICE criteria).</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TA1133 — Belantamab mafodotin + pomalidomide + dexamethasone for previously treated myeloma after at least one prior therapy including lenalidomide (February 2026). Option after one prior lenalidomide-containing line if lenalidomide is not tolerated or disease is lenalidomide-refractory; not a generic penta-refractory option. Verify recommendation restrictions, commercial arrangement, ocular-toxicity monitoring requirements, Blueteq form and local pathway before pathway placement.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TA970 — Selinexor + dexamethasone for R/R myeloma after 4 or more prior treatments.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TA889 — Ciltacabtagene autoleucel — terminated appraisal (Janssen withdrew submission); no NICE recommendation in routine commissioning. Cross-reference separately from in-development GID-TA10905 / ID4012.</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GID-TA10905 / ID4012 — Ciltacabtagene autoleucel for relapsed and lenalidomide-refractory myeloma after 1 to 3 therapies. NICE appraisal in development. Access requires final NICE guidance and approved-centre pathway; do not confuse with terminated TA889.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1E5D8C" w:sz="16"/>
              <w:bottom w:val="single" w:color="D8C9CB" w:sz="4"/>
              <w:right w:val="single" w:color="D8C9CB" w:sz="4"/>
            </w:tcBorders>
            <w:shd w:fill="E7F0F7" w:val="clear"/>
            <w:tcMar>
              <w:top w:type="dxa" w:w="140"/>
              <w:left w:type="dxa" w:w="200"/>
              <w:bottom w:type="dxa" w:w="140"/>
              <w:right w:type="dxa" w:w="160"/>
            </w:tcMar>
          </w:tcPr>
          <w:p>
            <w:pPr>
              <w:spacing w:after="80" w:before="0"/>
            </w:pPr>
            <w:r>
              <w:t>Governance note</w:t>
            </w:r>
          </w:p>
          <w:p>
            <w:pPr>
              <w:spacing w:after="0" w:before="0" w:line="280"/>
            </w:pPr>
            <w:r>
              <w:t>Pomalidomide + dexamethasone (TA427), elotuzumab, panobinostat (TA380), isatuximab combinations and several maintenance and earlier-line bispecific or CAR-T regimens have additional or older TAs; verify against the live NICE register before use. D-VRd is separately recommended under TA1170 when ASCT is unsuitable. Other daratumumab-containing frontline regimens not explicitly linked to a verified NICE appraisal in this guideline must not be inferred to be commissioned; verify current NICE guidance, Blueteq and local formulary status.</w:t>
            </w:r>
          </w:p>
        </w:tc>
      </w:tr>
    </w:tbl>
    <w:p>
      <w:pPr>
        <w:pStyle w:val="Heading1"/>
        <w:spacing w:after="160" w:before="360"/>
      </w:pPr>
      <w:r>
        <w:rPr>
          <w:rFonts w:ascii="Georgia" w:cs="Georgia" w:eastAsia="Georgia" w:hAnsi="Georgia"/>
          <w:b/>
          <w:bCs/>
          <w:color w:val="7A1F2B"/>
          <w:sz w:val="30"/>
          <w:szCs w:val="30"/>
        </w:rPr>
        <w:t xml:space="preserve">1A. </w:t>
      </w:r>
      <w:r>
        <w:rPr>
          <w:rFonts w:ascii="Georgia" w:cs="Georgia" w:eastAsia="Georgia" w:hAnsi="Georgia"/>
          <w:b/>
          <w:bCs/>
          <w:color w:val="7A1F2B"/>
          <w:sz w:val="30"/>
          <w:szCs w:val="30"/>
        </w:rPr>
        <w:t xml:space="preserve">NICE Horizon Scanning: Recently Approved, In-Development and Evolving Myeloma Therapies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rPr>
                <w:rFonts w:ascii="Georgia" w:cs="Georgia" w:eastAsia="Georgia" w:hAnsi="Georgia"/>
                <w:b/>
                <w:bCs/>
                <w:color w:val="C87A00"/>
                <w:sz w:val="22"/>
                <w:szCs w:val="22"/>
              </w:rPr>
              <w:t xml:space="preserve">Important — horizon scanning only</w:t>
            </w:r>
          </w:p>
          <w:p>
            <w:pPr>
              <w:spacing w:after="0" w:before="0" w:line="280"/>
            </w:pPr>
            <w:r>
              <w:rPr>
                <w:rFonts w:ascii="Georgia" w:cs="Georgia" w:eastAsia="Georgia" w:hAnsi="Georgia"/>
                <w:color w:val="1D1D1D"/>
                <w:sz w:val="22"/>
                <w:szCs w:val="22"/>
              </w:rPr>
              <w:t xml:space="preserve">This section is horizon scanning only. It must not be used as a prescribing or commissioning statement. NICE appraisal status, Blueteq eligibility, NHS England commissioning, local formulary position and approved-centre access must be verified immediately before treatment decisions. Identifiers and dates were re-verified for publication on 26 July 2026; status of any in-development or managed-access entry may change at short notice.</w:t>
            </w:r>
          </w:p>
        </w:tc>
      </w:tr>
    </w:tbl>
    <w:p>
      <w:pPr>
        <w:spacing w:after="80" w:before="80" w:line="300"/>
        <w:jc w:val="left"/>
      </w:pPr>
      <w:r>
        <w:rPr>
          <w:rFonts w:ascii="Georgia" w:cs="Georgia" w:eastAsia="Georgia" w:hAnsi="Georgia"/>
          <w:b w:val="false"/>
          <w:bCs w:val="false"/>
          <w:i w:val="false"/>
          <w:iCs w:val="false"/>
          <w:color w:val="1D1D1D"/>
          <w:sz w:val="22"/>
          <w:szCs w:val="22"/>
        </w:rPr>
        <w:t xml:space="preserve">This section separates therapies by their current NICE classification: routinely recommended; managed-access or Cancer Drugs Fund; in development; awaiting development; discontinued or terminated; and off-label, specialist-centre or trial-only. Entries are listed in order of pathway position (frontline to maintenance to relapse to cellular therapy to biomarker-restricted).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Therapy / regimen</w:t>
            </w:r>
          </w:p>
        </w:tc>
        <w:tc>
          <w:tcPr>
            <w:tcW w:type="dxa" w:w="22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Setting</w:t>
            </w:r>
          </w:p>
        </w:tc>
        <w:tc>
          <w:tcPr>
            <w:tcW w:type="dxa" w:w="22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NICE status</w:t>
            </w:r>
          </w:p>
        </w:tc>
        <w:tc>
          <w:tcPr>
            <w:tcW w:type="dxa" w:w="24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Guideline wording</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t>D-VRd (daratumumab + bortezomib + lenalidomide + dexamethasone)</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t>Untreated multiple myeloma when autologous stem cell transplant is unsuitable</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t>Recommended: TA1170, published 24 June 2026; subject to the commercial arrangement.</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t>Can be used routinely across the NHS in this population and must be funded in England within 90 days. Confirm Blueteq, local formulary and implementation status.</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t>D-VRd (daratumumab + bortezomib + lenalidomide + dexamethasone)</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t>Untreated myeloma when high-dose chemotherapy and autologous stem cell transplant are suitable</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t>In development: GID-TA11254 / ID6249; expected publication TBC.</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t>Separate transplant-eligible appraisal. Not NICE-commissioned for this setting unless final guidance and local access confirm it.</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Isa-VRd (isatuximab + bortezomib + lenalidomide + dexamethasone)</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Untreated myeloma when stem cell transplant is unsuitable</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Recommended: TA1098, published 24 September 2025. Subject to simple discount commercial arrangement.</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NICE-appraised anti-CD38 quadruplet for transplant-ineligible NDMM. Confirm the final recommendation wording, restrictions and commercial arrangement before prescribing.</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Isatuximab maintenance post-ASCT</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NDMM after autologous stem cell transplant</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Awaiting development: GID-TA11846 / ID6639. Expected publication date TBC.</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Horizon scanning only. Do not present as standard maintenance. Lenalidomide maintenance (TA680) remains the established NICE-commissioned maintenance reference.</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Ixazomib maintenance post-ASCT</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NDMM after autologous stem cell transplant</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Discontinued: GID-TA10843 / ID1517 discontinued 25 February 2026 after prior suspension.</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Out of active in-development list. Labelled as discontinued. Do not imply anticipated NICE availability.</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Cilta-cel earlier line</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Relapsed and lenalidomide-refractory myeloma after 1 to 3 therapies</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 development: GID-TA10905 / ID4012. Appraisal scheduled to begin early July 2026 per NICE timeline. Expected publication TBC.</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Cellular-therapy horizon scanning only. Access requires final NICE guidance and approved-centre pathway. Do not confuse with terminated TA889.</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Cilta-cel late line (original indication)</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Heavily pre-treated R/R myeloma</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Terminated: TA889. No routine NHS recommendation from this appraisal.</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Historical terminated appraisal. Keep cross-referenced separately from GID-TA10905 / ID4012.</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Teclistamab</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R/R myeloma after 3+ prior treatments</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Recommended: TA1015 (13 November 2024). Replaces TA869.</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NICE-recommended option after 3+ prior lines (IMiD, PI, anti-CD38), subject to NICE wording and commercial arrangement.</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Elranatamab</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R/R myeloma after 3+ prior treatments</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Managed access: TA1023 (11 December 2024). Evidence collection arrangement.</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Managed-access BCMA bispecific. Evidence being collected; NICE will update guidance after further evidence review.</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Talquetamab</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R/R myeloma after 3+ prior treatments</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Recommended: TA1114 (3 December 2025). Routine NHS option within NICE criteria.</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GPRC5D bispecific after 3+ prior lines (IMiD, PI, anti-CD38), where disease has progressed on last treatment and commercial arrangement applies.</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Belantamab mafodotin + Pd (BPd, DREAMM-8)</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Previously treated myeloma after 1 prior lenalidomide-containing line if Len-intolerant or Len-refractory</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Recommended: TA1133 (18 February 2026).</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Option after 1 prior Len-containing line if lenalidomide is not tolerated or disease is lenalidomide-refractory. Not a generic penta-refractory option. Verify ocular monitoring, commercial arrangement, Blueteq and local pathway. Mandatory pre-dose ophthalmology assessment.</w:t>
            </w:r>
          </w:p>
        </w:tc>
      </w:tr>
      <w:tr>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Venetoclax for t(11;14) myeloma</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Molecularly selected R/R disease</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Not NICE-commissioned for myeloma. Off-label / specialist-centre / trial-only.</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Mention only as biomarker-directed investigational or off-label context. Do not present as a routine UK option.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t>Verification requirements before any clinical use</w:t>
              <w:br/>
              <w:t>D-VRd settings kept separate: TA1170 for untreated myeloma when ASCT is unsuitable; GID-TA11254 / ID6249 remains in development when high-dose chemotherapy and ASCT are suitable. Live NICE, Blueteq, local formulary, SmPC and pharmacy verification remain mandatory.</w:t>
            </w:r>
          </w:p>
        </w:tc>
      </w:tr>
    </w:tbl>
    <w:p>
      <w:pPr>
        <w:pStyle w:val="Heading1"/>
        <w:spacing w:after="160" w:before="360"/>
      </w:pPr>
      <w:r>
        <w:rPr>
          <w:rFonts w:ascii="Georgia" w:cs="Georgia" w:eastAsia="Georgia" w:hAnsi="Georgia"/>
          <w:b/>
          <w:bCs/>
          <w:color w:val="7A1F2B"/>
          <w:sz w:val="30"/>
          <w:szCs w:val="30"/>
        </w:rPr>
        <w:t xml:space="preserve">2. </w:t>
      </w:r>
      <w:r>
        <w:rPr>
          <w:rFonts w:ascii="Georgia" w:cs="Georgia" w:eastAsia="Georgia" w:hAnsi="Georgia"/>
          <w:b/>
          <w:bCs/>
          <w:color w:val="7A1F2B"/>
          <w:sz w:val="30"/>
          <w:szCs w:val="30"/>
        </w:rPr>
        <w:t xml:space="preserve">Clinical Overview and Epidemiology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E5D8C" w:sz="4"/>
              <w:left w:val="single" w:color="1E5D8C" w:sz="4"/>
              <w:bottom w:val="single" w:color="1E5D8C" w:sz="4"/>
              <w:right w:val="single" w:color="1E5D8C" w:sz="4"/>
            </w:tcBorders>
            <w:shd w:fill="E7F0F7" w:val="clear"/>
            <w:tcMar>
              <w:top w:type="dxa" w:w="140"/>
              <w:left w:type="dxa" w:w="160"/>
              <w:bottom w:type="dxa" w:w="140"/>
              <w:right w:type="dxa" w:w="160"/>
            </w:tcMar>
          </w:tcPr>
          <w:p>
            <w:pPr>
              <w:spacing w:after="80" w:before="0"/>
            </w:pPr>
            <w:r>
              <w:rPr>
                <w:rFonts w:ascii="Georgia" w:cs="Georgia" w:eastAsia="Georgia" w:hAnsi="Georgia"/>
                <w:b/>
                <w:bCs/>
                <w:color w:val="1E5D8C"/>
                <w:sz w:val="22"/>
                <w:szCs w:val="22"/>
              </w:rPr>
              <w:t xml:space="preserve">Clinical Vignette</w:t>
            </w:r>
          </w:p>
          <w:p>
            <w:pPr>
              <w:spacing w:after="0" w:before="0" w:line="280"/>
            </w:pPr>
            <w:r>
              <w:rPr>
                <w:rFonts w:ascii="Georgia" w:cs="Georgia" w:eastAsia="Georgia" w:hAnsi="Georgia"/>
                <w:color w:val="1D1D1D"/>
                <w:sz w:val="22"/>
                <w:szCs w:val="22"/>
              </w:rPr>
              <w:t xml:space="preserve">A 67-year-old woman is referred by her GP with a four-month history of progressive lumbar back pain, fatigue and a 5 kg unintentional weight loss. Investigations show Hb 96 g/L, creatinine 168 micromol/L, corrected calcium 2.78 mmol/L, total protein 102 g/L, albumin 32 g/L. Serum electrophoresis shows an IgG-kappa M-protein of 42 g/L. Serum free light chains show involved kappa 380 mg/L, uninvolved lambda 4 mg/L, ratio 95. She asks whether she has myeloma and what happens next.</w:t>
            </w:r>
          </w:p>
        </w:tc>
      </w:tr>
    </w:tbl>
    <w:p>
      <w:pPr>
        <w:spacing w:after="80" w:before="80" w:line="300"/>
        <w:jc w:val="left"/>
      </w:pPr>
      <w:r>
        <w:rPr>
          <w:rFonts w:ascii="Georgia" w:cs="Georgia" w:eastAsia="Georgia" w:hAnsi="Georgia"/>
          <w:b w:val="false"/>
          <w:bCs w:val="false"/>
          <w:i w:val="false"/>
          <w:iCs w:val="false"/>
          <w:color w:val="1D1D1D"/>
          <w:sz w:val="22"/>
          <w:szCs w:val="22"/>
        </w:rPr>
        <w:t xml:space="preserve">Plasma cell disorders form a biological continuum from monoclonal gammopathy of undetermined significance (MGUS), through smouldering multiple myeloma (SMM), to symptomatic multiple myeloma (MM), plasma cell leukaemia (PCL) and related lymphoplasmacytic malignancies. The same clonal genetic events are detectable across these states, with progressive acquisition of secondary copy-number changes and single-nucleotide variants as disease evolves.</w:t>
      </w:r>
    </w:p>
    <w:p>
      <w:pPr>
        <w:spacing w:after="80" w:before="80" w:line="300"/>
        <w:jc w:val="left"/>
      </w:pPr>
      <w:r>
        <w:rPr>
          <w:rFonts w:ascii="Georgia" w:cs="Georgia" w:eastAsia="Georgia" w:hAnsi="Georgia"/>
          <w:b w:val="false"/>
          <w:bCs w:val="false"/>
          <w:i w:val="false"/>
          <w:iCs w:val="false"/>
          <w:color w:val="1D1D1D"/>
          <w:sz w:val="22"/>
          <w:szCs w:val="22"/>
        </w:rPr>
        <w:t xml:space="preserve">Myeloma accounts for approximately 2 per cent of all cancers in the UK and is the second most common haematological malignancy. Median age at diagnosis is 70 years, with a slight male predominance. Five-year survival has more than doubled over the past two decades with sequential approval of proteasome inhibitors, immunomodulatory agents, anti-CD38 monoclonal antibodies and, most recently, T-cell-redirecting therapies. Cure remains uncommon outside selected high-risk transplant strategies and clinical trials, so the standard framing is one of sustained disease control rather than eradication.</w:t>
      </w:r>
    </w:p>
    <w:p>
      <w:pPr>
        <w:spacing w:after="80" w:before="80" w:line="300"/>
        <w:jc w:val="left"/>
      </w:pPr>
      <w:r>
        <w:rPr>
          <w:rFonts w:ascii="Georgia" w:cs="Georgia" w:eastAsia="Georgia" w:hAnsi="Georgia"/>
          <w:b w:val="false"/>
          <w:bCs w:val="false"/>
          <w:i w:val="false"/>
          <w:iCs w:val="false"/>
          <w:color w:val="1D1D1D"/>
          <w:sz w:val="22"/>
          <w:szCs w:val="22"/>
        </w:rPr>
        <w:t xml:space="preserve">Two parallel concepts now sit alongside the traditional diagnostic boundaries. Monoclonal gammopathy of clinical significance (MGCS) captures patients in whom a small clone causes organ injury without meeting criteria for haematological malignancy. Monoclonal gammopathy of renal significance (MGRS) is the renal subset of MGCS and is addressed in its own section.</w:t>
      </w:r>
    </w:p>
    <w:p>
      <w:pPr>
        <w:spacing w:after="80" w:before="180"/>
      </w:pPr>
      <w:r>
        <w:rPr>
          <w:rFonts w:ascii="Georgia" w:cs="Georgia" w:eastAsia="Georgia" w:hAnsi="Georgia"/>
          <w:b/>
          <w:bCs/>
          <w:color w:val="1D1D1D"/>
          <w:sz w:val="24"/>
          <w:szCs w:val="24"/>
        </w:rPr>
        <w:t xml:space="preserve">Defining the entities (IMWG 2014)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rPr>
          <w:tblHeader/>
        </w:trPr>
        <w:tc>
          <w:tcPr>
            <w:tcW w:type="dxa" w:w="18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Entity</w:t>
            </w:r>
          </w:p>
        </w:tc>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Serum M-protein</w:t>
            </w:r>
          </w:p>
        </w:tc>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Clonal BMPC</w:t>
            </w:r>
          </w:p>
        </w:tc>
        <w:tc>
          <w:tcPr>
            <w:tcW w:type="dxa" w:w="24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Myeloma-defining events</w:t>
            </w:r>
          </w:p>
        </w:tc>
      </w:tr>
      <w:tr>
        <w:tc>
          <w:tcPr>
            <w:tcW w:type="dxa" w:w="1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MGUS</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Below 30 g/L</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Below 10%</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None</w:t>
            </w:r>
          </w:p>
        </w:tc>
      </w:tr>
      <w:tr>
        <w:tc>
          <w:tcPr>
            <w:tcW w:type="dxa" w:w="1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Smouldering myeloma</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30 g/L or above (or urinary M-protein 500 mg/24h or above) and/or BMPC 10–59%</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10–59%</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None (no SLiM CRAB)</w:t>
            </w:r>
          </w:p>
        </w:tc>
      </w:tr>
      <w:tr>
        <w:tc>
          <w:tcPr>
            <w:tcW w:type="dxa" w:w="1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Multiple myeloma</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Any</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 or above (or biopsy-proven plasmacytoma)</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Any SLiM CRAB feature</w:t>
            </w:r>
          </w:p>
        </w:tc>
      </w:tr>
      <w:tr>
        <w:tc>
          <w:tcPr>
            <w:tcW w:type="dxa" w:w="1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Plasma cell leukaemia</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Any</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Any, with circulating plasma cells</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5% or more circulating plasma cells (IMWG 2021 redefinition)</w:t>
            </w:r>
          </w:p>
        </w:tc>
      </w:tr>
    </w:tbl>
    <w:p>
      <w:pPr>
        <w:spacing w:after="80" w:before="80" w:line="300"/>
        <w:jc w:val="left"/>
      </w:pPr>
      <w:r>
        <w:rPr>
          <w:rFonts w:ascii="Georgia" w:cs="Georgia" w:eastAsia="Georgia" w:hAnsi="Georgia"/>
          <w:b w:val="false"/>
          <w:bCs w:val="false"/>
          <w:i/>
          <w:iCs/>
          <w:color w:val="4A4A4A"/>
          <w:sz w:val="18"/>
          <w:szCs w:val="18"/>
        </w:rPr>
        <w:t xml:space="preserve">Source: Rajkumar 2014 (Lancet Oncol); Fernandez de Larrea 2021 (Blood Cancer J).</w:t>
      </w:r>
    </w:p>
    <w:p>
      <w:pPr>
        <w:spacing w:after="80" w:before="180"/>
      </w:pPr>
      <w:r>
        <w:rPr>
          <w:rFonts w:ascii="Georgia" w:cs="Georgia" w:eastAsia="Georgia" w:hAnsi="Georgia"/>
          <w:b/>
          <w:bCs/>
          <w:color w:val="1D1D1D"/>
          <w:sz w:val="24"/>
          <w:szCs w:val="24"/>
        </w:rPr>
        <w:t xml:space="preserve">SLiM CRAB — myeloma-defining 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Marker</w:t>
            </w:r>
          </w:p>
        </w:tc>
        <w:tc>
          <w:tcPr>
            <w:tcW w:type="dxa" w:w="64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Definition</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 — Sixty per cent</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60% or more clonal plasma cells in bone marrow</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Li — Light chain ratio</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Involved to uninvolved serum free light chain ratio above 100 (involved FLC above 100 mg/L by FREELITE)</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 — MRI focal lesion</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More than one focal lesion above 5 mm on MRI</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 — Calcium elevation</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Serum calcium above 2.75 mmol/L or above 0.25 mmol/L above the upper limit of normal</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 — Renal insufficiency</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Serum creatinine above 177 micromol/L or creatinine clearance below 40 mL/min, attributable to myeloma</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 — Anaemia</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Haemoglobin below 100 g/L or 20 g/L or more below the lower limit of normal</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 — Bone lesions</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One or more osteolytic lesions of 5 mm or above on CT, PET-CT or skeletal imaging</w:t>
            </w:r>
          </w:p>
        </w:tc>
      </w:tr>
    </w:tbl>
    <w:p>
      <w:pPr>
        <w:spacing w:after="80" w:before="80" w:line="300"/>
        <w:jc w:val="left"/>
      </w:pPr>
      <w:r>
        <w:rPr>
          <w:rFonts w:ascii="Georgia" w:cs="Georgia" w:eastAsia="Georgia" w:hAnsi="Georgia"/>
          <w:b w:val="false"/>
          <w:bCs w:val="false"/>
          <w:i/>
          <w:iCs/>
          <w:color w:val="4A4A4A"/>
          <w:sz w:val="18"/>
          <w:szCs w:val="18"/>
        </w:rPr>
        <w:t xml:space="preserve">Source: Rajkumar 2014; reproduced in Hughes 2024 BSH Good Practice Paper.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7A1F2B" w:sz="16"/>
              <w:bottom w:val="single" w:color="D8C9CB" w:sz="4"/>
              <w:right w:val="single" w:color="D8C9CB" w:sz="4"/>
            </w:tcBorders>
            <w:shd w:fill="F5E9EB" w:val="clear"/>
            <w:tcMar>
              <w:top w:type="dxa" w:w="140"/>
              <w:left w:type="dxa" w:w="200"/>
              <w:bottom w:type="dxa" w:w="140"/>
              <w:right w:type="dxa" w:w="160"/>
            </w:tcMar>
          </w:tcPr>
          <w:p>
            <w:pPr>
              <w:spacing w:after="80" w:before="0"/>
            </w:pPr>
            <w:r>
              <w:rPr>
                <w:rFonts w:ascii="Georgia" w:cs="Georgia" w:eastAsia="Georgia" w:hAnsi="Georgia"/>
                <w:b/>
                <w:bCs/>
                <w:color w:val="7A1F2B"/>
                <w:sz w:val="22"/>
                <w:szCs w:val="22"/>
              </w:rPr>
              <w:t xml:space="preserve">Pattern recognition — SLiM CRAB is not Rai or Binet</w:t>
            </w:r>
          </w:p>
          <w:p>
            <w:pPr>
              <w:spacing w:after="0" w:before="0" w:line="280"/>
            </w:pPr>
            <w:r>
              <w:rPr>
                <w:rFonts w:ascii="Georgia" w:cs="Georgia" w:eastAsia="Georgia" w:hAnsi="Georgia"/>
                <w:color w:val="1D1D1D"/>
                <w:sz w:val="22"/>
                <w:szCs w:val="22"/>
              </w:rPr>
              <w:t xml:space="preserve">SLiM features (60% BMPC, FLC ratio above 100, more than one MRI focal lesion) define active myeloma even without overt end-organ damage. A patient with 70% BMPC and no CRAB still has myeloma and warrants treatment. Do not wait for CRAB to declare when SLiM is present.</w:t>
            </w:r>
          </w:p>
        </w:tc>
      </w:tr>
    </w:tbl>
    <w:p>
      <w:pPr>
        <w:pStyle w:val="Heading1"/>
        <w:spacing w:after="160" w:before="360"/>
      </w:pPr>
      <w:r>
        <w:rPr>
          <w:rFonts w:ascii="Georgia" w:cs="Georgia" w:eastAsia="Georgia" w:hAnsi="Georgia"/>
          <w:b/>
          <w:bCs/>
          <w:color w:val="7A1F2B"/>
          <w:sz w:val="30"/>
          <w:szCs w:val="30"/>
        </w:rPr>
        <w:t xml:space="preserve">3. </w:t>
      </w:r>
      <w:r>
        <w:rPr>
          <w:rFonts w:ascii="Georgia" w:cs="Georgia" w:eastAsia="Georgia" w:hAnsi="Georgia"/>
          <w:b/>
          <w:bCs/>
          <w:color w:val="7A1F2B"/>
          <w:sz w:val="30"/>
          <w:szCs w:val="30"/>
        </w:rPr>
        <w:t xml:space="preserve">Guideline Basis (Methodology)</w:t>
      </w:r>
    </w:p>
    <w:p>
      <w:pPr>
        <w:spacing w:after="80" w:before="80" w:line="300"/>
        <w:jc w:val="left"/>
      </w:pPr>
      <w:r>
        <w:rPr>
          <w:rFonts w:ascii="Georgia" w:cs="Georgia" w:eastAsia="Georgia" w:hAnsi="Georgia"/>
          <w:b w:val="false"/>
          <w:bCs w:val="false"/>
          <w:i w:val="false"/>
          <w:iCs w:val="false"/>
          <w:color w:val="1D1D1D"/>
          <w:sz w:val="22"/>
          <w:szCs w:val="22"/>
        </w:rPr>
        <w:t xml:space="preserve">This document integrates UK, European and international evidence frameworks. Each recommendation is tagged with its source society and, where available, evidence grade. UK clinical practice statements are drawn from BSH/UKMS/UKMF and NICE; European context is drawn from EHA-EMN 2025; international diagnostic and response criteria are drawn from IMWG.</w:t>
      </w:r>
    </w:p>
    <w:p>
      <w:pPr>
        <w:spacing w:after="80" w:before="180"/>
      </w:pPr>
      <w:r>
        <w:rPr>
          <w:rFonts w:ascii="Georgia" w:cs="Georgia" w:eastAsia="Georgia" w:hAnsi="Georgia"/>
          <w:b/>
          <w:bCs/>
          <w:color w:val="1D1D1D"/>
          <w:sz w:val="24"/>
          <w:szCs w:val="24"/>
        </w:rPr>
        <w:t xml:space="preserve">PICO framework</w:t>
      </w:r>
    </w:p>
    <w:p>
      <w:pPr>
        <w:spacing w:after="80" w:before="80" w:line="300"/>
        <w:jc w:val="left"/>
      </w:pPr>
      <w:r>
        <w:rPr>
          <w:rFonts w:ascii="Georgia" w:cs="Georgia" w:eastAsia="Georgia" w:hAnsi="Georgia"/>
          <w:b/>
          <w:bCs/>
          <w:i w:val="false"/>
          <w:iCs w:val="false"/>
          <w:color w:val="1D1D1D"/>
          <w:sz w:val="22"/>
          <w:szCs w:val="22"/>
        </w:rPr>
        <w:t xml:space="preserve">P — Population: </w:t>
      </w:r>
      <w:r>
        <w:rPr>
          <w:rFonts w:ascii="Georgia" w:cs="Georgia" w:eastAsia="Georgia" w:hAnsi="Georgia"/>
          <w:b w:val="false"/>
          <w:bCs w:val="false"/>
          <w:i w:val="false"/>
          <w:iCs w:val="false"/>
          <w:color w:val="1D1D1D"/>
          <w:sz w:val="22"/>
          <w:szCs w:val="22"/>
        </w:rPr>
        <w:t xml:space="preserve">adults (18 years and over) with confirmed MGUS, SMM, MGRS, NDMM (transplant-eligible or ineligible), high-risk myeloma, or relapsed/refractory disease.</w:t>
      </w:r>
    </w:p>
    <w:p>
      <w:pPr>
        <w:spacing w:after="80" w:before="80" w:line="300"/>
        <w:jc w:val="left"/>
      </w:pPr>
      <w:r>
        <w:rPr>
          <w:rFonts w:ascii="Georgia" w:cs="Georgia" w:eastAsia="Georgia" w:hAnsi="Georgia"/>
          <w:b/>
          <w:bCs/>
          <w:i w:val="false"/>
          <w:iCs w:val="false"/>
          <w:color w:val="1D1D1D"/>
          <w:sz w:val="22"/>
          <w:szCs w:val="22"/>
        </w:rPr>
        <w:t xml:space="preserve">I — Intervention: </w:t>
      </w:r>
      <w:r>
        <w:rPr>
          <w:rFonts w:ascii="Georgia" w:cs="Georgia" w:eastAsia="Georgia" w:hAnsi="Georgia"/>
          <w:b w:val="false"/>
          <w:bCs w:val="false"/>
          <w:i w:val="false"/>
          <w:iCs w:val="false"/>
          <w:color w:val="1D1D1D"/>
          <w:sz w:val="22"/>
          <w:szCs w:val="22"/>
        </w:rPr>
        <w:t xml:space="preserve">surveillance protocols; proteasome inhibitors (bortezomib, carfilzomib, ixazomib); immunomodulatory agents (lenalidomide, pomalidomide, thalidomide); anti-CD38 monoclonal antibodies (daratumumab, isatuximab); high-dose melphalan and ASCT; BCMA-directed T-cell engagers (teclistamab, elranatamab, linvoseltamab); GPRC5D T-cell engager (talquetamab); BCMA CAR-T (ide-cel, cilta-cel); BCL2 inhibitor in t(11;14) (venetoclax, off-label in UK); selective inhibitor of nuclear export (selinexor); BCMA antibody-drug conjugate (belantamab mafodotin).</w:t>
      </w:r>
    </w:p>
    <w:p>
      <w:pPr>
        <w:spacing w:after="80" w:before="80" w:line="300"/>
        <w:jc w:val="left"/>
      </w:pPr>
      <w:r>
        <w:rPr>
          <w:rFonts w:ascii="Georgia" w:cs="Georgia" w:eastAsia="Georgia" w:hAnsi="Georgia"/>
          <w:b/>
          <w:bCs/>
          <w:i w:val="false"/>
          <w:iCs w:val="false"/>
          <w:color w:val="1D1D1D"/>
          <w:sz w:val="22"/>
          <w:szCs w:val="22"/>
        </w:rPr>
        <w:t xml:space="preserve">C — Comparator: </w:t>
      </w:r>
      <w:r>
        <w:rPr>
          <w:rFonts w:ascii="Georgia" w:cs="Georgia" w:eastAsia="Georgia" w:hAnsi="Georgia"/>
          <w:b w:val="false"/>
          <w:bCs w:val="false"/>
          <w:i w:val="false"/>
          <w:iCs w:val="false"/>
          <w:color w:val="1D1D1D"/>
          <w:sz w:val="22"/>
          <w:szCs w:val="22"/>
        </w:rPr>
        <w:t xml:space="preserve">alternative regimens within or across drug classes; clinical trial enrolment; supportive care alone in selected late-line patients.</w:t>
      </w:r>
    </w:p>
    <w:p>
      <w:pPr>
        <w:spacing w:after="80" w:before="80" w:line="300"/>
        <w:jc w:val="left"/>
      </w:pPr>
      <w:r>
        <w:rPr>
          <w:rFonts w:ascii="Georgia" w:cs="Georgia" w:eastAsia="Georgia" w:hAnsi="Georgia"/>
          <w:b/>
          <w:bCs/>
          <w:i w:val="false"/>
          <w:iCs w:val="false"/>
          <w:color w:val="1D1D1D"/>
          <w:sz w:val="22"/>
          <w:szCs w:val="22"/>
        </w:rPr>
        <w:t xml:space="preserve">O — Outcomes: </w:t>
      </w:r>
      <w:r>
        <w:rPr>
          <w:rFonts w:ascii="Georgia" w:cs="Georgia" w:eastAsia="Georgia" w:hAnsi="Georgia"/>
          <w:b w:val="false"/>
          <w:bCs w:val="false"/>
          <w:i w:val="false"/>
          <w:iCs w:val="false"/>
          <w:color w:val="1D1D1D"/>
          <w:sz w:val="22"/>
          <w:szCs w:val="22"/>
        </w:rPr>
        <w:t xml:space="preserve">progression-free survival, overall survival, MRD-negativity (10 to the minus 5 and 10 to the minus 6), overall response rate, treatment-related mortality, infection rate, quality of life, treatment-free interval.</w:t>
      </w:r>
    </w:p>
    <w:p>
      <w:pPr>
        <w:spacing w:after="80" w:before="180"/>
      </w:pPr>
      <w:r>
        <w:rPr>
          <w:rFonts w:ascii="Georgia" w:cs="Georgia" w:eastAsia="Georgia" w:hAnsi="Georgia"/>
          <w:b/>
          <w:bCs/>
          <w:color w:val="1D1D1D"/>
          <w:sz w:val="24"/>
          <w:szCs w:val="24"/>
        </w:rPr>
        <w:t xml:space="preserve">Source societies and frameworks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BSH and UK Myeloma Society / UK Myeloma Forum — UK national guideline framework; primary driver for UK practice (Snowden 2017, Sive 2021, Stern 2023, Hughes 2024, two Kaiser 2024 papers, Pinney 2025, Jenner 2025).</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NICE — NG35 (diagnosis and management) and the individual technology appraisals listed in Section 1.</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EHA-EMN 2025 — European Hematology Association / European Myeloma Network evidence-based guideline (Dimopoulos 2025, Nat Rev Clin Oncol). Replaces EHA-ESMO 2021.</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IMWG — 2014 diagnostic criteria (Rajkumar), 2020 risk model for SMM (Mateos), 2021 PCL redefinition (Fernandez de Larrea).</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IKMG 2019 — International Kidney and Monoclonal Gammopathy Research Group consensus on MGRS (Leung).</w:t>
      </w:r>
    </w:p>
    <w:p>
      <w:pPr>
        <w:spacing w:after="80" w:before="180"/>
      </w:pPr>
      <w:r>
        <w:rPr>
          <w:rFonts w:ascii="Georgia" w:cs="Georgia" w:eastAsia="Georgia" w:hAnsi="Georgia"/>
          <w:b/>
          <w:bCs/>
          <w:color w:val="1D1D1D"/>
          <w:sz w:val="24"/>
          <w:szCs w:val="24"/>
        </w:rPr>
        <w:t xml:space="preserve">Evidence grading</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High: </w:t>
      </w:r>
      <w:r>
        <w:rPr>
          <w:rFonts w:ascii="Georgia" w:cs="Georgia" w:eastAsia="Georgia" w:hAnsi="Georgia"/>
          <w:b w:val="false"/>
          <w:bCs w:val="false"/>
          <w:i w:val="false"/>
          <w:iCs w:val="false"/>
          <w:color w:val="1D1D1D"/>
          <w:sz w:val="22"/>
          <w:szCs w:val="22"/>
        </w:rPr>
        <w:t xml:space="preserve">RCTs or meta-analyses with consistent results.</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Moderate: </w:t>
      </w:r>
      <w:r>
        <w:rPr>
          <w:rFonts w:ascii="Georgia" w:cs="Georgia" w:eastAsia="Georgia" w:hAnsi="Georgia"/>
          <w:b w:val="false"/>
          <w:bCs w:val="false"/>
          <w:i w:val="false"/>
          <w:iCs w:val="false"/>
          <w:color w:val="1D1D1D"/>
          <w:sz w:val="22"/>
          <w:szCs w:val="22"/>
        </w:rPr>
        <w:t xml:space="preserve">RCTs with limitations or observational data with a strong effect size.</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Low: </w:t>
      </w:r>
      <w:r>
        <w:rPr>
          <w:rFonts w:ascii="Georgia" w:cs="Georgia" w:eastAsia="Georgia" w:hAnsi="Georgia"/>
          <w:b w:val="false"/>
          <w:bCs w:val="false"/>
          <w:i w:val="false"/>
          <w:iCs w:val="false"/>
          <w:color w:val="1D1D1D"/>
          <w:sz w:val="22"/>
          <w:szCs w:val="22"/>
        </w:rPr>
        <w:t xml:space="preserve">Observational or indirect evidence.</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Very low: </w:t>
      </w:r>
      <w:r>
        <w:rPr>
          <w:rFonts w:ascii="Georgia" w:cs="Georgia" w:eastAsia="Georgia" w:hAnsi="Georgia"/>
          <w:b w:val="false"/>
          <w:bCs w:val="false"/>
          <w:i w:val="false"/>
          <w:iCs w:val="false"/>
          <w:color w:val="1D1D1D"/>
          <w:sz w:val="22"/>
          <w:szCs w:val="22"/>
        </w:rPr>
        <w:t xml:space="preserve">Case series or expert opinion.</w:t>
      </w:r>
    </w:p>
    <w:p>
      <w:pPr>
        <w:pStyle w:val="Heading1"/>
        <w:spacing w:after="160" w:before="360"/>
      </w:pPr>
      <w:r>
        <w:rPr>
          <w:rFonts w:ascii="Georgia" w:cs="Georgia" w:eastAsia="Georgia" w:hAnsi="Georgia"/>
          <w:b/>
          <w:bCs/>
          <w:color w:val="7A1F2B"/>
          <w:sz w:val="30"/>
          <w:szCs w:val="30"/>
        </w:rPr>
        <w:t xml:space="preserve">4. </w:t>
      </w:r>
      <w:r>
        <w:rPr>
          <w:rFonts w:ascii="Georgia" w:cs="Georgia" w:eastAsia="Georgia" w:hAnsi="Georgia"/>
          <w:b/>
          <w:bCs/>
          <w:color w:val="7A1F2B"/>
          <w:sz w:val="30"/>
          <w:szCs w:val="30"/>
        </w:rPr>
        <w:t xml:space="preserve">The Plasma Cell Disease Continuum</w:t>
      </w:r>
    </w:p>
    <w:p>
      <w:pPr>
        <w:spacing w:after="80" w:before="80" w:line="300"/>
        <w:jc w:val="left"/>
      </w:pPr>
      <w:r>
        <w:rPr>
          <w:rFonts w:ascii="Georgia" w:cs="Georgia" w:eastAsia="Georgia" w:hAnsi="Georgia"/>
          <w:b w:val="false"/>
          <w:bCs w:val="false"/>
          <w:i w:val="false"/>
          <w:iCs w:val="false"/>
          <w:color w:val="1D1D1D"/>
          <w:sz w:val="22"/>
          <w:szCs w:val="22"/>
        </w:rPr>
        <w:t xml:space="preserve">The boundary between MGUS, SMM and active myeloma is biological rather than absolute. Disease moves along the continuum at a rate that varies with clonal burden, cytogenetic features and host factors. A consistent monitoring framework, with timely transitions in care intensity, prevents both overtreatment and missed progression.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26"/>
      </w:tblGrid>
      <w:tr>
        <w:trPr>
          <w:tblHeader/>
        </w:trPr>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State</w:t>
            </w:r>
          </w:p>
        </w:tc>
        <w:tc>
          <w:tcPr>
            <w:tcW w:type="dxa" w:w="22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Prevalence</w:t>
            </w:r>
          </w:p>
        </w:tc>
        <w:tc>
          <w:tcPr>
            <w:tcW w:type="dxa" w:w="22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Annual progression to MM</w:t>
            </w:r>
          </w:p>
        </w:tc>
        <w:tc>
          <w:tcPr>
            <w:tcW w:type="dxa" w:w="22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Action</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MGUS (Mayo low-risk)</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~3% of those aged 50+</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~0.3 to 0.5% per year</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Primary-care surveillance after baseline confirmation</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MGUS (Mayo high-risk)</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~5 to 10% of MGUS</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 to 3% per year</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Annual haematology review, BM and imaging at baseline</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SMM (Mayo 20-2-20, 0 factors)</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~20% of SMM</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 over 2 years</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6–12 monthly surveillance</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SMM (1 factor)</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~40% of SMM</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~26% over 2 years</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3-monthly surveillance, trial consideration</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SMM (2 or more factors)</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~40% of SMM</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~47% over 2 years</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3-monthly surveillance, trial consideration mandatory</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Active myeloma</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~6 per 100,000/year (UK)</w:t>
            </w:r>
          </w:p>
        </w:tc>
        <w:tc>
          <w:tcPr>
            <w:tcW w:type="dxa" w:w="2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n/a</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Specialist MDT treatment pathway</w:t>
            </w:r>
          </w:p>
        </w:tc>
      </w:tr>
    </w:tbl>
    <w:p>
      <w:pPr>
        <w:spacing w:after="80" w:before="80" w:line="300"/>
        <w:jc w:val="left"/>
      </w:pPr>
      <w:r>
        <w:rPr>
          <w:rFonts w:ascii="Georgia" w:cs="Georgia" w:eastAsia="Georgia" w:hAnsi="Georgia"/>
          <w:b w:val="false"/>
          <w:bCs w:val="false"/>
          <w:i/>
          <w:iCs/>
          <w:color w:val="4A4A4A"/>
          <w:sz w:val="18"/>
          <w:szCs w:val="18"/>
        </w:rPr>
        <w:t xml:space="preserve">Sources: Stern 2023 BSH MGUS; Hughes 2024 BSH SMM; Lakshman 2018; Mateos 2020.</w:t>
      </w:r>
    </w:p>
    <w:p>
      <w:pPr>
        <w:pStyle w:val="Heading1"/>
        <w:spacing w:after="160" w:before="360"/>
      </w:pPr>
      <w:r>
        <w:rPr>
          <w:rFonts w:ascii="Georgia" w:cs="Georgia" w:eastAsia="Georgia" w:hAnsi="Georgia"/>
          <w:b/>
          <w:bCs/>
          <w:color w:val="7A1F2B"/>
          <w:sz w:val="30"/>
          <w:szCs w:val="30"/>
        </w:rPr>
        <w:t xml:space="preserve">5. </w:t>
      </w:r>
      <w:r>
        <w:rPr>
          <w:rFonts w:ascii="Georgia" w:cs="Georgia" w:eastAsia="Georgia" w:hAnsi="Georgia"/>
          <w:b/>
          <w:bCs/>
          <w:color w:val="7A1F2B"/>
          <w:sz w:val="30"/>
          <w:szCs w:val="30"/>
        </w:rPr>
        <w:t xml:space="preserve">MGUS — Investigation and Risk Stratification</w:t>
      </w:r>
    </w:p>
    <w:p>
      <w:pPr>
        <w:spacing w:after="80" w:before="80" w:line="300"/>
        <w:jc w:val="left"/>
      </w:pPr>
      <w:r>
        <w:rPr>
          <w:rFonts w:ascii="Georgia" w:cs="Georgia" w:eastAsia="Georgia" w:hAnsi="Georgia"/>
          <w:b w:val="false"/>
          <w:bCs w:val="false"/>
          <w:i w:val="false"/>
          <w:iCs w:val="false"/>
          <w:color w:val="1D1D1D"/>
          <w:sz w:val="22"/>
          <w:szCs w:val="22"/>
        </w:rPr>
        <w:t xml:space="preserve">MGUS is defined by a serum M-protein below 30 g/L, clonal bone marrow plasma cells below 10 per cent, and the absence of any feature of myeloma or a related lymphoplasmacytic malignancy. Prevalence is approximately 3 per cent over the age of 50 and rises with age. Most patients die of unrelated causes. The average risk of progression to a related malignancy is approximately 1 per cent per year and persists beyond 25 years. IgM MGUS is more likely to progress to lymphoplasmacytic lymphoma or Waldenstrom macroglobulinaemia than to myeloma.</w:t>
      </w:r>
    </w:p>
    <w:p>
      <w:pPr>
        <w:spacing w:after="80" w:before="180"/>
      </w:pPr>
      <w:r>
        <w:rPr>
          <w:rFonts w:ascii="Georgia" w:cs="Georgia" w:eastAsia="Georgia" w:hAnsi="Georgia"/>
          <w:b/>
          <w:bCs/>
          <w:color w:val="1D1D1D"/>
          <w:sz w:val="24"/>
          <w:szCs w:val="24"/>
        </w:rPr>
        <w:t xml:space="preserve">Initial investigations (all patients)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FBC, urea and electrolytes, eGFR, corrected calcium, albumin.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Urine dipstick for proteinuria; if positive, send urine protein:creatinine ratio (PCR) or albumin:creatinine ratio (ACR).</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Serum protein electrophoresis with quantification of the M-protein and uninvolved immunoglobulins.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Immunofixation to confirm M-protein type.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Serum free light chain assay (kappa, lambda, ratio).</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Serum LDH and beta-2 microglobulin only if myeloma is suspected.</w:t>
      </w:r>
    </w:p>
    <w:p>
      <w:pPr>
        <w:spacing w:after="80" w:before="80" w:line="300"/>
        <w:jc w:val="left"/>
      </w:pPr>
      <w:r>
        <w:rPr>
          <w:rFonts w:ascii="Georgia" w:cs="Georgia" w:eastAsia="Georgia" w:hAnsi="Georgia"/>
          <w:b w:val="false"/>
          <w:bCs w:val="false"/>
          <w:i w:val="false"/>
          <w:iCs w:val="false"/>
          <w:color w:val="1D1D1D"/>
          <w:sz w:val="22"/>
          <w:szCs w:val="22"/>
        </w:rPr>
        <w:t xml:space="preserve">Serum FLC testing is central to assessment. Routine 24-hour urine collection is not required for initial screening in most UK pathways. Urine studies remain important where local laboratory protocols, amyloid/MGRS assessment, response assessment or trial requirements specify them.</w:t>
      </w:r>
    </w:p>
    <w:p>
      <w:pPr>
        <w:spacing w:after="80" w:before="180"/>
      </w:pPr>
      <w:r>
        <w:rPr>
          <w:rFonts w:ascii="Georgia" w:cs="Georgia" w:eastAsia="Georgia" w:hAnsi="Georgia"/>
          <w:b/>
          <w:bCs/>
          <w:color w:val="1D1D1D"/>
          <w:sz w:val="24"/>
          <w:szCs w:val="24"/>
        </w:rPr>
        <w:t xml:space="preserve">Mayo Clinic risk stratification — preferred UK model</w:t>
      </w:r>
    </w:p>
    <w:p>
      <w:pPr>
        <w:spacing w:after="80" w:before="80" w:line="300"/>
        <w:jc w:val="left"/>
      </w:pPr>
      <w:r>
        <w:rPr>
          <w:rFonts w:ascii="Georgia" w:cs="Georgia" w:eastAsia="Georgia" w:hAnsi="Georgia"/>
          <w:b w:val="false"/>
          <w:bCs w:val="false"/>
          <w:i w:val="false"/>
          <w:iCs w:val="false"/>
          <w:color w:val="1D1D1D"/>
          <w:sz w:val="22"/>
          <w:szCs w:val="22"/>
        </w:rPr>
        <w:t xml:space="preserve">The 2005 Mayo Clinic model uses three readily available variables: an abnormal kappa to lambda FLC ratio (below 0.26 or above 1.65), a serum M-protein above 15 g/L, and a non-IgG isotype (IgA or IgM). Patients are stratified by the number of risk factors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rPr>
          <w:tblHeader/>
        </w:trPr>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Risk factors</w:t>
            </w:r>
          </w:p>
        </w:tc>
        <w:tc>
          <w:tcPr>
            <w:tcW w:type="dxa" w:w="3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Risk group</w:t>
            </w:r>
          </w:p>
        </w:tc>
        <w:tc>
          <w:tcPr>
            <w:tcW w:type="dxa" w:w="36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Absolute risk of progression at 20 years</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0</w:t>
            </w:r>
          </w:p>
        </w:tc>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Low risk</w:t>
            </w:r>
          </w:p>
        </w:tc>
        <w:tc>
          <w:tcPr>
            <w:tcW w:type="dxa" w:w="3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w:t>
            </w:r>
          </w:p>
        </w:tc>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Low-intermediate</w:t>
            </w:r>
          </w:p>
        </w:tc>
        <w:tc>
          <w:tcPr>
            <w:tcW w:type="dxa" w:w="3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w:t>
            </w:r>
          </w:p>
        </w:tc>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High-intermediate</w:t>
            </w:r>
          </w:p>
        </w:tc>
        <w:tc>
          <w:tcPr>
            <w:tcW w:type="dxa" w:w="3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18%</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3</w:t>
            </w:r>
          </w:p>
        </w:tc>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High risk</w:t>
            </w:r>
          </w:p>
        </w:tc>
        <w:tc>
          <w:tcPr>
            <w:tcW w:type="dxa" w:w="3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27%</w:t>
            </w:r>
          </w:p>
        </w:tc>
      </w:tr>
    </w:tbl>
    <w:p>
      <w:pPr>
        <w:spacing w:after="80" w:before="80" w:line="300"/>
        <w:jc w:val="left"/>
      </w:pPr>
      <w:r>
        <w:rPr>
          <w:rFonts w:ascii="Georgia" w:cs="Georgia" w:eastAsia="Georgia" w:hAnsi="Georgia"/>
          <w:b w:val="false"/>
          <w:bCs w:val="false"/>
          <w:i/>
          <w:iCs/>
          <w:color w:val="4A4A4A"/>
          <w:sz w:val="18"/>
          <w:szCs w:val="18"/>
        </w:rPr>
        <w:t xml:space="preserve">Source: Rajkumar 2005 (Blood); endorsed by Stern 2023 BSH Good Practice Paper.</w:t>
      </w:r>
    </w:p>
    <w:p>
      <w:pPr>
        <w:spacing w:after="80" w:before="180"/>
      </w:pPr>
      <w:r>
        <w:rPr>
          <w:rFonts w:ascii="Georgia" w:cs="Georgia" w:eastAsia="Georgia" w:hAnsi="Georgia"/>
          <w:b/>
          <w:bCs/>
          <w:color w:val="1D1D1D"/>
          <w:sz w:val="24"/>
          <w:szCs w:val="24"/>
        </w:rPr>
        <w:t xml:space="preserve">Bone marrow and imaging — risk-stratified</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Low and low-intermediate risk MGUS: </w:t>
      </w:r>
      <w:r>
        <w:rPr>
          <w:rFonts w:ascii="Georgia" w:cs="Georgia" w:eastAsia="Georgia" w:hAnsi="Georgia"/>
          <w:b w:val="false"/>
          <w:bCs w:val="false"/>
          <w:i w:val="false"/>
          <w:iCs w:val="false"/>
          <w:color w:val="1D1D1D"/>
          <w:sz w:val="22"/>
          <w:szCs w:val="22"/>
        </w:rPr>
        <w:t xml:space="preserve">no bone marrow examination and no imaging at diagnosis.</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High-intermediate and high-risk MGUS: </w:t>
      </w:r>
      <w:r>
        <w:rPr>
          <w:rFonts w:ascii="Georgia" w:cs="Georgia" w:eastAsia="Georgia" w:hAnsi="Georgia"/>
          <w:b w:val="false"/>
          <w:bCs w:val="false"/>
          <w:i w:val="false"/>
          <w:iCs w:val="false"/>
          <w:color w:val="1D1D1D"/>
          <w:sz w:val="22"/>
          <w:szCs w:val="22"/>
        </w:rPr>
        <w:t xml:space="preserve">bone marrow aspirate, trephine, plasma cell immunophenotyping and FISH; whole-body imaging (low-dose WB-CT, WB-MRI or PET-CT, by clinical question and local access).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At the high-intermediate or high-risk threshold, also send urine ACR, troponin and NT-proBNP to screen for AL amyloidosis.</w:t>
      </w:r>
    </w:p>
    <w:p>
      <w:pPr>
        <w:spacing w:after="80" w:before="180"/>
      </w:pPr>
      <w:r>
        <w:rPr>
          <w:rFonts w:ascii="Georgia" w:cs="Georgia" w:eastAsia="Georgia" w:hAnsi="Georgia"/>
          <w:b/>
          <w:bCs/>
          <w:color w:val="1D1D1D"/>
          <w:sz w:val="24"/>
          <w:szCs w:val="24"/>
        </w:rPr>
        <w:t xml:space="preserve">Monitoring schedule</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All newly diagnosed MGUS: </w:t>
      </w:r>
      <w:r>
        <w:rPr>
          <w:rFonts w:ascii="Georgia" w:cs="Georgia" w:eastAsia="Georgia" w:hAnsi="Georgia"/>
          <w:b w:val="false"/>
          <w:bCs w:val="false"/>
          <w:i w:val="false"/>
          <w:iCs w:val="false"/>
          <w:color w:val="1D1D1D"/>
          <w:sz w:val="22"/>
          <w:szCs w:val="22"/>
        </w:rPr>
        <w:t xml:space="preserve">repeat FBC, creatinine, calcium, M-protein and serum FLC at 6 months.</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Low-risk MGUS: </w:t>
      </w:r>
      <w:r>
        <w:rPr>
          <w:rFonts w:ascii="Georgia" w:cs="Georgia" w:eastAsia="Georgia" w:hAnsi="Georgia"/>
          <w:b w:val="false"/>
          <w:bCs w:val="false"/>
          <w:i w:val="false"/>
          <w:iCs w:val="false"/>
          <w:color w:val="1D1D1D"/>
          <w:sz w:val="22"/>
          <w:szCs w:val="22"/>
        </w:rPr>
        <w:t xml:space="preserve">annually thereafter; consider longer intervals or discharge to primary care where life expectancy is short.</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Low-intermediate MGUS: </w:t>
      </w:r>
      <w:r>
        <w:rPr>
          <w:rFonts w:ascii="Georgia" w:cs="Georgia" w:eastAsia="Georgia" w:hAnsi="Georgia"/>
          <w:b w:val="false"/>
          <w:bCs w:val="false"/>
          <w:i w:val="false"/>
          <w:iCs w:val="false"/>
          <w:color w:val="1D1D1D"/>
          <w:sz w:val="22"/>
          <w:szCs w:val="22"/>
        </w:rPr>
        <w:t xml:space="preserve">annual review in primary or secondary care.</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High-intermediate and high-risk MGUS: </w:t>
      </w:r>
      <w:r>
        <w:rPr>
          <w:rFonts w:ascii="Georgia" w:cs="Georgia" w:eastAsia="Georgia" w:hAnsi="Georgia"/>
          <w:b w:val="false"/>
          <w:bCs w:val="false"/>
          <w:i w:val="false"/>
          <w:iCs w:val="false"/>
          <w:color w:val="1D1D1D"/>
          <w:sz w:val="22"/>
          <w:szCs w:val="22"/>
        </w:rPr>
        <w:t xml:space="preserve">annual secondary-care review (virtual or face-to-face). Re-stratify formally every 3 years.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Any progressive rise in M-protein or FLC, or development of anaemia, ESR rise, renal impairment, hypercalcaemia or new bone pain, prompts urgent reassessment.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7A1F2B" w:sz="16"/>
              <w:bottom w:val="single" w:color="D8C9CB" w:sz="4"/>
              <w:right w:val="single" w:color="D8C9CB" w:sz="4"/>
            </w:tcBorders>
            <w:shd w:fill="F5E9EB" w:val="clear"/>
            <w:tcMar>
              <w:top w:type="dxa" w:w="140"/>
              <w:left w:type="dxa" w:w="200"/>
              <w:bottom w:type="dxa" w:w="140"/>
              <w:right w:type="dxa" w:w="160"/>
            </w:tcMar>
          </w:tcPr>
          <w:p>
            <w:pPr>
              <w:spacing w:after="80" w:before="0"/>
            </w:pPr>
            <w:r>
              <w:rPr>
                <w:rFonts w:ascii="Georgia" w:cs="Georgia" w:eastAsia="Georgia" w:hAnsi="Georgia"/>
                <w:b/>
                <w:bCs/>
                <w:color w:val="7A1F2B"/>
                <w:sz w:val="22"/>
                <w:szCs w:val="22"/>
              </w:rPr>
              <w:t xml:space="preserve">Pattern recognition — IgM MGUS</w:t>
            </w:r>
          </w:p>
          <w:p>
            <w:pPr>
              <w:spacing w:after="0" w:before="0" w:line="280"/>
            </w:pPr>
            <w:r>
              <w:rPr>
                <w:rFonts w:ascii="Georgia" w:cs="Georgia" w:eastAsia="Georgia" w:hAnsi="Georgia"/>
                <w:color w:val="1D1D1D"/>
                <w:sz w:val="22"/>
                <w:szCs w:val="22"/>
              </w:rPr>
              <w:t xml:space="preserve">IgM MGUS is biologically distinct. It carries a different progression risk profile (lymphoplasmacytic lymphoma / Waldenstrom macroglobulinaemia rather than myeloma) and a different surveillance pathway. CT neck-thorax-abdomen-pelvis at baseline is appropriate where the IgM concentration is rising or symptoms suggest nodal disease.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rPr>
                <w:rFonts w:ascii="Georgia" w:cs="Georgia" w:eastAsia="Georgia" w:hAnsi="Georgia"/>
                <w:b/>
                <w:bCs/>
                <w:color w:val="C87A00"/>
                <w:sz w:val="22"/>
                <w:szCs w:val="22"/>
              </w:rPr>
              <w:t xml:space="preserve">Common pitfall — proteinuria assumed benign</w:t>
            </w:r>
          </w:p>
          <w:p>
            <w:pPr>
              <w:spacing w:after="0" w:before="0" w:line="280"/>
            </w:pPr>
            <w:r>
              <w:rPr>
                <w:rFonts w:ascii="Georgia" w:cs="Georgia" w:eastAsia="Georgia" w:hAnsi="Georgia"/>
                <w:color w:val="1D1D1D"/>
                <w:sz w:val="22"/>
                <w:szCs w:val="22"/>
              </w:rPr>
              <w:t xml:space="preserve">Urine dipstick is insensitive to light chains. A "trace" or "negative" dipstick does not exclude significant Bence Jones proteinuria. Always send urine ACR (not PCR) where AL amyloid or MGRS is in the differential.</w:t>
            </w:r>
          </w:p>
        </w:tc>
      </w:tr>
    </w:tbl>
    <w:p>
      <w:pPr>
        <w:spacing w:after="80" w:before="180"/>
      </w:pPr>
      <w:r>
        <w:rPr>
          <w:rFonts w:ascii="Georgia" w:cs="Georgia" w:eastAsia="Georgia" w:hAnsi="Georgia"/>
          <w:b/>
          <w:bCs/>
          <w:color w:val="1D1D1D"/>
          <w:sz w:val="24"/>
          <w:szCs w:val="24"/>
        </w:rPr>
        <w:t xml:space="preserve">BSH 2023 recommendations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Risk-stratify all newly diagnosed MGUS using a validated published model that does not require bone marrow biopsy (Mayo criteria preferred).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Low and low-intermediate risk MGUS do not need bone marrow examination or imaging at diagnosis.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High-intermediate and high-risk MGUS need bone marrow examination and whole-body imaging.</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Decisions to treat MGCS with systemic chemotherapy must be made through an MDT with appropriate sub-specialty representation.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Clear information and psychological support at diagnosis and at each review.</w:t>
      </w:r>
    </w:p>
    <w:p>
      <w:pPr>
        <w:spacing w:after="80" w:before="180"/>
      </w:pPr>
      <w:r>
        <w:rPr>
          <w:rFonts w:ascii="Georgia" w:cs="Georgia" w:eastAsia="Georgia" w:hAnsi="Georgia"/>
          <w:b/>
          <w:bCs/>
          <w:color w:val="1D1D1D"/>
          <w:sz w:val="24"/>
          <w:szCs w:val="24"/>
        </w:rPr>
        <w:t xml:space="preserve">MGCS — monoclonal gammopathy of clinical significance</w:t>
      </w:r>
    </w:p>
    <w:p>
      <w:pPr>
        <w:spacing w:after="80" w:before="80" w:line="300"/>
        <w:jc w:val="left"/>
      </w:pPr>
      <w:r>
        <w:rPr>
          <w:rFonts w:ascii="Georgia" w:cs="Georgia" w:eastAsia="Georgia" w:hAnsi="Georgia"/>
          <w:b w:val="false"/>
          <w:bCs w:val="false"/>
          <w:i w:val="false"/>
          <w:iCs w:val="false"/>
          <w:color w:val="1D1D1D"/>
          <w:sz w:val="22"/>
          <w:szCs w:val="22"/>
        </w:rPr>
        <w:t xml:space="preserve">MGCS describes organ damage from a small B-cell or plasma cell clone where criteria for haematological malignancy are not met. Recognised entities include scleromyxoedema, IgM-associated peripheral neuropathy, cold agglutinin disease, POEMS syndrome, Schnitzler syndrome, type 2 mixed cryoglobulinaemia and capillary leak syndrome. Management is sub-specialty led with MDT input.</w:t>
      </w:r>
    </w:p>
    <w:p>
      <w:pPr>
        <w:spacing w:after="80" w:before="180"/>
      </w:pPr>
      <w:r>
        <w:rPr>
          <w:rFonts w:ascii="Georgia" w:cs="Georgia" w:eastAsia="Georgia" w:hAnsi="Georgia"/>
          <w:b/>
          <w:bCs/>
          <w:color w:val="1D1D1D"/>
          <w:sz w:val="24"/>
          <w:szCs w:val="24"/>
        </w:rPr>
        <w:t xml:space="preserve">Other MGUS-associated risks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Increased risk of axial fractures; optimise vitamin D and calcium; consider DEXA in patients with additional osteoporosis risk factors.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Modestly increased risk of venous (and to a lesser extent arterial) thrombosis; routine primary thromboprophylaxis is not recommended.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Increased risk of bacterial infection; ensure vaccination is current.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Psychological burden of watch-and-wait should be acknowledged and supported at each visit.</w:t>
      </w:r>
    </w:p>
    <w:p>
      <w:pPr>
        <w:pStyle w:val="Heading1"/>
        <w:spacing w:after="160" w:before="360"/>
      </w:pPr>
      <w:r>
        <w:rPr>
          <w:rFonts w:ascii="Georgia" w:cs="Georgia" w:eastAsia="Georgia" w:hAnsi="Georgia"/>
          <w:b/>
          <w:bCs/>
          <w:color w:val="7A1F2B"/>
          <w:sz w:val="30"/>
          <w:szCs w:val="30"/>
        </w:rPr>
        <w:t xml:space="preserve">6. </w:t>
      </w:r>
      <w:r>
        <w:rPr>
          <w:rFonts w:ascii="Georgia" w:cs="Georgia" w:eastAsia="Georgia" w:hAnsi="Georgia"/>
          <w:b/>
          <w:bCs/>
          <w:color w:val="7A1F2B"/>
          <w:sz w:val="30"/>
          <w:szCs w:val="30"/>
        </w:rPr>
        <w:t xml:space="preserve">Smouldering Myeloma — Diagnosis, Risk and Monitoring</w:t>
      </w:r>
    </w:p>
    <w:p>
      <w:pPr>
        <w:spacing w:after="80" w:before="80" w:line="300"/>
        <w:jc w:val="left"/>
      </w:pPr>
      <w:r>
        <w:rPr>
          <w:rFonts w:ascii="Georgia" w:cs="Georgia" w:eastAsia="Georgia" w:hAnsi="Georgia"/>
          <w:b w:val="false"/>
          <w:bCs w:val="false"/>
          <w:i w:val="false"/>
          <w:iCs w:val="false"/>
          <w:color w:val="1D1D1D"/>
          <w:sz w:val="22"/>
          <w:szCs w:val="22"/>
        </w:rPr>
        <w:t xml:space="preserve">Smouldering myeloma sits between MGUS and active myeloma. Untreated, the rate of progression to symptomatic myeloma is approximately 10 per cent per year in the first five years, 3 per cent per year for the next five years, and 1 per cent per year thereafter. The risk varies widely with biological behaviour and is best estimated using a validated model.</w:t>
      </w:r>
    </w:p>
    <w:p>
      <w:pPr>
        <w:spacing w:after="80" w:before="180"/>
      </w:pPr>
      <w:r>
        <w:rPr>
          <w:rFonts w:ascii="Georgia" w:cs="Georgia" w:eastAsia="Georgia" w:hAnsi="Georgia"/>
          <w:b/>
          <w:bCs/>
          <w:color w:val="1D1D1D"/>
          <w:sz w:val="24"/>
          <w:szCs w:val="24"/>
        </w:rPr>
        <w:t xml:space="preserve">Diagnostic criteria (IMWG 2014)</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Serum M-protein 30 g/L or above, or urinary M-protein 500 mg/24h or above, and/or clonal bone marrow plasma cells 10 to 59 per cent.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Absence of myeloma-defining events (SLiM CRAB) and no amyloidosis.</w:t>
      </w:r>
    </w:p>
    <w:p>
      <w:pPr>
        <w:spacing w:after="80" w:before="180"/>
      </w:pPr>
      <w:r>
        <w:rPr>
          <w:rFonts w:ascii="Georgia" w:cs="Georgia" w:eastAsia="Georgia" w:hAnsi="Georgia"/>
          <w:b/>
          <w:bCs/>
          <w:color w:val="1D1D1D"/>
          <w:sz w:val="24"/>
          <w:szCs w:val="24"/>
        </w:rPr>
        <w:t xml:space="preserve">Investigations at diagnosis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Domain</w:t>
            </w:r>
          </w:p>
        </w:tc>
        <w:tc>
          <w:tcPr>
            <w:tcW w:type="dxa" w:w="66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Recommended tests</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Screening</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FBC, U and E, calcium, immunoglobulins, serum protein electrophoresis, immunofixation, serum FLC.</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Diagnostic</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Bone marrow aspirate and trephine with plasma cell phenotyping; cross-sectional imaging (WB-MRI preferred, then PET-CT, then low-dose WB-CT). Skeletal survey is not recommended as the sole staging investigation.</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Risk and prognosis</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Interphase FISH on CD138-selected cells for t(4;14), t(14;16), t(11;14), del(17p), gain(1q), del(1p); consider t(14;20), del(13q) and hyperdiploidy. Beta-2 microglobulin, LDH, albumin.</w:t>
            </w:r>
          </w:p>
        </w:tc>
      </w:tr>
      <w:tr>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Light-chain SMM or possible amyloidosis</w:t>
            </w:r>
          </w:p>
        </w:tc>
        <w:tc>
          <w:tcPr>
            <w:tcW w:type="dxa" w:w="6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Urine ACR, troponin, NT-proBNP; renal biopsy if SFLC below 500 mg/L and renal impairment is unexplained.</w:t>
            </w:r>
          </w:p>
        </w:tc>
      </w:tr>
    </w:tbl>
    <w:p>
      <w:pPr>
        <w:spacing w:after="80" w:before="180"/>
      </w:pPr>
      <w:r>
        <w:rPr>
          <w:rFonts w:ascii="Georgia" w:cs="Georgia" w:eastAsia="Georgia" w:hAnsi="Georgia"/>
          <w:b/>
          <w:bCs/>
          <w:color w:val="1D1D1D"/>
          <w:sz w:val="24"/>
          <w:szCs w:val="24"/>
        </w:rPr>
        <w:t xml:space="preserve">Risk stratification — Mayo 20-2-20 and IMWG 2020</w:t>
      </w:r>
    </w:p>
    <w:p>
      <w:pPr>
        <w:spacing w:after="80" w:before="80" w:line="300"/>
        <w:jc w:val="left"/>
      </w:pPr>
      <w:r>
        <w:rPr>
          <w:rFonts w:ascii="Georgia" w:cs="Georgia" w:eastAsia="Georgia" w:hAnsi="Georgia"/>
          <w:b w:val="false"/>
          <w:bCs w:val="false"/>
          <w:i w:val="false"/>
          <w:iCs w:val="false"/>
          <w:color w:val="1D1D1D"/>
          <w:sz w:val="22"/>
          <w:szCs w:val="22"/>
        </w:rPr>
        <w:t xml:space="preserve">BSH 2024 endorses the Mayo 20-2-20 (2018) and the updated IMWG 2020 model that incorporates FISH.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4626"/>
      </w:tblGrid>
      <w:tr>
        <w:trPr>
          <w:tblHeader/>
        </w:trPr>
        <w:tc>
          <w:tcPr>
            <w:tcW w:type="dxa" w:w="4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Risk factor</w:t>
            </w:r>
          </w:p>
        </w:tc>
        <w:tc>
          <w:tcPr>
            <w:tcW w:type="dxa" w:w="46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Threshold</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Bone marrow plasma cells</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Above 20%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Serum M-protein</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Above 20 g/L</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Involved to uninvolved SFLC ratio</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Above 20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High-risk cytogenetics (IMWG 2020 only)</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t(4;14), t(14;16), gain(1q), monosomy 13 or del(13q)</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Risk group (Mayo 20-2-20)</w:t>
            </w:r>
          </w:p>
        </w:tc>
        <w:tc>
          <w:tcPr>
            <w:tcW w:type="dxa" w:w="3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2-year progression risk</w:t>
            </w:r>
          </w:p>
        </w:tc>
        <w:tc>
          <w:tcPr>
            <w:tcW w:type="dxa" w:w="30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Median time to progression</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Low (0 risk factors)</w:t>
            </w:r>
          </w:p>
        </w:tc>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w:t>
            </w:r>
          </w:p>
        </w:tc>
        <w:tc>
          <w:tcPr>
            <w:tcW w:type="dxa" w:w="3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~110 months</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Intermediate (1 risk factor)</w:t>
            </w:r>
          </w:p>
        </w:tc>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~26%</w:t>
            </w:r>
          </w:p>
        </w:tc>
        <w:tc>
          <w:tcPr>
            <w:tcW w:type="dxa" w:w="3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~45 months</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High (2 or more risk factors)</w:t>
            </w:r>
          </w:p>
        </w:tc>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~47%</w:t>
            </w:r>
          </w:p>
        </w:tc>
        <w:tc>
          <w:tcPr>
            <w:tcW w:type="dxa" w:w="3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~23 months</w:t>
            </w:r>
          </w:p>
        </w:tc>
      </w:tr>
    </w:tbl>
    <w:p>
      <w:pPr>
        <w:spacing w:after="80" w:before="80" w:line="300"/>
        <w:jc w:val="left"/>
      </w:pPr>
      <w:r>
        <w:rPr>
          <w:rFonts w:ascii="Georgia" w:cs="Georgia" w:eastAsia="Georgia" w:hAnsi="Georgia"/>
          <w:b w:val="false"/>
          <w:bCs w:val="false"/>
          <w:i/>
          <w:iCs/>
          <w:color w:val="4A4A4A"/>
          <w:sz w:val="18"/>
          <w:szCs w:val="18"/>
        </w:rPr>
        <w:t xml:space="preserve">Source: Lakshman 2018 (Blood Cancer J); endorsed by Hughes 2024.</w:t>
      </w:r>
    </w:p>
    <w:p>
      <w:pPr>
        <w:spacing w:after="80" w:before="80" w:line="300"/>
        <w:jc w:val="left"/>
      </w:pPr>
      <w:r>
        <w:rPr>
          <w:rFonts w:ascii="Georgia" w:cs="Georgia" w:eastAsia="Georgia" w:hAnsi="Georgia"/>
          <w:b w:val="false"/>
          <w:bCs w:val="false"/>
          <w:i w:val="false"/>
          <w:iCs w:val="false"/>
          <w:color w:val="1D1D1D"/>
          <w:sz w:val="22"/>
          <w:szCs w:val="22"/>
        </w:rPr>
        <w:t xml:space="preserve">Re-stratify patients annually for the first five years post-diagnosis. Movement to a higher risk group between assessments is itself prognostic.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7A1F2B" w:sz="16"/>
              <w:bottom w:val="single" w:color="D8C9CB" w:sz="4"/>
              <w:right w:val="single" w:color="D8C9CB" w:sz="4"/>
            </w:tcBorders>
            <w:shd w:fill="F5E9EB" w:val="clear"/>
            <w:tcMar>
              <w:top w:type="dxa" w:w="140"/>
              <w:left w:type="dxa" w:w="200"/>
              <w:bottom w:type="dxa" w:w="140"/>
              <w:right w:type="dxa" w:w="160"/>
            </w:tcMar>
          </w:tcPr>
          <w:p>
            <w:pPr>
              <w:spacing w:after="80" w:before="0"/>
            </w:pPr>
            <w:r>
              <w:rPr>
                <w:rFonts w:ascii="Georgia" w:cs="Georgia" w:eastAsia="Georgia" w:hAnsi="Georgia"/>
                <w:b/>
                <w:bCs/>
                <w:color w:val="7A1F2B"/>
                <w:sz w:val="22"/>
                <w:szCs w:val="22"/>
              </w:rPr>
              <w:t xml:space="preserve">Pattern recognition — evolving SMM</w:t>
            </w:r>
          </w:p>
          <w:p>
            <w:pPr>
              <w:spacing w:after="0" w:before="0" w:line="280"/>
            </w:pPr>
            <w:r>
              <w:rPr>
                <w:rFonts w:ascii="Georgia" w:cs="Georgia" w:eastAsia="Georgia" w:hAnsi="Georgia"/>
                <w:color w:val="1D1D1D"/>
                <w:sz w:val="22"/>
                <w:szCs w:val="22"/>
              </w:rPr>
              <w:t xml:space="preserve">An evolving M-protein or FLC trajectory (a rise of more than 10 per cent over six months, or any new immunoparesis) carries independent prognostic weight beyond the static Mayo 20-2-20 group. Re-stratify and consider trial referral early.</w:t>
            </w:r>
          </w:p>
        </w:tc>
      </w:tr>
    </w:tbl>
    <w:p>
      <w:pPr>
        <w:spacing w:after="80" w:before="180"/>
      </w:pPr>
      <w:r>
        <w:rPr>
          <w:rFonts w:ascii="Georgia" w:cs="Georgia" w:eastAsia="Georgia" w:hAnsi="Georgia"/>
          <w:b/>
          <w:bCs/>
          <w:color w:val="1D1D1D"/>
          <w:sz w:val="24"/>
          <w:szCs w:val="24"/>
        </w:rPr>
        <w:t xml:space="preserve">Monitoring and intervention</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Low-risk SMM: </w:t>
      </w:r>
      <w:r>
        <w:rPr>
          <w:rFonts w:ascii="Georgia" w:cs="Georgia" w:eastAsia="Georgia" w:hAnsi="Georgia"/>
          <w:b w:val="false"/>
          <w:bCs w:val="false"/>
          <w:i w:val="false"/>
          <w:iCs w:val="false"/>
          <w:color w:val="1D1D1D"/>
          <w:sz w:val="22"/>
          <w:szCs w:val="22"/>
        </w:rPr>
        <w:t xml:space="preserve">3-monthly clinical and biochemical review for the first year, extending to 6 to 12 monthly if stable.</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Intermediate-risk SMM: </w:t>
      </w:r>
      <w:r>
        <w:rPr>
          <w:rFonts w:ascii="Georgia" w:cs="Georgia" w:eastAsia="Georgia" w:hAnsi="Georgia"/>
          <w:b w:val="false"/>
          <w:bCs w:val="false"/>
          <w:i w:val="false"/>
          <w:iCs w:val="false"/>
          <w:color w:val="1D1D1D"/>
          <w:sz w:val="22"/>
          <w:szCs w:val="22"/>
        </w:rPr>
        <w:t xml:space="preserve">3-monthly review for 1 to 2 years, extending to 4 to 6 monthly if stable.</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High-risk SMM: </w:t>
      </w:r>
      <w:r>
        <w:rPr>
          <w:rFonts w:ascii="Georgia" w:cs="Georgia" w:eastAsia="Georgia" w:hAnsi="Georgia"/>
          <w:b w:val="false"/>
          <w:bCs w:val="false"/>
          <w:i w:val="false"/>
          <w:iCs w:val="false"/>
          <w:color w:val="1D1D1D"/>
          <w:sz w:val="22"/>
          <w:szCs w:val="22"/>
        </w:rPr>
        <w:t xml:space="preserve">3-monthly review for at least 5 years; consider entry into a clinical trial. Outside trials, BSH 2024 states there is insufficient evidence to treat SMM routinely.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Repeat imaging annually in high-risk SMM and at a low threshold in those with evolving disease markers. Equivocal or solitary focal lesions at baseline warrant interval imaging at 3 to 6 months.</w:t>
      </w:r>
    </w:p>
    <w:p>
      <w:pPr>
        <w:pStyle w:val="ListParagraph"/>
        <w:numPr>
          <w:ilvl w:val="0"/>
          <w:numId w:val="2"/>
        </w:numPr>
        <w:spacing w:after="40" w:before="40" w:line="280"/>
      </w:pPr>
      <w:r>
        <w:t>QuiRedex and SWOG E3A06 showed benefit from early lenalidomide-based therapy in high-risk SMM. Treatment of SMM is not NHS standard of care outside trials as at the v1.1 publication review.</w:t>
      </w:r>
    </w:p>
    <w:p>
      <w:pPr>
        <w:spacing w:after="80" w:before="180"/>
      </w:pPr>
      <w:r>
        <w:rPr>
          <w:rFonts w:ascii="Georgia" w:cs="Georgia" w:eastAsia="Georgia" w:hAnsi="Georgia"/>
          <w:b/>
          <w:bCs/>
          <w:color w:val="1D1D1D"/>
          <w:sz w:val="24"/>
          <w:szCs w:val="24"/>
        </w:rPr>
        <w:t xml:space="preserve">Supportive care in SMM</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Annual flu vaccination, full COVID-19 schedule, conjugate pneumococcal (PCV13) followed by polysaccharide (PPV23) at 2 months, repeated 5-yearly. Functional antibody check at 6 weeks in patients with recurrent infection.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Recombinant zoster vaccine (Shingrix) two-dose schedule in patients over 50 years.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No routine VTE prophylaxis. No routine bisphosphonates outside osteoporosis indication.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Psychological support and clear information at diagnosis and at each review.</w:t>
      </w:r>
    </w:p>
    <w:p>
      <w:pPr>
        <w:pStyle w:val="Heading1"/>
        <w:spacing w:after="160" w:before="360"/>
      </w:pPr>
      <w:r>
        <w:rPr>
          <w:rFonts w:ascii="Georgia" w:cs="Georgia" w:eastAsia="Georgia" w:hAnsi="Georgia"/>
          <w:b/>
          <w:bCs/>
          <w:color w:val="7A1F2B"/>
          <w:sz w:val="30"/>
          <w:szCs w:val="30"/>
        </w:rPr>
        <w:t xml:space="preserve">7. </w:t>
      </w:r>
      <w:r>
        <w:rPr>
          <w:rFonts w:ascii="Georgia" w:cs="Georgia" w:eastAsia="Georgia" w:hAnsi="Georgia"/>
          <w:b/>
          <w:bCs/>
          <w:color w:val="7A1F2B"/>
          <w:sz w:val="30"/>
          <w:szCs w:val="30"/>
        </w:rPr>
        <w:t xml:space="preserve">MGRS — Monoclonal Gammopathy of Renal Significance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E5D8C" w:sz="4"/>
              <w:left w:val="single" w:color="1E5D8C" w:sz="4"/>
              <w:bottom w:val="single" w:color="1E5D8C" w:sz="4"/>
              <w:right w:val="single" w:color="1E5D8C" w:sz="4"/>
            </w:tcBorders>
            <w:shd w:fill="E7F0F7" w:val="clear"/>
            <w:tcMar>
              <w:top w:type="dxa" w:w="140"/>
              <w:left w:type="dxa" w:w="160"/>
              <w:bottom w:type="dxa" w:w="140"/>
              <w:right w:type="dxa" w:w="160"/>
            </w:tcMar>
          </w:tcPr>
          <w:p>
            <w:pPr>
              <w:spacing w:after="80" w:before="0"/>
            </w:pPr>
            <w:r>
              <w:rPr>
                <w:rFonts w:ascii="Georgia" w:cs="Georgia" w:eastAsia="Georgia" w:hAnsi="Georgia"/>
                <w:b/>
                <w:bCs/>
                <w:color w:val="1E5D8C"/>
                <w:sz w:val="22"/>
                <w:szCs w:val="22"/>
              </w:rPr>
              <w:t xml:space="preserve">Clinical Vignette</w:t>
            </w:r>
          </w:p>
          <w:p>
            <w:pPr>
              <w:spacing w:after="0" w:before="0" w:line="280"/>
            </w:pPr>
            <w:r>
              <w:rPr>
                <w:rFonts w:ascii="Georgia" w:cs="Georgia" w:eastAsia="Georgia" w:hAnsi="Georgia"/>
                <w:color w:val="1D1D1D"/>
                <w:sz w:val="22"/>
                <w:szCs w:val="22"/>
              </w:rPr>
              <w:t xml:space="preserve">A 59-year-old man under MGUS surveillance for two years (low-risk Mayo, IgG-kappa, M-protein 12 g/L) attends with new ankle swelling and an eGFR drop from 78 to 49 mL/min/1.73 m squared. Urine ACR is 320 mg/mmol. He has no anaemia, no hypercalcaemia, no bone pain, no skeletal lesions on subsequent low-dose WB-CT. His M-protein remains stable. Is this MGRS?</w:t>
            </w:r>
          </w:p>
        </w:tc>
      </w:tr>
    </w:tbl>
    <w:p>
      <w:pPr>
        <w:spacing w:after="80" w:before="80" w:line="300"/>
        <w:jc w:val="left"/>
      </w:pPr>
      <w:r>
        <w:rPr>
          <w:rFonts w:ascii="Georgia" w:cs="Georgia" w:eastAsia="Georgia" w:hAnsi="Georgia"/>
          <w:b w:val="false"/>
          <w:bCs w:val="false"/>
          <w:i w:val="false"/>
          <w:iCs w:val="false"/>
          <w:color w:val="1D1D1D"/>
          <w:sz w:val="22"/>
          <w:szCs w:val="22"/>
        </w:rPr>
        <w:t xml:space="preserve">MGRS describes any kidney disease caused directly or indirectly by a small B-cell or plasma cell clone that does not meet WHO criteria for haematological neoplasm. Diagnosis links the underlying clone to a defined renal lesion confirmed on biopsy. The most common MGRS-associated disorder in the UK is AL amyloidosis. Progression to end-stage kidney disease (ESKD) is common; outcome is determined primarily by depth of haematological response.</w:t>
      </w:r>
    </w:p>
    <w:p>
      <w:pPr>
        <w:spacing w:after="80" w:before="180"/>
      </w:pPr>
      <w:r>
        <w:rPr>
          <w:rFonts w:ascii="Georgia" w:cs="Georgia" w:eastAsia="Georgia" w:hAnsi="Georgia"/>
          <w:b/>
          <w:bCs/>
          <w:color w:val="1D1D1D"/>
          <w:sz w:val="24"/>
          <w:szCs w:val="24"/>
        </w:rPr>
        <w:t xml:space="preserve">Screening in haematology clinic</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All patients with a known MGUS should have serum creatinine, eGFR, urinalysis and urine ACR (not PCR) checked at first presentation.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Urine dipstick is insensitive to light chains; do not use it to exclude light-chain proteinuria.</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Refer to nephrology if ACR above 30 mg/mmol with a detectable clone, microscopic haematuria, or eGFR declines by more than 25 per cent in 12 months.</w:t>
      </w:r>
    </w:p>
    <w:p>
      <w:pPr>
        <w:spacing w:after="80" w:before="180"/>
      </w:pPr>
      <w:r>
        <w:rPr>
          <w:rFonts w:ascii="Georgia" w:cs="Georgia" w:eastAsia="Georgia" w:hAnsi="Georgia"/>
          <w:b/>
          <w:bCs/>
          <w:color w:val="1D1D1D"/>
          <w:sz w:val="24"/>
          <w:szCs w:val="24"/>
        </w:rPr>
        <w:t xml:space="preserve">Histological classification (IKMG)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4626"/>
      </w:tblGrid>
      <w:tr>
        <w:trPr>
          <w:tblHeader/>
        </w:trPr>
        <w:tc>
          <w:tcPr>
            <w:tcW w:type="dxa" w:w="4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MGRS-associated lesion</w:t>
            </w:r>
          </w:p>
        </w:tc>
        <w:tc>
          <w:tcPr>
            <w:tcW w:type="dxa" w:w="46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Type of deposit</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Immunoglobulin-related amyloidosis (AL, AH, AHL)</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Organised fibrils, Congo red positive</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Monoclonal Ig deposition disease (LCDD, LHCDD, HCDD)</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Non-organised, finely granular, linear Ig along GBM and TBM</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Proliferative GN with monoclonal Ig deposits (PGNMID)</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Granular monotypic Ig deposits, mostly IgG3-kappa</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Monotypic immunotactoid GN</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Organised microtubules (14 to 60 nm) with light chain restriction</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Type 1 / type 2 cryoglobulinaemic GN</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Microtubules or intraluminal crystals with light chain restriction</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C3 glomerulopathy with monoclonal gammopathy</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C3-predominant deposits without polyclonal Ig</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TMA with monoclonal gammopathy</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No immune deposits; characteristic GBM and endothelial changes</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Light-chain proximal tubulopathy</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Proximal tubular light chain accumulation (crystals or lysosomal)</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Crystal-storing histiocytosis</w:t>
            </w:r>
          </w:p>
        </w:tc>
        <w:tc>
          <w:tcPr>
            <w:tcW w:type="dxa" w:w="46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Crystals within histiocytes; often multi-organ</w:t>
            </w:r>
          </w:p>
        </w:tc>
      </w:tr>
    </w:tbl>
    <w:p>
      <w:pPr>
        <w:spacing w:after="80" w:before="80" w:line="300"/>
        <w:jc w:val="left"/>
      </w:pPr>
      <w:r>
        <w:rPr>
          <w:rFonts w:ascii="Georgia" w:cs="Georgia" w:eastAsia="Georgia" w:hAnsi="Georgia"/>
          <w:b w:val="false"/>
          <w:bCs w:val="false"/>
          <w:i/>
          <w:iCs/>
          <w:color w:val="4A4A4A"/>
          <w:sz w:val="18"/>
          <w:szCs w:val="18"/>
        </w:rPr>
        <w:t xml:space="preserve">Source: Pinney 2025 BSH Good Practice Paper; IKMG consensus (Leung 2019).</w:t>
      </w:r>
    </w:p>
    <w:p>
      <w:pPr>
        <w:spacing w:after="80" w:before="180"/>
      </w:pPr>
      <w:r>
        <w:rPr>
          <w:rFonts w:ascii="Georgia" w:cs="Georgia" w:eastAsia="Georgia" w:hAnsi="Georgia"/>
          <w:b/>
          <w:bCs/>
          <w:color w:val="1D1D1D"/>
          <w:sz w:val="24"/>
          <w:szCs w:val="24"/>
        </w:rPr>
        <w:t xml:space="preserve">Diagnostic workup</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Renal biopsy with light microscopy, immunofluorescence on frozen tissue, electron microscopy, Congo red and where indicated DNAJB9 and protease-digested immunofluorescence. Biopsies should be reported using the Mayo Clinic / Renal Pathology Society standardised report.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Full haematological workup with bone marrow aspirate and trephine, CD138 and CD20 immunohistochemistry, flow cytometry and FISH for plasma cell or B-cell clones.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Imaging: WB-MRI or PET-CT for plasma cell clones; CT neck, thorax, abdomen and pelvis (and lymph node biopsy where indicated) for B-cell clones.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Discussion at a specialist joint haematology and nephrology MDT with renal pathology input.</w:t>
      </w:r>
    </w:p>
    <w:p>
      <w:pPr>
        <w:spacing w:after="80" w:before="180"/>
      </w:pPr>
      <w:r>
        <w:rPr>
          <w:rFonts w:ascii="Georgia" w:cs="Georgia" w:eastAsia="Georgia" w:hAnsi="Georgia"/>
          <w:b/>
          <w:bCs/>
          <w:color w:val="1D1D1D"/>
          <w:sz w:val="24"/>
          <w:szCs w:val="24"/>
        </w:rPr>
        <w:t xml:space="preserve">Principles of treatment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Aim for the deepest haematological response possible; achieving at least VGPR is associated with better renal outcomes.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AL amyloidosis follows the separate BSH AL amyloidosis guideline pathway.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Treatment of the underlying clone is recommended in patients at risk of declining renal function at all stages of CKD to prevent progression to ESKD (eGFR below 15 mL/min/1.73 m squared).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In patients already at ESKD with no extra-renal disease, treatment is reserved for those eligible for renal transplantation; aim for at least VGPR before listing.</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Consider autologous stem cell transplantation in suitable patients who have not achieved CR.</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Long-term joint nephrology and haematology follow-up; lifelong monitoring after treatment completion.</w:t>
      </w:r>
    </w:p>
    <w:p>
      <w:pPr>
        <w:spacing w:after="80" w:before="180"/>
      </w:pPr>
      <w:r>
        <w:rPr>
          <w:rFonts w:ascii="Georgia" w:cs="Georgia" w:eastAsia="Georgia" w:hAnsi="Georgia"/>
          <w:b/>
          <w:bCs/>
          <w:color w:val="1D1D1D"/>
          <w:sz w:val="24"/>
          <w:szCs w:val="24"/>
        </w:rPr>
        <w:t xml:space="preserve">General supportive care in MGRS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Issue</w:t>
            </w:r>
          </w:p>
        </w:tc>
        <w:tc>
          <w:tcPr>
            <w:tcW w:type="dxa" w:w="64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Management</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Blood pressure</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Individualised target under nephrology guidance; ACE inhibitor or ARB where appropriate, with caution in nephrotic hypotension, AKI or advanced CKD.</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Fluid balance</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Weight and clinical assessment; loop diuretic first line, then thiazide (metolazone), then potassium-sparing diuretic if required.</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Thrombosis</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Prophylactic anticoagulation (enoxaparin or apixaban) while albumin below 30 g/L and proteinuria above 3 g/24h, balanced against bleeding risk.</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Vaccination</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Annual influenza, COVID-19 schedule, 5-yearly pneumococcal, Shingrix if over 50 years and on chemotherapy.</w:t>
            </w:r>
          </w:p>
        </w:tc>
      </w:tr>
      <w:tr>
        <w:tc>
          <w:tcPr>
            <w:tcW w:type="dxa" w:w="26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Post-treatment proteinuria</w:t>
            </w:r>
          </w:p>
        </w:tc>
        <w:tc>
          <w:tcPr>
            <w:tcW w:type="dxa" w:w="6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Optimise renoprotective therapy under nephrology guidance; consider SGLT2 inhibitor only where indicated by current NICE CKD/diabetes guidance, renal function, albuminuria category and contraindications.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rPr>
                <w:rFonts w:ascii="Georgia" w:cs="Georgia" w:eastAsia="Georgia" w:hAnsi="Georgia"/>
                <w:b/>
                <w:bCs/>
                <w:color w:val="C87A00"/>
                <w:sz w:val="22"/>
                <w:szCs w:val="22"/>
              </w:rPr>
              <w:t xml:space="preserve">Common pitfall — stable M-protein does not exclude MGRS</w:t>
            </w:r>
          </w:p>
          <w:p>
            <w:pPr>
              <w:spacing w:after="0" w:before="0" w:line="280"/>
            </w:pPr>
            <w:r>
              <w:rPr>
                <w:rFonts w:ascii="Georgia" w:cs="Georgia" w:eastAsia="Georgia" w:hAnsi="Georgia"/>
                <w:color w:val="1D1D1D"/>
                <w:sz w:val="22"/>
                <w:szCs w:val="22"/>
              </w:rPr>
              <w:t xml:space="preserve">MGRS can present with falling eGFR and rising proteinuria while the M-protein remains numerically stable. The clinical decision to biopsy and treat is driven by the renal trajectory and biopsy findings, not by absolute M-protein concentration.</w:t>
            </w:r>
          </w:p>
        </w:tc>
      </w:tr>
    </w:tbl>
    <w:p>
      <w:pPr>
        <w:pStyle w:val="Heading1"/>
        <w:spacing w:after="160" w:before="360"/>
      </w:pPr>
      <w:r>
        <w:rPr>
          <w:rFonts w:ascii="Georgia" w:cs="Georgia" w:eastAsia="Georgia" w:hAnsi="Georgia"/>
          <w:b/>
          <w:bCs/>
          <w:color w:val="7A1F2B"/>
          <w:sz w:val="30"/>
          <w:szCs w:val="30"/>
        </w:rPr>
        <w:t xml:space="preserve">8. </w:t>
      </w:r>
      <w:r>
        <w:rPr>
          <w:rFonts w:ascii="Georgia" w:cs="Georgia" w:eastAsia="Georgia" w:hAnsi="Georgia"/>
          <w:b/>
          <w:bCs/>
          <w:color w:val="7A1F2B"/>
          <w:sz w:val="30"/>
          <w:szCs w:val="30"/>
        </w:rPr>
        <w:t xml:space="preserve">Newly Diagnosed Myeloma — Diagnosis and Workup</w:t>
      </w:r>
    </w:p>
    <w:p>
      <w:pPr>
        <w:spacing w:after="80" w:before="80" w:line="300"/>
        <w:jc w:val="left"/>
      </w:pPr>
      <w:r>
        <w:rPr>
          <w:rFonts w:ascii="Georgia" w:cs="Georgia" w:eastAsia="Georgia" w:hAnsi="Georgia"/>
          <w:b w:val="false"/>
          <w:bCs w:val="false"/>
          <w:i w:val="false"/>
          <w:iCs w:val="false"/>
          <w:color w:val="1D1D1D"/>
          <w:sz w:val="22"/>
          <w:szCs w:val="22"/>
        </w:rPr>
        <w:t xml:space="preserve">Diagnosis follows the IMWG 2014 criteria: clonal bone marrow plasma cells 10 per cent or above (or biopsy-proven plasmacytoma) plus one or more myeloma-defining events (SLiM CRAB). Workup is governed in UK practice by the BSH/UKMF 2021 guideline (Sive 2021) and updated for high-risk disease by Kaiser 2024.</w:t>
      </w:r>
    </w:p>
    <w:p>
      <w:pPr>
        <w:spacing w:after="80" w:before="180"/>
      </w:pPr>
      <w:r>
        <w:rPr>
          <w:rFonts w:ascii="Georgia" w:cs="Georgia" w:eastAsia="Georgia" w:hAnsi="Georgia"/>
          <w:b/>
          <w:bCs/>
          <w:color w:val="1D1D1D"/>
          <w:sz w:val="24"/>
          <w:szCs w:val="24"/>
        </w:rPr>
        <w:t xml:space="preserve">Baseline assessment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Full history including bone pain, fatigue, infection, neuropathy, autonomic and amyloid symptoms; performance status; geriatric assessment in patients aged 75 years or over.</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FBC, U and E, calcium, albumin, LDH, beta-2 microglobulin, immunoglobulins, SPE, immunofixation, serum FLC, urine ACR.</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Bone marrow aspirate and trephine with plasma cell phenotyping and FISH on CD138-selected cells.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Cross-sectional imaging by WB-MRI (preferred) or PET-CT. Low-dose WB-CT may be used where appropriate for cortical bone assessment or where WB-MRI/PET-CT is unavailable or unsuitable. Plain skeletal survey should not be used as the sole standard staging investigation where modern whole-body imaging is available.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Troponin, NT-proBNP, urine ACR and consideration of subcutaneous fat or organ biopsy if amyloidosis is suspected.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All new diagnoses discussed at a specialist myeloma MDT.</w:t>
      </w:r>
    </w:p>
    <w:p>
      <w:pPr>
        <w:spacing w:after="80" w:before="180"/>
      </w:pPr>
      <w:r>
        <w:rPr>
          <w:rFonts w:ascii="Georgia" w:cs="Georgia" w:eastAsia="Georgia" w:hAnsi="Georgia"/>
          <w:b/>
          <w:bCs/>
          <w:color w:val="1D1D1D"/>
          <w:sz w:val="24"/>
          <w:szCs w:val="24"/>
        </w:rPr>
        <w:t xml:space="preserve">Staging — ISS, R-ISS and R2-ISS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300"/>
        <w:gridCol w:w="2426"/>
      </w:tblGrid>
      <w:tr>
        <w:trPr>
          <w:tblHeader/>
        </w:trPr>
        <w:tc>
          <w:tcPr>
            <w:tcW w:type="dxa" w:w="2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Stage</w:t>
            </w:r>
          </w:p>
        </w:tc>
        <w:tc>
          <w:tcPr>
            <w:tcW w:type="dxa" w:w="23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ISS</w:t>
            </w:r>
          </w:p>
        </w:tc>
        <w:tc>
          <w:tcPr>
            <w:tcW w:type="dxa" w:w="23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R-ISS</w:t>
            </w:r>
          </w:p>
        </w:tc>
        <w:tc>
          <w:tcPr>
            <w:tcW w:type="dxa" w:w="24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R2-ISS</w:t>
            </w:r>
          </w:p>
        </w:tc>
      </w:tr>
      <w:tr>
        <w:tc>
          <w:tcPr>
            <w:tcW w:type="dxa" w:w="2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Components</w:t>
            </w:r>
          </w:p>
        </w:tc>
        <w:tc>
          <w:tcPr>
            <w:tcW w:type="dxa" w:w="23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Beta-2 microglobulin and albumin</w:t>
            </w:r>
          </w:p>
        </w:tc>
        <w:tc>
          <w:tcPr>
            <w:tcW w:type="dxa" w:w="23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ISS plus LDH and high-risk FISH: t(4;14), t(14;16), del(17p)</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R-ISS components plus 1q21 gain/amplification; four-stage system</w:t>
            </w:r>
          </w:p>
        </w:tc>
      </w:tr>
      <w:tr>
        <w:tc>
          <w:tcPr>
            <w:tcW w:type="dxa" w:w="2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UK practice</w:t>
            </w:r>
          </w:p>
        </w:tc>
        <w:tc>
          <w:tcPr>
            <w:tcW w:type="dxa" w:w="23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Universal</w:t>
            </w:r>
          </w:p>
        </w:tc>
        <w:tc>
          <w:tcPr>
            <w:tcW w:type="dxa" w:w="23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Standard prognostic tool</w:t>
            </w:r>
          </w:p>
        </w:tc>
        <w:tc>
          <w:tcPr>
            <w:tcW w:type="dxa" w:w="24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Increasingly used in trials and referenced in EHA-EMN 2025</w:t>
            </w:r>
          </w:p>
        </w:tc>
      </w:tr>
    </w:tbl>
    <w:p>
      <w:pPr>
        <w:spacing w:after="80" w:before="80" w:line="300"/>
        <w:jc w:val="left"/>
      </w:pPr>
      <w:r>
        <w:rPr>
          <w:rFonts w:ascii="Georgia" w:cs="Georgia" w:eastAsia="Georgia" w:hAnsi="Georgia"/>
          <w:b w:val="false"/>
          <w:bCs w:val="false"/>
          <w:i/>
          <w:iCs/>
          <w:color w:val="4A4A4A"/>
          <w:sz w:val="18"/>
          <w:szCs w:val="18"/>
        </w:rPr>
        <w:t xml:space="preserve">References: Greipp 2005 (JCO); Palumbo 2015 (JCO); D Agostino 2022 (JCO).</w:t>
      </w:r>
    </w:p>
    <w:p>
      <w:pPr>
        <w:spacing w:after="80" w:before="180"/>
      </w:pPr>
      <w:r>
        <w:rPr>
          <w:rFonts w:ascii="Georgia" w:cs="Georgia" w:eastAsia="Georgia" w:hAnsi="Georgia"/>
          <w:b/>
          <w:bCs/>
          <w:color w:val="1D1D1D"/>
          <w:sz w:val="24"/>
          <w:szCs w:val="24"/>
        </w:rPr>
        <w:t xml:space="preserve">Cytogenetic and molecular profiling (BSH 2024)</w:t>
      </w:r>
    </w:p>
    <w:p>
      <w:pPr>
        <w:spacing w:after="80" w:before="80" w:line="300"/>
        <w:jc w:val="left"/>
      </w:pPr>
      <w:r>
        <w:rPr>
          <w:rFonts w:ascii="Georgia" w:cs="Georgia" w:eastAsia="Georgia" w:hAnsi="Georgia"/>
          <w:b w:val="false"/>
          <w:bCs w:val="false"/>
          <w:i w:val="false"/>
          <w:iCs w:val="false"/>
          <w:color w:val="1D1D1D"/>
          <w:sz w:val="22"/>
          <w:szCs w:val="22"/>
        </w:rPr>
        <w:t xml:space="preserve">BSH 2024 recommends extended cytogenetic profiling at diagnosis in all NDMM patients. Test the complete set: t(4;14), t(14;16), t(14;20), del(1p), gain(1q) and del(17p) by FISH or equivalent validated molecular methods. Where technically feasible, results should be available within four weeks of an adequate first bone marrow sample and a maximum of eight weeks if repeat biopsy is required. Gene expression profiling (for example SKY92) identifies an additional approximately 10 per cent of high-risk patients not detected by FISH alone.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7A1F2B" w:sz="16"/>
              <w:bottom w:val="single" w:color="D8C9CB" w:sz="4"/>
              <w:right w:val="single" w:color="D8C9CB" w:sz="4"/>
            </w:tcBorders>
            <w:shd w:fill="F5E9EB" w:val="clear"/>
            <w:tcMar>
              <w:top w:type="dxa" w:w="140"/>
              <w:left w:type="dxa" w:w="200"/>
              <w:bottom w:type="dxa" w:w="140"/>
              <w:right w:type="dxa" w:w="160"/>
            </w:tcMar>
          </w:tcPr>
          <w:p>
            <w:pPr>
              <w:spacing w:after="80" w:before="0"/>
            </w:pPr>
            <w:r>
              <w:rPr>
                <w:rFonts w:ascii="Georgia" w:cs="Georgia" w:eastAsia="Georgia" w:hAnsi="Georgia"/>
                <w:b/>
                <w:bCs/>
                <w:color w:val="7A1F2B"/>
                <w:sz w:val="22"/>
                <w:szCs w:val="22"/>
              </w:rPr>
              <w:t xml:space="preserve">Pattern recognition — extramedullary disease at diagnosis</w:t>
            </w:r>
          </w:p>
          <w:p>
            <w:pPr>
              <w:spacing w:after="0" w:before="0" w:line="280"/>
            </w:pPr>
            <w:r>
              <w:rPr>
                <w:rFonts w:ascii="Georgia" w:cs="Georgia" w:eastAsia="Georgia" w:hAnsi="Georgia"/>
                <w:color w:val="1D1D1D"/>
                <w:sz w:val="22"/>
                <w:szCs w:val="22"/>
              </w:rPr>
              <w:t xml:space="preserve">Soft-tissue plasmacytomas separate from bone, especially when accompanied by 2 or more HRCA or a primary plasma cell leukaemia picture, are a strong marker of high-risk biology. Repeat FISH on the plasmacytoma where feasible; consider trial referral.</w:t>
            </w:r>
          </w:p>
        </w:tc>
      </w:tr>
    </w:tbl>
    <w:p>
      <w:pPr>
        <w:spacing w:after="80" w:before="180"/>
      </w:pPr>
      <w:r>
        <w:rPr>
          <w:rFonts w:ascii="Georgia" w:cs="Georgia" w:eastAsia="Georgia" w:hAnsi="Georgia"/>
          <w:b/>
          <w:bCs/>
          <w:color w:val="1D1D1D"/>
          <w:sz w:val="24"/>
          <w:szCs w:val="24"/>
        </w:rPr>
        <w:t xml:space="preserve">Standard-risk transplant-eligible NDMM — UK NHS framework</w:t>
      </w:r>
    </w:p>
    <w:p>
      <w:pPr>
        <w:spacing w:after="80" w:before="80" w:line="300"/>
        <w:jc w:val="left"/>
      </w:pPr>
      <w:r>
        <w:t>Standard UK NHS induction has been a bortezomib-based triplet (most commonly VTd or VCd) followed by ASCT with melphalan 200 mg/m squared conditioning and lenalidomide maintenance until progression (TA680). Daratumumab-containing quadruplet induction is increasingly used in line with the CASSIOPEIA evidence base and current NICE technology appraisals. The current NICE-commissioned quadruplet for the transplant-eligible setting is D-VTd (TA763, within NICE criteria). D-VRd (PERSEUS-based) is under separate NICE appraisal for untreated myeloma when high-dose chemotherapy and autologous stem cell transplant are suitable (GID-TA11254 / ID6249, in development; expected publication TBC). D-VRd remains horizon/evidence content only for the transplant-eligible pathway pending final NICE guidance and verified pathway placement.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rPr>
                <w:rFonts w:ascii="Georgia" w:cs="Georgia" w:eastAsia="Georgia" w:hAnsi="Georgia"/>
                <w:b/>
                <w:bCs/>
                <w:color w:val="C87A00"/>
                <w:sz w:val="22"/>
                <w:szCs w:val="22"/>
              </w:rPr>
              <w:t xml:space="preserve">Dose-block caveat (applies throughout this document)</w:t>
            </w:r>
          </w:p>
          <w:p>
            <w:pPr>
              <w:spacing w:after="0" w:before="0" w:line="280"/>
            </w:pPr>
            <w:r>
              <w:rPr>
                <w:rFonts w:ascii="Georgia" w:cs="Georgia" w:eastAsia="Georgia" w:hAnsi="Georgia"/>
                <w:color w:val="1D1D1D"/>
                <w:sz w:val="22"/>
                <w:szCs w:val="22"/>
              </w:rPr>
              <w:t xml:space="preserve">Dose examples shown in every regimen block in this document are educational only. They must not override local e-prescribing protocols, current Summary of Product Characteristics, renal or hepatic dose adjustment, frailty modification, pharmacy verification, or consultant decision-making. Always check the current SmPC, local Trust e-prescribing protocol, Blueteq form and pharmacy review before any prescribing.</w:t>
            </w:r>
          </w:p>
        </w:tc>
      </w:tr>
    </w:tbl>
    <w:p>
      <w:pPr>
        <w:spacing w:after="40" w:before="160" w:line="300"/>
        <w:jc w:val="left"/>
      </w:pPr>
      <w:r>
        <w:rPr>
          <w:rFonts w:ascii="Georgia" w:cs="Georgia" w:eastAsia="Georgia" w:hAnsi="Georgia"/>
          <w:b/>
          <w:bCs/>
          <w:i w:val="false"/>
          <w:iCs w:val="false"/>
          <w:color w:val="7A1F2B"/>
          <w:sz w:val="23"/>
          <w:szCs w:val="23"/>
        </w:rPr>
        <w:t xml:space="preserve">Daratumumab + bortezomib + thalidomide + dexamethasone (D-VTd)</w:t>
      </w:r>
    </w:p>
    <w:p>
      <w:pPr>
        <w:spacing w:after="80" w:before="80" w:line="300"/>
        <w:jc w:val="left"/>
      </w:pPr>
      <w:r>
        <w:rPr>
          <w:rFonts w:ascii="Georgia" w:cs="Georgia" w:eastAsia="Georgia" w:hAnsi="Georgia"/>
          <w:b/>
          <w:bCs/>
          <w:i w:val="false"/>
          <w:iCs w:val="false"/>
          <w:color w:val="7A1F2B"/>
          <w:sz w:val="20"/>
          <w:szCs w:val="20"/>
        </w:rPr>
        <w:t xml:space="preserve">NICE TA763</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Subcutaneous daratumumab 1,800 mg weekly cycles 1 to 2, then every 2 weeks cycles 3 to 4 and consolidation; bortezomib 1.3 mg/m squared SC days 1, 4, 8, 11 of each 28-day cycle; thalidomide 100 mg PO daily; dexamethasone per CASSIOPEIA schedule. Four induction cycles, ASCT, then two consolidation cycles.</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TA763, recommended February 2022 for untreated NDMM when stem cell transplant is suitable.</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CASSIOPEIA (Moreau et al., Lancet 2019; long-term update Moreau 2024). D-VTd improved sCR and PFS versus VTd; survival benefit sustained at more than 6-year follow-up.</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Currently the principal NICE-commissioned quadruplet induction in the UK. Daratumumab maintenance arm of CASSIOPEIA is supportive of post-ASCT daratumumab but lenalidomide maintenance (TA680) remains the UK standard.</w:t>
      </w:r>
    </w:p>
    <w:p>
      <w:pPr>
        <w:spacing w:after="40" w:before="160" w:line="300"/>
        <w:jc w:val="left"/>
      </w:pPr>
      <w:r>
        <w:rPr>
          <w:rFonts w:ascii="Georgia" w:cs="Georgia" w:eastAsia="Georgia" w:hAnsi="Georgia"/>
          <w:b/>
          <w:bCs/>
          <w:i w:val="false"/>
          <w:iCs w:val="false"/>
          <w:color w:val="7A1F2B"/>
          <w:sz w:val="23"/>
          <w:szCs w:val="23"/>
        </w:rPr>
        <w:t xml:space="preserve">Bortezomib + thalidomide + dexamethasone (VTd) — older triplet</w:t>
      </w:r>
    </w:p>
    <w:p>
      <w:pPr>
        <w:spacing w:after="80" w:before="80" w:line="300"/>
        <w:jc w:val="left"/>
      </w:pPr>
      <w:r>
        <w:rPr>
          <w:rFonts w:ascii="Georgia" w:cs="Georgia" w:eastAsia="Georgia" w:hAnsi="Georgia"/>
          <w:b/>
          <w:bCs/>
          <w:i w:val="false"/>
          <w:iCs w:val="false"/>
          <w:color w:val="7A1F2B"/>
          <w:sz w:val="20"/>
          <w:szCs w:val="20"/>
        </w:rPr>
        <w:t xml:space="preserve">NICE TA228 / TA311</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Conditional</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Bortezomib 1.3 mg/m squared SC days 1, 4, 8, 11 of each 21-day cycle; thalidomide 100 to 200 mg PO daily; dexamethasone 20 to 40 mg per cycle. Four induction cycles before ASCT.</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TA228 (2011) for first-line MM; TA311 (2014) for bortezomib induction before HDT/ASCT.</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Effective triplet historically used where quadruplet not appropriate or available; thalidomide-related neuropathy, teratogenicity and VTE risk require active management. Decreasing use as quadruplet regimens are commissioned.</w:t>
      </w:r>
    </w:p>
    <w:p>
      <w:pPr>
        <w:spacing w:after="40" w:before="160" w:line="300"/>
        <w:jc w:val="left"/>
      </w:pPr>
      <w:r>
        <w:rPr>
          <w:rFonts w:ascii="Georgia" w:cs="Georgia" w:eastAsia="Georgia" w:hAnsi="Georgia"/>
          <w:b/>
          <w:bCs/>
          <w:i w:val="false"/>
          <w:iCs w:val="false"/>
          <w:color w:val="7A1F2B"/>
          <w:sz w:val="23"/>
          <w:szCs w:val="23"/>
        </w:rPr>
        <w:t xml:space="preserve">Bortezomib + cyclophosphamide + dexamethasone (VCd)</w:t>
      </w:r>
    </w:p>
    <w:p>
      <w:pPr>
        <w:spacing w:after="80" w:before="80" w:line="300"/>
        <w:jc w:val="left"/>
      </w:pPr>
      <w:r>
        <w:rPr>
          <w:rFonts w:ascii="Georgia" w:cs="Georgia" w:eastAsia="Georgia" w:hAnsi="Georgia"/>
          <w:b/>
          <w:bCs/>
          <w:i w:val="false"/>
          <w:iCs w:val="false"/>
          <w:color w:val="C87A00"/>
          <w:sz w:val="20"/>
          <w:szCs w:val="20"/>
        </w:rPr>
        <w:t xml:space="preserve">Moderate / Conditional</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Bortezomib 1.3 mg/m squared SC days 1, 4, 8, 11; cyclophosphamide 500 mg PO weekly; dexamethasone 40 mg weekly. Three to four induction cycles before ASCT.</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Used where thalidomide or lenalidomide are not suitable. Pragmatic UK option particularly in renal impairment at presentation, with rapid response and a manageable toxicity profile. Not the primary NICE-recommended TE-NDMM induction where alternatives are available.</w:t>
      </w:r>
    </w:p>
    <w:p>
      <w:pPr>
        <w:spacing w:after="80" w:before="180"/>
      </w:pPr>
      <w:r>
        <w:rPr>
          <w:rFonts w:ascii="Georgia" w:cs="Georgia" w:eastAsia="Georgia" w:hAnsi="Georgia"/>
          <w:b/>
          <w:bCs/>
          <w:color w:val="1D1D1D"/>
          <w:sz w:val="24"/>
          <w:szCs w:val="24"/>
        </w:rPr>
        <w:t xml:space="preserve">Maintenance after ASCT</w:t>
      </w:r>
    </w:p>
    <w:p>
      <w:pPr>
        <w:spacing w:after="40" w:before="160" w:line="300"/>
        <w:jc w:val="left"/>
      </w:pPr>
      <w:r>
        <w:rPr>
          <w:rFonts w:ascii="Georgia" w:cs="Georgia" w:eastAsia="Georgia" w:hAnsi="Georgia"/>
          <w:b/>
          <w:bCs/>
          <w:i w:val="false"/>
          <w:iCs w:val="false"/>
          <w:color w:val="7A1F2B"/>
          <w:sz w:val="23"/>
          <w:szCs w:val="23"/>
        </w:rPr>
        <w:t xml:space="preserve">Lenalidomide maintenance</w:t>
      </w:r>
    </w:p>
    <w:p>
      <w:pPr>
        <w:spacing w:after="80" w:before="80" w:line="300"/>
        <w:jc w:val="left"/>
      </w:pPr>
      <w:r>
        <w:rPr>
          <w:rFonts w:ascii="Georgia" w:cs="Georgia" w:eastAsia="Georgia" w:hAnsi="Georgia"/>
          <w:b/>
          <w:bCs/>
          <w:i w:val="false"/>
          <w:iCs w:val="false"/>
          <w:color w:val="7A1F2B"/>
          <w:sz w:val="20"/>
          <w:szCs w:val="20"/>
        </w:rPr>
        <w:t xml:space="preserve">NICE TA680</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Lenalidomide 10 mg PO daily, continuous, days 1 to 21 of 28-day cycles in some protocols. Continue until progression or unacceptable toxicity.</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TA680 (2021), recommended for newly diagnosed myeloma after ASCT.</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Myeloma XI (Jackson et al., Lancet Oncol 2019) and CALGB 100104. PFS benefit with acceptable second-primary-malignancy signal.</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Current UK standard. Monitor blood counts, thyroid function and second-primary malignancy risk. Ixazomib maintenance (GID-TA10843 / ID1517) is DISCONTINUED at NICE (February 2026) and is not anticipated as a routine alternative.</w:t>
      </w:r>
    </w:p>
    <w:p>
      <w:pPr>
        <w:spacing w:after="80" w:before="180"/>
      </w:pPr>
      <w:r>
        <w:rPr>
          <w:rFonts w:ascii="Georgia" w:cs="Georgia" w:eastAsia="Georgia" w:hAnsi="Georgia"/>
          <w:b/>
          <w:bCs/>
          <w:color w:val="1D1D1D"/>
          <w:sz w:val="24"/>
          <w:szCs w:val="24"/>
        </w:rPr>
        <w:t xml:space="preserve">Transplant-ineligible NDMM</w:t>
      </w:r>
    </w:p>
    <w:p>
      <w:pPr>
        <w:spacing w:after="40" w:before="160" w:line="300"/>
        <w:jc w:val="left"/>
      </w:pPr>
      <w:r>
        <w:rPr>
          <w:rFonts w:ascii="Georgia" w:cs="Georgia" w:eastAsia="Georgia" w:hAnsi="Georgia"/>
          <w:b/>
          <w:bCs/>
          <w:i w:val="false"/>
          <w:iCs w:val="false"/>
          <w:color w:val="7A1F2B"/>
          <w:sz w:val="23"/>
          <w:szCs w:val="23"/>
        </w:rPr>
        <w:t xml:space="preserve">Lenalidomide + dexamethasone (Rd)</w:t>
      </w:r>
    </w:p>
    <w:p>
      <w:pPr>
        <w:spacing w:after="80" w:before="80" w:line="300"/>
        <w:jc w:val="left"/>
      </w:pPr>
      <w:r>
        <w:rPr>
          <w:rFonts w:ascii="Georgia" w:cs="Georgia" w:eastAsia="Georgia" w:hAnsi="Georgia"/>
          <w:b/>
          <w:bCs/>
          <w:i w:val="false"/>
          <w:iCs w:val="false"/>
          <w:color w:val="7A1F2B"/>
          <w:sz w:val="20"/>
          <w:szCs w:val="20"/>
        </w:rPr>
        <w:t xml:space="preserve">NICE TA587</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Lenalidomide 25 mg PO days 1 to 21 of 28-day cycle + dexamethasone 40 mg weekly. Until progression or unacceptable toxicity.</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TA587 (2019), recommended for previously untreated myeloma.</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Pragmatic option in older or frail patients. Dose-reduce dexamethasone to 20 mg weekly in those aged 75 or over or frail by IMWG frailty score. Continuous lenalidomide (Rd) outperforms fixed-duration Rd18.</w:t>
      </w:r>
    </w:p>
    <w:p>
      <w:pPr>
        <w:spacing w:after="40" w:before="160" w:line="300"/>
        <w:jc w:val="left"/>
      </w:pPr>
      <w:r>
        <w:rPr>
          <w:rFonts w:ascii="Georgia" w:cs="Georgia" w:eastAsia="Georgia" w:hAnsi="Georgia"/>
          <w:b/>
          <w:bCs/>
          <w:i w:val="false"/>
          <w:iCs w:val="false"/>
          <w:color w:val="7A1F2B"/>
          <w:sz w:val="23"/>
          <w:szCs w:val="23"/>
        </w:rPr>
        <w:t xml:space="preserve">Isatuximab + bortezomib + lenalidomide + dexamethasone (Isa-VRd, IMROZ)</w:t>
      </w:r>
    </w:p>
    <w:p>
      <w:pPr>
        <w:spacing w:after="80" w:before="80" w:line="300"/>
        <w:jc w:val="left"/>
      </w:pPr>
      <w:r>
        <w:rPr>
          <w:rFonts w:ascii="Georgia" w:cs="Georgia" w:eastAsia="Georgia" w:hAnsi="Georgia"/>
          <w:b/>
          <w:bCs/>
          <w:i w:val="false"/>
          <w:iCs w:val="false"/>
          <w:color w:val="7A1F2B"/>
          <w:sz w:val="20"/>
          <w:szCs w:val="20"/>
        </w:rPr>
        <w:t xml:space="preserve">NICE TA1098</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Isatuximab 10 mg/kg IV + bortezomib 1.3 mg/m squared SC + lenalidomide 25 mg PO days 1 to 21 + dexamethasone, per IMROZ schedule. Dose example only — verify against current SmPC, local e-prescribing protocol, renal/hepatic and frailty modifications, and pharmacy verification before any prescribing.</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TA1098 (September 2025), recommended for untreated multiple myeloma in adults when an autologous stem cell transplant is unsuitable, subject to simple discount commercial arrangement. Confirm final recommendation wording and local commissioning before use.</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IMROZ (Facon et al., NEJM 2024). Isa-VRd improved PFS versus VRd in transplant-ineligible NDMM.</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NICE-appraised anti-CD38 quadruplet for transplant-ineligible NDMM. Adds a new first-line option alongside Rd (TA587) for this group.</w:t>
      </w:r>
    </w:p>
    <w:p>
      <w:pPr>
        <w:spacing w:after="40" w:before="160" w:line="300"/>
        <w:jc w:val="left"/>
      </w:pPr>
      <w:r>
        <w:t>Daratumumab + bortezomib + lenalidomide + dexamethasone (D-VRd) — transplant-ineligible NDMM</w:t>
      </w:r>
    </w:p>
    <w:p>
      <w:pPr>
        <w:spacing w:after="80" w:before="80" w:line="300"/>
        <w:jc w:val="left"/>
      </w:pPr>
      <w:r>
        <w:t>NICE TA1170 — recommended for ASCT-unsuitable untreated myeloma</w:t>
      </w:r>
    </w:p>
    <w:p>
      <w:pPr>
        <w:spacing w:after="40" w:before="40" w:line="300"/>
        <w:jc w:val="left"/>
      </w:pPr>
      <w:r>
        <w:t>Pathway placement: NICE-recommended under TA1170 for untreated multiple myeloma in adults when autologous stem cell transplant is unsuitable, subject to the commercial arrangement.</w:t>
      </w:r>
    </w:p>
    <w:p>
      <w:pPr>
        <w:spacing w:after="40" w:before="40" w:line="300"/>
        <w:jc w:val="left"/>
      </w:pPr>
      <w:r>
        <w:t>Dose: Use the current SmPC and a pharmacy-controlled local protocol. No dose example is provided here for the TA1170 pathway. Verify renal/hepatic and frailty modifications, drug interactions, Blueteq, local formulary implementation and pharmacy approval before prescribing.</w:t>
      </w:r>
    </w:p>
    <w:p>
      <w:pPr>
        <w:spacing w:after="40" w:before="40" w:line="300"/>
        <w:jc w:val="left"/>
      </w:pPr>
      <w:r>
        <w:t>NICE TA: TA1170, published 24 June 2026. NICE states that D-VRd can be used routinely across the NHS in this population and must be funded in England within 90 days of final publication.</w:t>
      </w:r>
    </w:p>
    <w:p>
      <w:pPr>
        <w:spacing w:after="40" w:before="40" w:line="300"/>
        <w:jc w:val="left"/>
      </w:pPr>
      <w:r>
        <w:t>Notes: Keep this transplant-ineligible recommendation separate from the transplant-eligible appraisal GID-TA11254 / ID6249, which remains in development. Confirm Blueteq, local formulary implementation and pharmacy approval before prescribing.</w:t>
      </w:r>
    </w:p>
    <w:p>
      <w:pPr>
        <w:pStyle w:val="Heading1"/>
        <w:spacing w:after="160" w:before="360"/>
      </w:pPr>
      <w:r>
        <w:rPr>
          <w:rFonts w:ascii="Georgia" w:cs="Georgia" w:eastAsia="Georgia" w:hAnsi="Georgia"/>
          <w:b/>
          <w:bCs/>
          <w:color w:val="7A1F2B"/>
          <w:sz w:val="30"/>
          <w:szCs w:val="30"/>
        </w:rPr>
        <w:t xml:space="preserve">9. </w:t>
      </w:r>
      <w:r>
        <w:rPr>
          <w:rFonts w:ascii="Georgia" w:cs="Georgia" w:eastAsia="Georgia" w:hAnsi="Georgia"/>
          <w:b/>
          <w:bCs/>
          <w:color w:val="7A1F2B"/>
          <w:sz w:val="30"/>
          <w:szCs w:val="30"/>
        </w:rPr>
        <w:t xml:space="preserve">High-Risk and Transplant-Eligible NDMM</w:t>
      </w:r>
    </w:p>
    <w:p>
      <w:pPr>
        <w:spacing w:after="80" w:before="80" w:line="300"/>
        <w:jc w:val="left"/>
      </w:pPr>
      <w:r>
        <w:rPr>
          <w:rFonts w:ascii="Georgia" w:cs="Georgia" w:eastAsia="Georgia" w:hAnsi="Georgia"/>
          <w:b w:val="false"/>
          <w:bCs w:val="false"/>
          <w:i w:val="false"/>
          <w:iCs w:val="false"/>
          <w:color w:val="1D1D1D"/>
          <w:sz w:val="22"/>
          <w:szCs w:val="22"/>
        </w:rPr>
        <w:t xml:space="preserve">Approximately 25 per cent of transplant-eligible patients experience early relapse after high-dose melphalan and ASCT. These patients have substantially shortened overall survival and are now defined by molecular features.</w:t>
      </w:r>
    </w:p>
    <w:p>
      <w:pPr>
        <w:spacing w:after="80" w:before="180"/>
      </w:pPr>
      <w:r>
        <w:rPr>
          <w:rFonts w:ascii="Georgia" w:cs="Georgia" w:eastAsia="Georgia" w:hAnsi="Georgia"/>
          <w:b/>
          <w:bCs/>
          <w:color w:val="1D1D1D"/>
          <w:sz w:val="24"/>
          <w:szCs w:val="24"/>
        </w:rPr>
        <w:t xml:space="preserve">Molecular definition (BSH 2024)</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Two or more high-risk cytogenetic abnormalities (2+ HRCA, also called double-hit): any pair drawn from t(4;14), t(14;16), t(14;20), del(1p), gain(1q) and del(17p).</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SKY92 GEP high-risk signature (an additional approximately 10 per cent of HRMM).</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Primary plasma cell leukaemia (5 per cent or more circulating plasma cells, IMWG 2021 redefinition).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Extramedullary disease at diagnosis is associated with HRCA and a high-risk gene expression profile.</w:t>
      </w:r>
    </w:p>
    <w:p>
      <w:pPr>
        <w:spacing w:after="80" w:before="180"/>
      </w:pPr>
      <w:r>
        <w:rPr>
          <w:rFonts w:ascii="Georgia" w:cs="Georgia" w:eastAsia="Georgia" w:hAnsi="Georgia"/>
          <w:b/>
          <w:bCs/>
          <w:color w:val="1D1D1D"/>
          <w:sz w:val="24"/>
          <w:szCs w:val="24"/>
        </w:rPr>
        <w:t xml:space="preserve">Stratified treatment evidence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226"/>
      </w:tblGrid>
      <w:tr>
        <w:trPr>
          <w:tblHeader/>
        </w:trPr>
        <w:tc>
          <w:tcPr>
            <w:tcW w:type="dxa" w:w="2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Trial</w:t>
            </w:r>
          </w:p>
        </w:tc>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Population</w:t>
            </w:r>
          </w:p>
        </w:tc>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Regimen</w:t>
            </w:r>
          </w:p>
        </w:tc>
        <w:tc>
          <w:tcPr>
            <w:tcW w:type="dxa" w:w="22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30-month PFS</w:t>
            </w:r>
          </w:p>
        </w:tc>
      </w:tr>
      <w:tr>
        <w:tc>
          <w:tcPr>
            <w:tcW w:type="dxa" w:w="2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OPTIMUM / MUKnine (UK)</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 HRCA, SKY92 high-risk GEP or PCL</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Dara-CVRd induction, bortezomib-augmented ASCT, Dara-VRd consolidation 1, Dara-VR consolidation 2, Dara-R maintenance until progression</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77% (40% in Myeloma XI comparator)</w:t>
            </w:r>
          </w:p>
        </w:tc>
      </w:tr>
      <w:tr>
        <w:tc>
          <w:tcPr>
            <w:tcW w:type="dxa" w:w="2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GMMG-CONCEPT</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ISS 2/3 plus one or more of t(4;14), t(14;16), amp(1q)</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Isa-KRd x 6, single ASCT, Isa-KRd x 4, Isa-KR maintenance x 26</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78% (3-year PFS 68.9%)</w:t>
            </w:r>
          </w:p>
        </w:tc>
      </w:tr>
      <w:tr>
        <w:tc>
          <w:tcPr>
            <w:tcW w:type="dxa" w:w="2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IFM 2018-04</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del(17p), t(4;14) or t(14;16)</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Dara-KRd x 6, ASCT, Dara-KRd x 4, second ASCT, Dara-R maintenance x 24</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80%</w:t>
            </w:r>
          </w:p>
        </w:tc>
      </w:tr>
      <w:tr>
        <w:tc>
          <w:tcPr>
            <w:tcW w:type="dxa" w:w="2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EMN12 (TE PCL)</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Primary plasma cell leukaemia</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KRd x 4, single or tandem ASCT (or auto-allo), KRd x 4, KR maintenance until progression</w:t>
            </w:r>
          </w:p>
        </w:tc>
        <w:tc>
          <w:tcPr>
            <w:tcW w:type="dxa" w:w="22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Median PFS 15.5 months, median OS 28.4 months</w:t>
            </w:r>
          </w:p>
        </w:tc>
      </w:tr>
    </w:tbl>
    <w:p>
      <w:pPr>
        <w:spacing w:after="80" w:before="80" w:line="300"/>
        <w:jc w:val="left"/>
      </w:pPr>
      <w:r>
        <w:rPr>
          <w:rFonts w:ascii="Georgia" w:cs="Georgia" w:eastAsia="Georgia" w:hAnsi="Georgia"/>
          <w:b w:val="false"/>
          <w:bCs w:val="false"/>
          <w:i/>
          <w:iCs/>
          <w:color w:val="4A4A4A"/>
          <w:sz w:val="18"/>
          <w:szCs w:val="18"/>
        </w:rPr>
        <w:t xml:space="preserve">Source: Kaiser 2024 BSH/UKMS Good Practice Paper.</w:t>
      </w:r>
    </w:p>
    <w:p>
      <w:pPr>
        <w:spacing w:after="80" w:before="180"/>
      </w:pPr>
      <w:r>
        <w:rPr>
          <w:rFonts w:ascii="Georgia" w:cs="Georgia" w:eastAsia="Georgia" w:hAnsi="Georgia"/>
          <w:b/>
          <w:bCs/>
          <w:color w:val="1D1D1D"/>
          <w:sz w:val="24"/>
          <w:szCs w:val="24"/>
        </w:rPr>
        <w:t xml:space="preserve">UK practice points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Current NHS England standard for high-risk NDMM is single ASCT; tandem ASCT is recommended in EHA-EMN and is the only HRMM-specific intensification routinely available on the NHS, based on the EMN02 subgroup analysis. BSH 2024 notes that tandem ASCT carries cumulative toxicity and quality-of-life burden.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Where access permits, treatment as per OPTIMUM, CONCEPT, IFM 2018-04 or EMN12 should be considered.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Tandem ASCT may be considered for HRMM when extended intensified consolidation and maintenance are not available.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Toxicities should be monitored closely with early dose reduction rather than discontinuation of multi-target combinations.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Subcutaneous and home-administered supportive treatments should be used where safe.</w:t>
      </w:r>
    </w:p>
    <w:p>
      <w:pPr>
        <w:pStyle w:val="Heading1"/>
        <w:spacing w:after="160" w:before="360"/>
      </w:pPr>
      <w:r>
        <w:rPr>
          <w:rFonts w:ascii="Georgia" w:cs="Georgia" w:eastAsia="Georgia" w:hAnsi="Georgia"/>
          <w:b/>
          <w:bCs/>
          <w:color w:val="7A1F2B"/>
          <w:sz w:val="30"/>
          <w:szCs w:val="30"/>
        </w:rPr>
        <w:t xml:space="preserve">10. </w:t>
      </w:r>
      <w:r>
        <w:rPr>
          <w:rFonts w:ascii="Georgia" w:cs="Georgia" w:eastAsia="Georgia" w:hAnsi="Georgia"/>
          <w:b/>
          <w:bCs/>
          <w:color w:val="7A1F2B"/>
          <w:sz w:val="30"/>
          <w:szCs w:val="30"/>
        </w:rPr>
        <w:t xml:space="preserve">Imaging Across the Pathway</w:t>
      </w:r>
    </w:p>
    <w:p>
      <w:pPr>
        <w:spacing w:after="80" w:before="80" w:line="300"/>
        <w:jc w:val="left"/>
      </w:pPr>
      <w:r>
        <w:rPr>
          <w:rFonts w:ascii="Georgia" w:cs="Georgia" w:eastAsia="Georgia" w:hAnsi="Georgia"/>
          <w:b w:val="false"/>
          <w:bCs w:val="false"/>
          <w:i w:val="false"/>
          <w:iCs w:val="false"/>
          <w:color w:val="1D1D1D"/>
          <w:sz w:val="22"/>
          <w:szCs w:val="22"/>
        </w:rPr>
        <w:t xml:space="preserve">Whole-body MRI with diffusion weighting (WB-MRI), FDG PET-CT and low-dose whole-body CT all have defined roles in modern myeloma pathways. WB-MRI and PET-CT can detect marrow or extramedullary disease before cortical bone destruction, while CT remains useful for cortical bone assessment and fracture risk. NICE NG35 recommends modern whole-body imaging at diagnosis; local pathways should specify the first-line modality according to access, clinical question and reporting expertise.</w:t>
      </w:r>
    </w:p>
    <w:p>
      <w:pPr>
        <w:spacing w:after="80" w:before="180"/>
      </w:pPr>
      <w:r>
        <w:rPr>
          <w:rFonts w:ascii="Georgia" w:cs="Georgia" w:eastAsia="Georgia" w:hAnsi="Georgia"/>
          <w:b/>
          <w:bCs/>
          <w:color w:val="1D1D1D"/>
          <w:sz w:val="24"/>
          <w:szCs w:val="24"/>
        </w:rPr>
        <w:t xml:space="preserve">Indications for advanced imaging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Clinical scenario</w:t>
            </w:r>
          </w:p>
        </w:tc>
        <w:tc>
          <w:tcPr>
            <w:tcW w:type="dxa" w:w="60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Recommended imaging</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High-intermediate or high-risk MGUS</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WB-MRI, PET-CT or low-dose WB-CT to exclude focal lesions</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Suspected or confirmed SMM</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WB-MRI, PET-CT or low-dose WB-CT according to indication, availability and local protocol; repeat imaging in high-risk SMM or evolving disease as guided by specialist review</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Newly diagnosed myeloma</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Whole-body imaging in all patients; modality should follow NICE/BSH guidance, local access and clinical question</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Biochemical or symptomatic relapse</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WB-MRI or PET-CT, especially in new bone symptoms, extramedullary or oligo-secretory disease</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Oligo- or non-secretory myeloma</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WB imaging at 3 to 4 month intervals; balance cumulative ionising radiation when choosing modality</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Response assessment (clinical trial)</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PET-CT is the most evidence-based for imaging MRD; WB-MRI can be used in routine care</w:t>
            </w:r>
          </w:p>
        </w:tc>
      </w:tr>
    </w:tbl>
    <w:p>
      <w:pPr>
        <w:spacing w:after="80" w:before="80" w:line="300"/>
        <w:jc w:val="left"/>
      </w:pPr>
      <w:r>
        <w:rPr>
          <w:rFonts w:ascii="Georgia" w:cs="Georgia" w:eastAsia="Georgia" w:hAnsi="Georgia"/>
          <w:b w:val="false"/>
          <w:bCs w:val="false"/>
          <w:i/>
          <w:iCs/>
          <w:color w:val="4A4A4A"/>
          <w:sz w:val="18"/>
          <w:szCs w:val="18"/>
        </w:rPr>
        <w:t xml:space="preserve">Source: Kaiser 2024 BSH/UKMS advanced imaging paper; NICE NG35.</w:t>
      </w:r>
    </w:p>
    <w:p>
      <w:pPr>
        <w:spacing w:after="80" w:before="180"/>
      </w:pPr>
      <w:r>
        <w:rPr>
          <w:rFonts w:ascii="Georgia" w:cs="Georgia" w:eastAsia="Georgia" w:hAnsi="Georgia"/>
          <w:b/>
          <w:bCs/>
          <w:color w:val="1D1D1D"/>
          <w:sz w:val="24"/>
          <w:szCs w:val="24"/>
        </w:rPr>
        <w:t xml:space="preserve">Imaging not recommended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Skeletal X-ray survey should not be used as the sole standard assessment where modern whole-body imaging is available.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Axial MRI alone is less complete than WB-MRI and may miss extra-axial disease; reserve it for focused clinical questions such as suspected cord compression or local symptoms.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At relapse, imaging should be matched to the clinical question. Where extramedullary, oligo-secretory or non-secretory progression is suspected, WB-MRI or PET-CT should be considered rather than relying only on cortical bone imaging.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rPr>
                <w:rFonts w:ascii="Georgia" w:cs="Georgia" w:eastAsia="Georgia" w:hAnsi="Georgia"/>
                <w:b/>
                <w:bCs/>
                <w:color w:val="C87A00"/>
                <w:sz w:val="22"/>
                <w:szCs w:val="22"/>
              </w:rPr>
              <w:t xml:space="preserve">Common pitfall — MSCC and out-of-hours imaging</w:t>
            </w:r>
          </w:p>
          <w:p>
            <w:pPr>
              <w:spacing w:after="0" w:before="0" w:line="280"/>
            </w:pPr>
            <w:r>
              <w:rPr>
                <w:rFonts w:ascii="Georgia" w:cs="Georgia" w:eastAsia="Georgia" w:hAnsi="Georgia"/>
                <w:color w:val="1D1D1D"/>
                <w:sz w:val="22"/>
                <w:szCs w:val="22"/>
              </w:rPr>
              <w:t xml:space="preserve">Suspected metastatic spinal cord compression in a known or suspected myeloma patient is a same-day emergency. WB-MRI is the diagnostic standard. Where WB-MRI access is delayed, urgent MRI of the symptomatic region is the minimum; do not wait for routine WB-MRI capacity.</w:t>
            </w:r>
          </w:p>
        </w:tc>
      </w:tr>
    </w:tbl>
    <w:p>
      <w:pPr>
        <w:pStyle w:val="Heading1"/>
        <w:spacing w:after="160" w:before="360"/>
      </w:pPr>
      <w:r>
        <w:rPr>
          <w:rFonts w:ascii="Georgia" w:cs="Georgia" w:eastAsia="Georgia" w:hAnsi="Georgia"/>
          <w:b/>
          <w:bCs/>
          <w:color w:val="7A1F2B"/>
          <w:sz w:val="30"/>
          <w:szCs w:val="30"/>
        </w:rPr>
        <w:t xml:space="preserve">11. </w:t>
      </w:r>
      <w:r>
        <w:rPr>
          <w:rFonts w:ascii="Georgia" w:cs="Georgia" w:eastAsia="Georgia" w:hAnsi="Georgia"/>
          <w:b/>
          <w:bCs/>
          <w:color w:val="7A1F2B"/>
          <w:sz w:val="30"/>
          <w:szCs w:val="30"/>
        </w:rPr>
        <w:t xml:space="preserve">Relapsed and Refractory Myeloma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E5D8C" w:sz="4"/>
              <w:left w:val="single" w:color="1E5D8C" w:sz="4"/>
              <w:bottom w:val="single" w:color="1E5D8C" w:sz="4"/>
              <w:right w:val="single" w:color="1E5D8C" w:sz="4"/>
            </w:tcBorders>
            <w:shd w:fill="E7F0F7" w:val="clear"/>
            <w:tcMar>
              <w:top w:type="dxa" w:w="140"/>
              <w:left w:type="dxa" w:w="160"/>
              <w:bottom w:type="dxa" w:w="140"/>
              <w:right w:type="dxa" w:w="160"/>
            </w:tcMar>
          </w:tcPr>
          <w:p>
            <w:pPr>
              <w:spacing w:after="80" w:before="0"/>
            </w:pPr>
            <w:r>
              <w:rPr>
                <w:rFonts w:ascii="Georgia" w:cs="Georgia" w:eastAsia="Georgia" w:hAnsi="Georgia"/>
                <w:b/>
                <w:bCs/>
                <w:color w:val="1E5D8C"/>
                <w:sz w:val="22"/>
                <w:szCs w:val="22"/>
              </w:rPr>
              <w:t xml:space="preserve">Clinical Vignette</w:t>
            </w:r>
          </w:p>
          <w:p>
            <w:pPr>
              <w:spacing w:after="0" w:before="0" w:line="280"/>
            </w:pPr>
            <w:r>
              <w:rPr>
                <w:rFonts w:ascii="Georgia" w:cs="Georgia" w:eastAsia="Georgia" w:hAnsi="Georgia"/>
                <w:color w:val="1D1D1D"/>
                <w:sz w:val="22"/>
                <w:szCs w:val="22"/>
              </w:rPr>
              <w:t xml:space="preserve">A 64-year-old man, three years post-ASCT, has had stable disease on lenalidomide maintenance. He attends with rising IgG-kappa M-protein from 8 to 22 g/L over four months and a fall in haemoglobin from 128 to 104 g/L. No bone pain, no hypercalcaemia. Repeat FISH shows acquired gain(1q) and del(17p) not present at diagnosis. He has a working knowledge of his diagnosis and asks about cellular therapies. What is the appropriate next step?</w:t>
            </w:r>
          </w:p>
        </w:tc>
      </w:tr>
    </w:tbl>
    <w:p>
      <w:pPr>
        <w:spacing w:after="80" w:before="80" w:line="300"/>
        <w:jc w:val="left"/>
      </w:pPr>
      <w:r>
        <w:rPr>
          <w:rFonts w:ascii="Georgia" w:cs="Georgia" w:eastAsia="Georgia" w:hAnsi="Georgia"/>
          <w:b w:val="false"/>
          <w:bCs w:val="false"/>
          <w:i w:val="false"/>
          <w:iCs w:val="false"/>
          <w:color w:val="1D1D1D"/>
          <w:sz w:val="22"/>
          <w:szCs w:val="22"/>
        </w:rPr>
        <w:t xml:space="preserve">Definitions follow IMWG and BSH/UKMS 2025. Relapsed myeloma (RMM) describes serological or clinical progression in patients who had a minimal response or better. Relapsed and refractory myeloma (RRMM) describes progression on treatment or within 60 days of completing the last therapy. Triple-class refractory myeloma is refractoriness to at least one IMiD, one PI and one anti-CD38 monoclonal antibody. Penta-refractory myeloma is refractoriness to two IMiDs, two PIs and an anti-CD38 antibody.</w:t>
      </w:r>
    </w:p>
    <w:p>
      <w:pPr>
        <w:spacing w:after="80" w:before="180"/>
      </w:pPr>
      <w:r>
        <w:rPr>
          <w:rFonts w:ascii="Georgia" w:cs="Georgia" w:eastAsia="Georgia" w:hAnsi="Georgia"/>
          <w:b/>
          <w:bCs/>
          <w:color w:val="1D1D1D"/>
          <w:sz w:val="24"/>
          <w:szCs w:val="24"/>
        </w:rPr>
        <w:t xml:space="preserve">Evaluation at progression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Repeat FBC, U and E, calcium, LDH, beta-2 microglobulin, immunoglobulins, SPE, immunofixation and serum FLC.</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Bone marrow aspirate and trephine, particularly at first or second relapse, to characterise the clone and exclude myelodysplasia. Repeat FISH where genomic information may direct therapy (for example t(11;14) for venetoclax).</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Functional cross-sectional imaging (WB-MRI or PET-CT) for new bone symptoms, oligo-secretory or extramedullary disease. Plain X-ray is inadequate.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Full reassessment of patient-specific factors: previous response, toxicities, performance status, frailty, comorbidity, preference and trial eligibility.</w:t>
      </w:r>
    </w:p>
    <w:p>
      <w:pPr>
        <w:spacing w:after="80" w:before="180"/>
      </w:pPr>
      <w:r>
        <w:rPr>
          <w:rFonts w:ascii="Georgia" w:cs="Georgia" w:eastAsia="Georgia" w:hAnsi="Georgia"/>
          <w:b/>
          <w:bCs/>
          <w:color w:val="1D1D1D"/>
          <w:sz w:val="24"/>
          <w:szCs w:val="24"/>
        </w:rPr>
        <w:t xml:space="preserve">Asymptomatic biochemical relapse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Slow progression without CRAB criteria can be monitored initially every month.</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 rapid trajectory of biochemical progression, high-risk features, prior short treatment-free interval, light chain renal injury, extramedullary disease or unfavourable cytogenetics support earlier treatment initiation.</w:t>
      </w:r>
    </w:p>
    <w:p>
      <w:pPr>
        <w:spacing w:after="80" w:before="180"/>
      </w:pPr>
      <w:r>
        <w:rPr>
          <w:rFonts w:ascii="Georgia" w:cs="Georgia" w:eastAsia="Georgia" w:hAnsi="Georgia"/>
          <w:b/>
          <w:bCs/>
          <w:color w:val="1D1D1D"/>
          <w:sz w:val="24"/>
          <w:szCs w:val="24"/>
        </w:rPr>
        <w:t xml:space="preserve">Principles of treatment selection (BSH/UKMS 2025)</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Triplet regimens are recommended over doublets, subject to tolerance (Strong / High).</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Generally use a PI–IMiD–steroid combination (carfilzomib–lenalidomide–dexamethasone; ixazomib–lenalidomide–dexamethasone; pomalidomide–bortezomib–dexamethasone).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Switch backbone agent from the most recent regimen unless there has been a long treatment-free interval.</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When a PI doublet is used, carfilzomib–dexamethasone is preferred to bortezomib–dexamethasone.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When an IMiD doublet is used, lenalidomide–dexamethasone or pomalidomide–dexamethasone are options.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Use risk-adapted thromboprophylaxis with all IMiDs and varicella zoster prophylaxis with proteasome inhibitors.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Restart bisphosphonates at frank relapse if previously stopped.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Clinical trial enrolment should be considered at every line of therapy, including in multiply-relapsed patients.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7A1F2B" w:sz="16"/>
              <w:bottom w:val="single" w:color="D8C9CB" w:sz="4"/>
              <w:right w:val="single" w:color="D8C9CB" w:sz="4"/>
            </w:tcBorders>
            <w:shd w:fill="F5E9EB" w:val="clear"/>
            <w:tcMar>
              <w:top w:type="dxa" w:w="140"/>
              <w:left w:type="dxa" w:w="200"/>
              <w:bottom w:type="dxa" w:w="140"/>
              <w:right w:type="dxa" w:w="160"/>
            </w:tcMar>
          </w:tcPr>
          <w:p>
            <w:pPr>
              <w:spacing w:after="80" w:before="0"/>
            </w:pPr>
            <w:r>
              <w:rPr>
                <w:rFonts w:ascii="Georgia" w:cs="Georgia" w:eastAsia="Georgia" w:hAnsi="Georgia"/>
                <w:b/>
                <w:bCs/>
                <w:color w:val="7A1F2B"/>
                <w:sz w:val="22"/>
                <w:szCs w:val="22"/>
              </w:rPr>
              <w:t xml:space="preserve">Pattern recognition — class-switch at relapse</w:t>
            </w:r>
          </w:p>
          <w:p>
            <w:pPr>
              <w:spacing w:after="0" w:before="0" w:line="280"/>
            </w:pPr>
            <w:r>
              <w:rPr>
                <w:rFonts w:ascii="Georgia" w:cs="Georgia" w:eastAsia="Georgia" w:hAnsi="Georgia"/>
                <w:color w:val="1D1D1D"/>
                <w:sz w:val="22"/>
                <w:szCs w:val="22"/>
              </w:rPr>
              <w:t xml:space="preserve">The most reliable principle in relapsed myeloma is to switch the backbone class from the most recent line, unless the treatment-free interval has been long. PI-refractory disease usually responds to an IMiD-backboned regimen and vice-versa; anti-CD38 sensitivity may be retained after a sufficient interval since last exposure.</w:t>
            </w:r>
          </w:p>
        </w:tc>
      </w:tr>
    </w:tbl>
    <w:p>
      <w:pPr>
        <w:spacing w:after="80" w:before="180"/>
      </w:pPr>
      <w:r>
        <w:rPr>
          <w:rFonts w:ascii="Georgia" w:cs="Georgia" w:eastAsia="Georgia" w:hAnsi="Georgia"/>
          <w:b/>
          <w:bCs/>
          <w:color w:val="1D1D1D"/>
          <w:sz w:val="24"/>
          <w:szCs w:val="24"/>
        </w:rPr>
        <w:t xml:space="preserve">UK-relevant regimens at relapse</w:t>
      </w:r>
    </w:p>
    <w:p>
      <w:pPr>
        <w:spacing w:after="40" w:before="160" w:line="300"/>
        <w:jc w:val="left"/>
      </w:pPr>
      <w:r>
        <w:rPr>
          <w:rFonts w:ascii="Georgia" w:cs="Georgia" w:eastAsia="Georgia" w:hAnsi="Georgia"/>
          <w:b/>
          <w:bCs/>
          <w:i w:val="false"/>
          <w:iCs w:val="false"/>
          <w:color w:val="7A1F2B"/>
          <w:sz w:val="23"/>
          <w:szCs w:val="23"/>
        </w:rPr>
        <w:t xml:space="preserve">Carfilzomib + lenalidomide + dexamethasone (KRd)</w:t>
      </w:r>
    </w:p>
    <w:p>
      <w:pPr>
        <w:spacing w:after="80" w:before="80" w:line="300"/>
        <w:jc w:val="left"/>
      </w:pPr>
      <w:r>
        <w:rPr>
          <w:rFonts w:ascii="Georgia" w:cs="Georgia" w:eastAsia="Georgia" w:hAnsi="Georgia"/>
          <w:b/>
          <w:bCs/>
          <w:i w:val="false"/>
          <w:iCs w:val="false"/>
          <w:color w:val="7A1F2B"/>
          <w:sz w:val="20"/>
          <w:szCs w:val="20"/>
        </w:rPr>
        <w:t xml:space="preserve">NICE TA695</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Carfilzomib 27 mg/m squared IV (escalating from 20 mg/m squared on cycle 1 day 1) days 1, 2, 8, 9, 15, 16; lenalidomide 25 mg PO days 1 to 21; dexamethasone 40 mg weekly. 28-day cycles.</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TA695, recommended for previously treated multiple myeloma (partially replaces TA657).</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ASPIRE (Stewart et al., NEJM 2015). Improved PFS and OS over Rd.</w:t>
      </w:r>
    </w:p>
    <w:p>
      <w:pPr>
        <w:spacing w:after="40" w:before="160" w:line="300"/>
        <w:jc w:val="left"/>
      </w:pPr>
      <w:r>
        <w:rPr>
          <w:rFonts w:ascii="Georgia" w:cs="Georgia" w:eastAsia="Georgia" w:hAnsi="Georgia"/>
          <w:b/>
          <w:bCs/>
          <w:i w:val="false"/>
          <w:iCs w:val="false"/>
          <w:color w:val="7A1F2B"/>
          <w:sz w:val="23"/>
          <w:szCs w:val="23"/>
        </w:rPr>
        <w:t xml:space="preserve">Daratumumab + bortezomib + dexamethasone (Dara-Vd)</w:t>
      </w:r>
    </w:p>
    <w:p>
      <w:pPr>
        <w:spacing w:after="80" w:before="80" w:line="300"/>
        <w:jc w:val="left"/>
      </w:pP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Daratumumab subcutaneous 1,800 mg weekly cycles 1 to 3, every 3 weeks cycles 4 to 8, then every 4 weeks; bortezomib 1.3 mg/m squared SC days 1, 4, 8, 11; dexamethasone 20 mg D1-2, 4-5, 8-9, 11-12 of 21-day cycle.</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CASTOR (Palumbo et al., NEJM 2016). Improved PFS over Vd.</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NICE TA status varies by line of therapy and prior exposure; verify current TA before prescribing.</w:t>
      </w:r>
    </w:p>
    <w:p>
      <w:pPr>
        <w:spacing w:after="40" w:before="160" w:line="300"/>
        <w:jc w:val="left"/>
      </w:pPr>
      <w:r>
        <w:rPr>
          <w:rFonts w:ascii="Georgia" w:cs="Georgia" w:eastAsia="Georgia" w:hAnsi="Georgia"/>
          <w:b/>
          <w:bCs/>
          <w:i w:val="false"/>
          <w:iCs w:val="false"/>
          <w:color w:val="7A1F2B"/>
          <w:sz w:val="23"/>
          <w:szCs w:val="23"/>
        </w:rPr>
        <w:t xml:space="preserve">Daratumumab + lenalidomide + dexamethasone (Dara-Rd)</w:t>
      </w:r>
    </w:p>
    <w:p>
      <w:pPr>
        <w:spacing w:after="80" w:before="80" w:line="300"/>
        <w:jc w:val="left"/>
      </w:pP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Daratumumab subcutaneous; lenalidomide 25 mg PO days 1 to 21 of 28-day cycle; dexamethasone 40 mg weekly.</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POLLUX (Dimopoulos et al., NEJM 2016). Improved PFS over Rd; long-term follow-up shows sustained benefit.</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NICE TA status varies by prior treatment line and exposure; verify current TA.</w:t>
      </w:r>
    </w:p>
    <w:p>
      <w:pPr>
        <w:spacing w:after="40" w:before="160" w:line="300"/>
        <w:jc w:val="left"/>
      </w:pPr>
      <w:r>
        <w:rPr>
          <w:rFonts w:ascii="Georgia" w:cs="Georgia" w:eastAsia="Georgia" w:hAnsi="Georgia"/>
          <w:b/>
          <w:bCs/>
          <w:i w:val="false"/>
          <w:iCs w:val="false"/>
          <w:color w:val="7A1F2B"/>
          <w:sz w:val="23"/>
          <w:szCs w:val="23"/>
        </w:rPr>
        <w:t xml:space="preserve">Isatuximab + carfilzomib + dexamethasone (Isa-Kd)</w:t>
      </w:r>
    </w:p>
    <w:p>
      <w:pPr>
        <w:spacing w:after="80" w:before="80" w:line="300"/>
        <w:jc w:val="left"/>
      </w:pP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Isatuximab 10 mg/kg IV (weekly cycle 1, then every 2 weeks); carfilzomib 56 mg/m squared IV; dexamethasone 20 mg twice weekly.</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IKEMA (Moreau et al., Lancet 2021). Improved PFS over Kd.</w:t>
      </w:r>
    </w:p>
    <w:p>
      <w:pPr>
        <w:spacing w:after="40" w:before="40" w:line="300"/>
        <w:jc w:val="left"/>
      </w:pPr>
      <w:r>
        <w:rPr>
          <w:rFonts w:ascii="Georgia" w:cs="Georgia" w:eastAsia="Georgia" w:hAnsi="Georgia"/>
          <w:b/>
          <w:bCs/>
          <w:i w:val="false"/>
          <w:iCs w:val="false"/>
          <w:color w:val="1D1D1D"/>
          <w:sz w:val="22"/>
          <w:szCs w:val="22"/>
        </w:rPr>
        <w:t xml:space="preserve">Notes: Evidence-only regimen in this guideline; commissioning is not asserted. Confirm current NICE and local access before use.</w:t>
      </w:r>
      <w:r>
        <w:rPr>
          <w:rFonts w:ascii="Georgia" w:cs="Georgia" w:eastAsia="Georgia" w:hAnsi="Georgia"/>
          <w:b w:val="false"/>
          <w:bCs w:val="false"/>
          <w:i w:val="false"/>
          <w:iCs w:val="false"/>
          <w:color w:val="1D1D1D"/>
          <w:sz w:val="22"/>
          <w:szCs w:val="22"/>
        </w:rPr>
        <w:t xml:space="preserve"/>
      </w:r>
    </w:p>
    <w:p>
      <w:pPr>
        <w:spacing w:after="40" w:before="160" w:line="300"/>
        <w:jc w:val="left"/>
      </w:pPr>
      <w:r>
        <w:rPr>
          <w:rFonts w:ascii="Georgia" w:cs="Georgia" w:eastAsia="Georgia" w:hAnsi="Georgia"/>
          <w:b/>
          <w:bCs/>
          <w:i w:val="false"/>
          <w:iCs w:val="false"/>
          <w:color w:val="7A1F2B"/>
          <w:sz w:val="23"/>
          <w:szCs w:val="23"/>
        </w:rPr>
        <w:t xml:space="preserve">Isatuximab + pomalidomide + dexamethasone (Isa-Pd)</w:t>
      </w:r>
    </w:p>
    <w:p>
      <w:pPr>
        <w:spacing w:after="80" w:before="80" w:line="300"/>
        <w:jc w:val="left"/>
      </w:pP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Isatuximab 10 mg/kg IV (weekly cycle 1, then every 2 weeks); pomalidomide 4 mg PO days 1 to 21; dexamethasone 40 mg weekly.</w:t>
      </w:r>
    </w:p>
    <w:p>
      <w:pPr>
        <w:spacing w:after="40" w:before="40" w:line="300"/>
        <w:jc w:val="left"/>
      </w:pPr>
      <w:r>
        <w:rPr>
          <w:rFonts w:ascii="Georgia" w:cs="Georgia" w:eastAsia="Georgia" w:hAnsi="Georgia"/>
          <w:b/>
          <w:bCs/>
          <w:i w:val="false"/>
          <w:iCs w:val="false"/>
          <w:color w:val="1D1D1D"/>
          <w:sz w:val="22"/>
          <w:szCs w:val="22"/>
        </w:rPr>
        <w:t xml:space="preserve">Trial basis: ICARIA-MM (Attal et al., Lancet 2019). Improved PFS in lenalidomide-refractory disease. Evidence-only regimen in this guideline; commissioning is not asserted. Confirm current NICE and local access before use.</w:t>
      </w:r>
      <w:r>
        <w:rPr>
          <w:rFonts w:ascii="Georgia" w:cs="Georgia" w:eastAsia="Georgia" w:hAnsi="Georgia"/>
          <w:b w:val="false"/>
          <w:bCs w:val="false"/>
          <w:i w:val="false"/>
          <w:iCs w:val="false"/>
          <w:color w:val="1D1D1D"/>
          <w:sz w:val="22"/>
          <w:szCs w:val="22"/>
        </w:rPr>
        <w:t xml:space="preserve"/>
      </w:r>
    </w:p>
    <w:p>
      <w:pPr>
        <w:spacing w:after="40" w:before="160" w:line="300"/>
        <w:jc w:val="left"/>
      </w:pPr>
      <w:r>
        <w:rPr>
          <w:rFonts w:ascii="Georgia" w:cs="Georgia" w:eastAsia="Georgia" w:hAnsi="Georgia"/>
          <w:b/>
          <w:bCs/>
          <w:i w:val="false"/>
          <w:iCs w:val="false"/>
          <w:color w:val="7A1F2B"/>
          <w:sz w:val="23"/>
          <w:szCs w:val="23"/>
        </w:rPr>
        <w:t xml:space="preserve">Pomalidomide + bortezomib + dexamethasone (PVd)</w:t>
      </w:r>
    </w:p>
    <w:p>
      <w:pPr>
        <w:spacing w:after="80" w:before="80" w:line="300"/>
        <w:jc w:val="left"/>
      </w:pPr>
      <w:r>
        <w:rPr>
          <w:rFonts w:ascii="Georgia" w:cs="Georgia" w:eastAsia="Georgia" w:hAnsi="Georgia"/>
          <w:b/>
          <w:bCs/>
          <w:i w:val="false"/>
          <w:iCs w:val="false"/>
          <w:color w:val="C87A00"/>
          <w:sz w:val="20"/>
          <w:szCs w:val="20"/>
        </w:rPr>
        <w:t xml:space="preserve">Moderate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Pomalidomide 4 mg PO days 1 to 14 of 21-day cycle; bortezomib 1.3 mg/m squared SC days 1, 8 (cycles 1 to 8) then day 1; dexamethasone 20 mg twice weekly.</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OPTIMISMM (Richardson et al., Lancet Oncol 2019). Improved PFS over Vd in lenalidomide-exposed patients.</w:t>
      </w:r>
    </w:p>
    <w:p>
      <w:pPr>
        <w:spacing w:after="40" w:before="160" w:line="300"/>
        <w:jc w:val="left"/>
      </w:pPr>
      <w:r>
        <w:rPr>
          <w:rFonts w:ascii="Georgia" w:cs="Georgia" w:eastAsia="Georgia" w:hAnsi="Georgia"/>
          <w:b/>
          <w:bCs/>
          <w:i w:val="false"/>
          <w:iCs w:val="false"/>
          <w:color w:val="7A1F2B"/>
          <w:sz w:val="23"/>
          <w:szCs w:val="23"/>
        </w:rPr>
        <w:t xml:space="preserve">Pomalidomide + dexamethasone (Pd)</w:t>
      </w:r>
    </w:p>
    <w:p>
      <w:pPr>
        <w:spacing w:after="80" w:before="80" w:line="300"/>
        <w:jc w:val="left"/>
      </w:pPr>
      <w:r>
        <w:rPr>
          <w:rFonts w:ascii="Georgia" w:cs="Georgia" w:eastAsia="Georgia" w:hAnsi="Georgia"/>
          <w:b/>
          <w:bCs/>
          <w:i w:val="false"/>
          <w:iCs w:val="false"/>
          <w:color w:val="7A1F2B"/>
          <w:sz w:val="20"/>
          <w:szCs w:val="20"/>
        </w:rPr>
        <w:t xml:space="preserve">NICE TA427</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C87A00"/>
          <w:sz w:val="20"/>
          <w:szCs w:val="20"/>
        </w:rPr>
        <w:t xml:space="preserve">Moderate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Pomalidomide 4 mg PO days 1 to 21 of 28-day cycle; dexamethasone 40 mg weekly (20 mg if aged above 75).</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TA427, established NHS option for R/R MM after 3 or more prior treatments.</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MM-003 (San Miguel, Lancet Oncol 2013).</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Main current UK comparator for late-line treatments (referenced explicitly in TA1015 teclistamab appraisal).</w:t>
      </w:r>
    </w:p>
    <w:p>
      <w:pPr>
        <w:spacing w:after="40" w:before="160" w:line="300"/>
        <w:jc w:val="left"/>
      </w:pPr>
      <w:r>
        <w:rPr>
          <w:rFonts w:ascii="Georgia" w:cs="Georgia" w:eastAsia="Georgia" w:hAnsi="Georgia"/>
          <w:b/>
          <w:bCs/>
          <w:i w:val="false"/>
          <w:iCs w:val="false"/>
          <w:color w:val="7A1F2B"/>
          <w:sz w:val="23"/>
          <w:szCs w:val="23"/>
        </w:rPr>
        <w:t xml:space="preserve">Teclistamab (BCMA x CD3 T-cell engager)</w:t>
      </w:r>
    </w:p>
    <w:p>
      <w:pPr>
        <w:spacing w:after="80" w:before="80" w:line="300"/>
        <w:jc w:val="left"/>
      </w:pPr>
      <w:r>
        <w:rPr>
          <w:rFonts w:ascii="Georgia" w:cs="Georgia" w:eastAsia="Georgia" w:hAnsi="Georgia"/>
          <w:b/>
          <w:bCs/>
          <w:i w:val="false"/>
          <w:iCs w:val="false"/>
          <w:color w:val="7A1F2B"/>
          <w:sz w:val="20"/>
          <w:szCs w:val="20"/>
        </w:rPr>
        <w:t xml:space="preserve">NICE TA1015</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Subcutaneous step-up dosing (0.06 mg/kg, 0.3 mg/kg, then full dose 1.5 mg/kg) followed by 1.5 mg/kg weekly; transition to every 2 weeks after sustained response per current SmPC.</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TA1015, recommended November 2024 for R/R MM after 3 or more prior lines (including an IMiD, PI and anti-CD38) with progression on the last treatment. Replaces and updates TA869.</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MajesTEC-1 (Moreau et al., NEJM 2022).</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Treatment in approved centres with cytokine release syndrome and ICANS management protocols. Mandatory step-up dosing with monitoring. Hypogammaglobulinaemia almost universal — consider IVIg replacement and antimicrobial prophylaxis.</w:t>
      </w:r>
    </w:p>
    <w:p>
      <w:pPr>
        <w:spacing w:after="40" w:before="160" w:line="300"/>
        <w:jc w:val="left"/>
      </w:pPr>
      <w:r>
        <w:rPr>
          <w:rFonts w:ascii="Georgia" w:cs="Georgia" w:eastAsia="Georgia" w:hAnsi="Georgia"/>
          <w:b/>
          <w:bCs/>
          <w:i w:val="false"/>
          <w:iCs w:val="false"/>
          <w:color w:val="7A1F2B"/>
          <w:sz w:val="23"/>
          <w:szCs w:val="23"/>
        </w:rPr>
        <w:t xml:space="preserve">Elranatamab (BCMA x CD3 T-cell engager)</w:t>
      </w:r>
    </w:p>
    <w:p>
      <w:pPr>
        <w:spacing w:after="80" w:before="80" w:line="300"/>
        <w:jc w:val="left"/>
      </w:pPr>
      <w:r>
        <w:rPr>
          <w:rFonts w:ascii="Georgia" w:cs="Georgia" w:eastAsia="Georgia" w:hAnsi="Georgia"/>
          <w:b/>
          <w:bCs/>
          <w:i w:val="false"/>
          <w:iCs w:val="false"/>
          <w:color w:val="7A1F2B"/>
          <w:sz w:val="20"/>
          <w:szCs w:val="20"/>
        </w:rPr>
        <w:t xml:space="preserve">NICE TA1023 (managed access)</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C87A00"/>
          <w:sz w:val="20"/>
          <w:szCs w:val="20"/>
        </w:rPr>
        <w:t xml:space="preserve">High / Conditional</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Subcutaneous step-up then weekly maintenance per current SmPC. Dose example only — verify against current SmPC, local e-prescribing protocol, renal/hepatic adjustment, frailty modification, pharmacy verification.</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TA1023 (December 2024). Recommended for R/R MM after 3 or more prior treatments (IMiD, PI and anti-CD38) under a managed-access evidence-collection arrangement. NICE will review guidance after further evidence review.</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MagnetisMM-3 (Lesokhin et al., Nat Med 2023).</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Managed-access BCMA bispecific option. Treatment in approved centres with CRS and ICANS management protocols. Hypogammaglobulinaemia almost universal, IVIg replacement and antimicrobial prophylaxis indicated. Verify current managed-access criteria and Blueteq form before prescribing.</w:t>
      </w:r>
    </w:p>
    <w:p>
      <w:pPr>
        <w:spacing w:after="40" w:before="160" w:line="300"/>
        <w:jc w:val="left"/>
      </w:pPr>
      <w:r>
        <w:rPr>
          <w:rFonts w:ascii="Georgia" w:cs="Georgia" w:eastAsia="Georgia" w:hAnsi="Georgia"/>
          <w:b/>
          <w:bCs/>
          <w:i w:val="false"/>
          <w:iCs w:val="false"/>
          <w:color w:val="7A1F2B"/>
          <w:sz w:val="23"/>
          <w:szCs w:val="23"/>
        </w:rPr>
        <w:t xml:space="preserve">Linvoseltamab (BCMA x CD3 T-cell engager)</w:t>
      </w:r>
    </w:p>
    <w:p>
      <w:pPr>
        <w:spacing w:after="80" w:before="80" w:line="300"/>
        <w:jc w:val="left"/>
      </w:pPr>
      <w:r>
        <w:rPr>
          <w:rFonts w:ascii="Georgia" w:cs="Georgia" w:eastAsia="Georgia" w:hAnsi="Georgia"/>
          <w:b/>
          <w:bCs/>
          <w:i w:val="false"/>
          <w:iCs w:val="false"/>
          <w:color w:val="AA3A3A"/>
          <w:sz w:val="20"/>
          <w:szCs w:val="20"/>
        </w:rPr>
        <w:t xml:space="preserve">No current NICE TA</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C87A00"/>
          <w:sz w:val="20"/>
          <w:szCs w:val="20"/>
        </w:rPr>
        <w:t xml:space="preserve">Moderate / Conditional</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LINKER-MM1 (Jagannath et al., 2024).</w:t>
      </w:r>
    </w:p>
    <w:p>
      <w:pPr>
        <w:spacing w:after="40" w:before="40" w:line="300"/>
        <w:jc w:val="left"/>
      </w:pPr>
      <w:r>
        <w:rPr>
          <w:rFonts w:ascii="Georgia" w:cs="Georgia" w:eastAsia="Georgia" w:hAnsi="Georgia"/>
          <w:b/>
          <w:bCs/>
          <w:i w:val="false"/>
          <w:iCs w:val="false"/>
          <w:color w:val="1D1D1D"/>
          <w:sz w:val="22"/>
          <w:szCs w:val="22"/>
        </w:rPr>
        <w:t xml:space="preserve">Notes: No NICE TA was identified at publication review on 26 July 2026.</w:t>
      </w:r>
      <w:r>
        <w:rPr>
          <w:rFonts w:ascii="Georgia" w:cs="Georgia" w:eastAsia="Georgia" w:hAnsi="Georgia"/>
          <w:b w:val="false"/>
          <w:bCs w:val="false"/>
          <w:i w:val="false"/>
          <w:iCs w:val="false"/>
          <w:color w:val="1D1D1D"/>
          <w:sz w:val="22"/>
          <w:szCs w:val="22"/>
        </w:rPr>
        <w:t xml:space="preserve"> Not routinely commissioned. Access via trial or named-patient programme only.</w:t>
      </w:r>
    </w:p>
    <w:p>
      <w:pPr>
        <w:spacing w:after="40" w:before="160" w:line="300"/>
        <w:jc w:val="left"/>
      </w:pPr>
      <w:r>
        <w:rPr>
          <w:rFonts w:ascii="Georgia" w:cs="Georgia" w:eastAsia="Georgia" w:hAnsi="Georgia"/>
          <w:b/>
          <w:bCs/>
          <w:i w:val="false"/>
          <w:iCs w:val="false"/>
          <w:color w:val="7A1F2B"/>
          <w:sz w:val="23"/>
          <w:szCs w:val="23"/>
        </w:rPr>
        <w:t xml:space="preserve">Talquetamab (GPRC5D x CD3 T-cell engager)</w:t>
      </w:r>
    </w:p>
    <w:p>
      <w:pPr>
        <w:spacing w:after="80" w:before="80" w:line="300"/>
        <w:jc w:val="left"/>
      </w:pPr>
      <w:r>
        <w:rPr>
          <w:rFonts w:ascii="Georgia" w:cs="Georgia" w:eastAsia="Georgia" w:hAnsi="Georgia"/>
          <w:b/>
          <w:bCs/>
          <w:i w:val="false"/>
          <w:iCs w:val="false"/>
          <w:color w:val="7A1F2B"/>
          <w:sz w:val="20"/>
          <w:szCs w:val="20"/>
        </w:rPr>
        <w:t xml:space="preserve">NICE TA1114</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Subcutaneous step-up dosing then weekly or every-2-week maintenance per current SmPC. Dose example only — verify against current SmPC, local e-prescribing protocol, renal/hepatic adjustment, frailty modification, pharmacy verification.</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TA1114 (December 2025). Recommended as a routine NHS option for R/R MM after 3 or more prior lines (IMiD, PI and anti-CD38), where disease has progressed on last treatment and commercial arrangement applies.</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MonumenTAL-1 (Chari et al., NEJM 2022).</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GPRC5D bispecific. Distinct toxicity profile (dysgeusia, oral and skin toxicity, nail changes, weight loss) versus BCMA T-cell engagers. Approved-centre pathway. Verify Blueteq and local formulary access before prescribing.</w:t>
      </w:r>
    </w:p>
    <w:p>
      <w:pPr>
        <w:spacing w:after="40" w:before="160" w:line="300"/>
        <w:jc w:val="left"/>
      </w:pPr>
      <w:r>
        <w:rPr>
          <w:rFonts w:ascii="Georgia" w:cs="Georgia" w:eastAsia="Georgia" w:hAnsi="Georgia"/>
          <w:b/>
          <w:bCs/>
          <w:i w:val="false"/>
          <w:iCs w:val="false"/>
          <w:color w:val="7A1F2B"/>
          <w:sz w:val="23"/>
          <w:szCs w:val="23"/>
        </w:rPr>
        <w:t xml:space="preserve">Idecabtagene vicleucel (ide-cel, BCMA CAR-T)</w:t>
      </w:r>
    </w:p>
    <w:p>
      <w:pPr>
        <w:spacing w:after="80" w:before="80" w:line="300"/>
        <w:jc w:val="left"/>
      </w:pPr>
      <w:r>
        <w:rPr>
          <w:rFonts w:ascii="Georgia" w:cs="Georgia" w:eastAsia="Georgia" w:hAnsi="Georgia"/>
          <w:b/>
          <w:bCs/>
          <w:i w:val="false"/>
          <w:iCs w:val="false"/>
          <w:color w:val="C87A00"/>
          <w:sz w:val="20"/>
          <w:szCs w:val="20"/>
        </w:rPr>
        <w:t xml:space="preserve">Evidence only — commissioning not asserted</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C87A00"/>
          <w:sz w:val="20"/>
          <w:szCs w:val="20"/>
        </w:rPr>
        <w:t xml:space="preserve">High / Conditional</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KarMMa (Munshi et al., NEJM 2021); KarMMa-3 (Rodriguez-Otero et al., NEJM 2023).</w:t>
      </w:r>
    </w:p>
    <w:p>
      <w:pPr>
        <w:spacing w:after="40" w:before="40" w:line="300"/>
        <w:jc w:val="left"/>
      </w:pPr>
      <w:r>
        <w:rPr>
          <w:rFonts w:ascii="Georgia" w:cs="Georgia" w:eastAsia="Georgia" w:hAnsi="Georgia"/>
          <w:b/>
          <w:bCs/>
          <w:i w:val="false"/>
          <w:iCs w:val="false"/>
          <w:color w:val="1D1D1D"/>
          <w:sz w:val="22"/>
          <w:szCs w:val="22"/>
        </w:rPr>
        <w:t xml:space="preserve">Notes: One-off autologous BCMA CAR-T, included for evidence context only and not presented here as a routine NICE-commissioned option. Treatment in approved centres only. Bridging therapy commonly required. Cytokine release syndrome, ICANS, prolonged cytopenias and hypogammaglobulinaemia routine. Confirm the current NICE and NHS England specialised-commissioning position before referral.</w:t>
      </w:r>
      <w:r>
        <w:rPr>
          <w:rFonts w:ascii="Georgia" w:cs="Georgia" w:eastAsia="Georgia" w:hAnsi="Georgia"/>
          <w:b w:val="false"/>
          <w:bCs w:val="false"/>
          <w:i w:val="false"/>
          <w:iCs w:val="false"/>
          <w:color w:val="1D1D1D"/>
          <w:sz w:val="22"/>
          <w:szCs w:val="22"/>
        </w:rPr>
        <w:t xml:space="preserve"/>
      </w:r>
    </w:p>
    <w:p>
      <w:pPr>
        <w:spacing w:after="40" w:before="160" w:line="300"/>
        <w:jc w:val="left"/>
      </w:pPr>
      <w:r>
        <w:rPr>
          <w:rFonts w:ascii="Georgia" w:cs="Georgia" w:eastAsia="Georgia" w:hAnsi="Georgia"/>
          <w:b/>
          <w:bCs/>
          <w:i w:val="false"/>
          <w:iCs w:val="false"/>
          <w:color w:val="7A1F2B"/>
          <w:sz w:val="23"/>
          <w:szCs w:val="23"/>
        </w:rPr>
        <w:t xml:space="preserve">Ciltacabtagene autoleucel (cilta-cel, BCMA CAR-T)</w:t>
      </w:r>
    </w:p>
    <w:p>
      <w:pPr>
        <w:spacing w:after="80" w:before="80" w:line="300"/>
        <w:jc w:val="left"/>
      </w:pPr>
      <w:r>
        <w:rPr>
          <w:rFonts w:ascii="Georgia" w:cs="Georgia" w:eastAsia="Georgia" w:hAnsi="Georgia"/>
          <w:b/>
          <w:bCs/>
          <w:i w:val="false"/>
          <w:iCs w:val="false"/>
          <w:color w:val="AA3A3A"/>
          <w:sz w:val="20"/>
          <w:szCs w:val="20"/>
        </w:rPr>
        <w:t xml:space="preserve">TA889 terminated</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C87A00"/>
          <w:sz w:val="20"/>
          <w:szCs w:val="20"/>
        </w:rPr>
        <w:t xml:space="preserve">GID-TA10905 / ID4012 in development (earlier line)</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CARTITUDE-1 (Berdeja et al., Lancet 2021); CARTITUDE-4 (San-Miguel et al., NEJM 2023).</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TA889 was terminated after Janssen withdrew its submission — no NICE recommendation for routine commissioning under that appraisal. A separate NICE appraisal (GID-TA10905 / ID4012) for cilta-cel in relapsed and lenalidomide-refractory myeloma after 1 to 3 prior therapies is in development, which remained in development at publication review on 26 July 2026. These are two distinct appraisals and must not be conflated. Access in UK routine commissioning is not established; approved-centre referral only if final NICE guidance supports use.</w:t>
      </w:r>
    </w:p>
    <w:p>
      <w:pPr>
        <w:spacing w:after="40" w:before="160" w:line="300"/>
        <w:jc w:val="left"/>
      </w:pPr>
      <w:r>
        <w:rPr>
          <w:rFonts w:ascii="Georgia" w:cs="Georgia" w:eastAsia="Georgia" w:hAnsi="Georgia"/>
          <w:b/>
          <w:bCs/>
          <w:i w:val="false"/>
          <w:iCs w:val="false"/>
          <w:color w:val="7A1F2B"/>
          <w:sz w:val="23"/>
          <w:szCs w:val="23"/>
        </w:rPr>
        <w:t xml:space="preserve">Selinexor + dexamethasone</w:t>
      </w:r>
    </w:p>
    <w:p>
      <w:pPr>
        <w:spacing w:after="80" w:before="80" w:line="300"/>
        <w:jc w:val="left"/>
      </w:pPr>
      <w:r>
        <w:rPr>
          <w:rFonts w:ascii="Georgia" w:cs="Georgia" w:eastAsia="Georgia" w:hAnsi="Georgia"/>
          <w:b/>
          <w:bCs/>
          <w:i w:val="false"/>
          <w:iCs w:val="false"/>
          <w:color w:val="7A1F2B"/>
          <w:sz w:val="20"/>
          <w:szCs w:val="20"/>
        </w:rPr>
        <w:t xml:space="preserve">NICE TA970</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C87A00"/>
          <w:sz w:val="20"/>
          <w:szCs w:val="20"/>
        </w:rPr>
        <w:t xml:space="preserve">Moderate / Conditional</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Selinexor 80 mg PO twice weekly with dexamethasone 20 mg twice weekly. Aggressive anti-emetic and supportive plan from cycle 1.</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TA970, for R/R MM after 4 or more prior therapies (penta-refractory disease).</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STORM (Chari et al., NEJM 2019).</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High symptom burden (fatigue, nausea, anorexia, thrombocytopenia, hyponatraemia). Pre-emptive anti-emetic regimen, frequent monitoring, and proactive dose modification are essential. Selinexor + bortezomib + dex (BOSTON, Grosicki et al., Lancet 2020) is not currently NICE-commissioned in the UK and should not be presented as a routine option.</w:t>
      </w:r>
    </w:p>
    <w:p>
      <w:pPr>
        <w:spacing w:after="40" w:before="160" w:line="300"/>
        <w:jc w:val="left"/>
      </w:pPr>
      <w:r>
        <w:rPr>
          <w:rFonts w:ascii="Georgia" w:cs="Georgia" w:eastAsia="Georgia" w:hAnsi="Georgia"/>
          <w:b/>
          <w:bCs/>
          <w:i w:val="false"/>
          <w:iCs w:val="false"/>
          <w:color w:val="7A1F2B"/>
          <w:sz w:val="23"/>
          <w:szCs w:val="23"/>
        </w:rPr>
        <w:t xml:space="preserve">Belantamab mafodotin + pomalidomide + dexamethasone (BPd, DREAMM-8)</w:t>
      </w:r>
    </w:p>
    <w:p>
      <w:pPr>
        <w:spacing w:after="80" w:before="80" w:line="300"/>
        <w:jc w:val="left"/>
      </w:pPr>
      <w:r>
        <w:rPr>
          <w:rFonts w:ascii="Georgia" w:cs="Georgia" w:eastAsia="Georgia" w:hAnsi="Georgia"/>
          <w:b/>
          <w:bCs/>
          <w:i w:val="false"/>
          <w:iCs w:val="false"/>
          <w:color w:val="7A1F2B"/>
          <w:sz w:val="20"/>
          <w:szCs w:val="20"/>
        </w:rPr>
        <w:t xml:space="preserve">NICE TA1133</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2A6B3B"/>
          <w:sz w:val="20"/>
          <w:szCs w:val="20"/>
        </w:rPr>
        <w:t xml:space="preserve">High / Strong</w:t>
      </w:r>
    </w:p>
    <w:p>
      <w:pPr>
        <w:spacing w:after="40" w:before="40" w:line="300"/>
        <w:jc w:val="left"/>
      </w:pPr>
      <w:r>
        <w:rPr>
          <w:rFonts w:ascii="Georgia" w:cs="Georgia" w:eastAsia="Georgia" w:hAnsi="Georgia"/>
          <w:b/>
          <w:bCs/>
          <w:i w:val="false"/>
          <w:iCs w:val="false"/>
          <w:color w:val="1D1D1D"/>
          <w:sz w:val="22"/>
          <w:szCs w:val="22"/>
        </w:rPr>
        <w:t xml:space="preserve">Indication: </w:t>
      </w:r>
      <w:r>
        <w:rPr>
          <w:rFonts w:ascii="Georgia" w:cs="Georgia" w:eastAsia="Georgia" w:hAnsi="Georgia"/>
          <w:b w:val="false"/>
          <w:bCs w:val="false"/>
          <w:i w:val="false"/>
          <w:iCs w:val="false"/>
          <w:color w:val="1D1D1D"/>
          <w:sz w:val="22"/>
          <w:szCs w:val="22"/>
        </w:rPr>
        <w:t xml:space="preserve">Option after one prior lenalidomide-containing line if lenalidomide is not tolerated or disease is lenalidomide-refractory. Not a generic penta-refractory option. Verify ocular monitoring service, commercial arrangement, Blueteq form and local pathway before prescribing.</w:t>
      </w:r>
    </w:p>
    <w:p>
      <w:pPr>
        <w:spacing w:after="40" w:before="40" w:line="300"/>
        <w:jc w:val="left"/>
      </w:pPr>
      <w:r>
        <w:rPr>
          <w:rFonts w:ascii="Georgia" w:cs="Georgia" w:eastAsia="Georgia" w:hAnsi="Georgia"/>
          <w:b/>
          <w:bCs/>
          <w:i w:val="false"/>
          <w:iCs w:val="false"/>
          <w:color w:val="1D1D1D"/>
          <w:sz w:val="22"/>
          <w:szCs w:val="22"/>
        </w:rPr>
        <w:t xml:space="preserve">Dose: </w:t>
      </w:r>
      <w:r>
        <w:rPr>
          <w:rFonts w:ascii="Georgia" w:cs="Georgia" w:eastAsia="Georgia" w:hAnsi="Georgia"/>
          <w:b w:val="false"/>
          <w:bCs w:val="false"/>
          <w:i w:val="false"/>
          <w:iCs w:val="false"/>
          <w:color w:val="1D1D1D"/>
          <w:sz w:val="22"/>
          <w:szCs w:val="22"/>
        </w:rPr>
        <w:t xml:space="preserve">Belantamab mafodotin 2.5 mg/kg IV every 4 weeks (cycle 1) and 1.9 mg/kg IV every 4 weeks thereafter, with pomalidomide and dexamethasone per DREAMM-8 schedule. Dose example only — verify against current SmPC, local e-prescribing protocol, renal/hepatic adjustment, frailty modification, pharmacy verification. Mandatory pre-dose ophthalmology assessment before each cycle (visual acuity and keratopathy grading per protocol).</w:t>
      </w:r>
    </w:p>
    <w:p>
      <w:pPr>
        <w:spacing w:after="40" w:before="40" w:line="300"/>
        <w:jc w:val="left"/>
      </w:pPr>
      <w:r>
        <w:rPr>
          <w:rFonts w:ascii="Georgia" w:cs="Georgia" w:eastAsia="Georgia" w:hAnsi="Georgia"/>
          <w:b/>
          <w:bCs/>
          <w:i w:val="false"/>
          <w:iCs w:val="false"/>
          <w:color w:val="1D1D1D"/>
          <w:sz w:val="22"/>
          <w:szCs w:val="22"/>
        </w:rPr>
        <w:t xml:space="preserve">NICE TA: </w:t>
      </w:r>
      <w:r>
        <w:rPr>
          <w:rFonts w:ascii="Georgia" w:cs="Georgia" w:eastAsia="Georgia" w:hAnsi="Georgia"/>
          <w:b w:val="false"/>
          <w:bCs w:val="false"/>
          <w:i w:val="false"/>
          <w:iCs w:val="false"/>
          <w:color w:val="1D1D1D"/>
          <w:sz w:val="22"/>
          <w:szCs w:val="22"/>
        </w:rPr>
        <w:t xml:space="preserve">TA1133 (February 2026). Recommended for previously treated myeloma after at least one prior therapy including lenalidomide. Verify recommendation restrictions and ocular-toxicity monitoring requirements before pathway placement.</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DREAMM-8 (Trudel et al., NEJM 2024). Belantamab + Pd improved PFS over PVd.</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Structured ophthalmology pathway essential (delayed dosing for grade 2 or higher keratopathy per protocol). DREAMM-7 (belantamab + Vd) data are supportive but TA1133 covers the BPd regimen specifically — verify the live NICE wording for which combination is commissioned.</w:t>
      </w:r>
    </w:p>
    <w:p>
      <w:pPr>
        <w:spacing w:after="40" w:before="160" w:line="300"/>
        <w:jc w:val="left"/>
      </w:pPr>
      <w:r>
        <w:rPr>
          <w:rFonts w:ascii="Georgia" w:cs="Georgia" w:eastAsia="Georgia" w:hAnsi="Georgia"/>
          <w:b/>
          <w:bCs/>
          <w:i w:val="false"/>
          <w:iCs w:val="false"/>
          <w:color w:val="7A1F2B"/>
          <w:sz w:val="23"/>
          <w:szCs w:val="23"/>
        </w:rPr>
        <w:t xml:space="preserve">Venetoclax for t(11;14) myeloma</w:t>
      </w:r>
    </w:p>
    <w:p>
      <w:pPr>
        <w:spacing w:after="80" w:before="80" w:line="300"/>
        <w:jc w:val="left"/>
      </w:pPr>
      <w:r>
        <w:rPr>
          <w:rFonts w:ascii="Georgia" w:cs="Georgia" w:eastAsia="Georgia" w:hAnsi="Georgia"/>
          <w:b/>
          <w:bCs/>
          <w:i w:val="false"/>
          <w:iCs w:val="false"/>
          <w:color w:val="AA3A3A"/>
          <w:sz w:val="20"/>
          <w:szCs w:val="20"/>
        </w:rPr>
        <w:t xml:space="preserve">Not NICE-commissioned (off-label)</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C87A00"/>
          <w:sz w:val="20"/>
          <w:szCs w:val="20"/>
        </w:rPr>
        <w:t xml:space="preserve">Moderate / Conditional</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BELLINI (Kumar et al., Lancet Oncol 2020) and M13-367.</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Not NICE-approved for myeloma. Off-label, restricted to t(11;14) disease in trial protocols or specialist-centre decisions with individual funding. Infection prophylaxis required (PJP, fungal). The BELLINI signal of increased mortality with venetoclax in non-t(11;14) myeloma underlines that this is a biomarker-restricted indication.</w:t>
      </w:r>
    </w:p>
    <w:p>
      <w:pPr>
        <w:spacing w:after="40" w:before="160" w:line="300"/>
        <w:jc w:val="left"/>
      </w:pPr>
      <w:r>
        <w:rPr>
          <w:rFonts w:ascii="Georgia" w:cs="Georgia" w:eastAsia="Georgia" w:hAnsi="Georgia"/>
          <w:b/>
          <w:bCs/>
          <w:i w:val="false"/>
          <w:iCs w:val="false"/>
          <w:color w:val="7A1F2B"/>
          <w:sz w:val="23"/>
          <w:szCs w:val="23"/>
        </w:rPr>
        <w:t xml:space="preserve">Panobinostat + bortezomib + dexamethasone</w:t>
      </w:r>
    </w:p>
    <w:p>
      <w:pPr>
        <w:spacing w:after="80" w:before="80" w:line="300"/>
        <w:jc w:val="left"/>
      </w:pPr>
      <w:r>
        <w:rPr>
          <w:rFonts w:ascii="Georgia" w:cs="Georgia" w:eastAsia="Georgia" w:hAnsi="Georgia"/>
          <w:b/>
          <w:bCs/>
          <w:i w:val="false"/>
          <w:iCs w:val="false"/>
          <w:color w:val="7A1F2B"/>
          <w:sz w:val="20"/>
          <w:szCs w:val="20"/>
        </w:rPr>
        <w:t xml:space="preserve">NICE TA380</w:t>
      </w:r>
      <w:r>
        <w:rPr>
          <w:rFonts w:ascii="Georgia" w:cs="Georgia" w:eastAsia="Georgia" w:hAnsi="Georgia"/>
          <w:b w:val="false"/>
          <w:bCs w:val="false"/>
          <w:i w:val="false"/>
          <w:iCs w:val="false"/>
          <w:color w:val="1D1D1D"/>
          <w:sz w:val="22"/>
          <w:szCs w:val="22"/>
        </w:rPr>
        <w:t xml:space="preserve">   </w:t>
      </w:r>
      <w:r>
        <w:rPr>
          <w:rFonts w:ascii="Georgia" w:cs="Georgia" w:eastAsia="Georgia" w:hAnsi="Georgia"/>
          <w:b/>
          <w:bCs/>
          <w:i w:val="false"/>
          <w:iCs w:val="false"/>
          <w:color w:val="AA3A3A"/>
          <w:sz w:val="20"/>
          <w:szCs w:val="20"/>
        </w:rPr>
        <w:t xml:space="preserve">Low / Conditional</w:t>
      </w:r>
    </w:p>
    <w:p>
      <w:pPr>
        <w:spacing w:after="40" w:before="40" w:line="300"/>
        <w:jc w:val="left"/>
      </w:pPr>
      <w:r>
        <w:rPr>
          <w:rFonts w:ascii="Georgia" w:cs="Georgia" w:eastAsia="Georgia" w:hAnsi="Georgia"/>
          <w:b/>
          <w:bCs/>
          <w:i w:val="false"/>
          <w:iCs w:val="false"/>
          <w:color w:val="1D1D1D"/>
          <w:sz w:val="22"/>
          <w:szCs w:val="22"/>
        </w:rPr>
        <w:t xml:space="preserve">Trial basis: </w:t>
      </w:r>
      <w:r>
        <w:rPr>
          <w:rFonts w:ascii="Georgia" w:cs="Georgia" w:eastAsia="Georgia" w:hAnsi="Georgia"/>
          <w:b w:val="false"/>
          <w:bCs w:val="false"/>
          <w:i w:val="false"/>
          <w:iCs w:val="false"/>
          <w:color w:val="1D1D1D"/>
          <w:sz w:val="22"/>
          <w:szCs w:val="22"/>
        </w:rPr>
        <w:t xml:space="preserve">PANORAMA-1 (San-Miguel et al., Lancet Oncol 2014).</w:t>
      </w:r>
    </w:p>
    <w:p>
      <w:pPr>
        <w:spacing w:after="40" w:before="40" w:line="300"/>
        <w:jc w:val="left"/>
      </w:pPr>
      <w:r>
        <w:rPr>
          <w:rFonts w:ascii="Georgia" w:cs="Georgia" w:eastAsia="Georgia" w:hAnsi="Georgia"/>
          <w:b/>
          <w:bCs/>
          <w:i w:val="false"/>
          <w:iCs w:val="false"/>
          <w:color w:val="1D1D1D"/>
          <w:sz w:val="22"/>
          <w:szCs w:val="22"/>
        </w:rPr>
        <w:t xml:space="preserve">Notes: </w:t>
      </w:r>
      <w:r>
        <w:rPr>
          <w:rFonts w:ascii="Georgia" w:cs="Georgia" w:eastAsia="Georgia" w:hAnsi="Georgia"/>
          <w:b w:val="false"/>
          <w:bCs w:val="false"/>
          <w:i w:val="false"/>
          <w:iCs w:val="false"/>
          <w:color w:val="1D1D1D"/>
          <w:sz w:val="22"/>
          <w:szCs w:val="22"/>
        </w:rPr>
        <w:t xml:space="preserve">Reserved option where preferred alternatives are unsuitable. TA380 commissioning status should be verified before prescribing.</w:t>
      </w:r>
    </w:p>
    <w:p>
      <w:pPr>
        <w:spacing w:after="80" w:before="180"/>
      </w:pPr>
      <w:r>
        <w:rPr>
          <w:rFonts w:ascii="Georgia" w:cs="Georgia" w:eastAsia="Georgia" w:hAnsi="Georgia"/>
          <w:b/>
          <w:bCs/>
          <w:color w:val="1D1D1D"/>
          <w:sz w:val="24"/>
          <w:szCs w:val="24"/>
        </w:rPr>
        <w:t xml:space="preserve">Second autologous stem cell transplant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Consider second ASCT in suitable patients who have achieved at least PR with reinduction.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Outcomes are less favourable in the presence of high-risk cytogenetics; repeat FISH at relapse is recommended where second ASCT is being considered.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Melphalan 200 mg/m squared remains the standard conditioning regimen.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Collect sufficient stem cells at first mobilisation for two transplants where feasible.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C87A00" w:sz="16"/>
              <w:bottom w:val="single" w:color="D8C9CB" w:sz="4"/>
              <w:right w:val="single" w:color="D8C9CB" w:sz="4"/>
            </w:tcBorders>
            <w:shd w:fill="FFF4E0" w:val="clear"/>
            <w:tcMar>
              <w:top w:type="dxa" w:w="140"/>
              <w:left w:type="dxa" w:w="200"/>
              <w:bottom w:type="dxa" w:w="140"/>
              <w:right w:type="dxa" w:w="160"/>
            </w:tcMar>
          </w:tcPr>
          <w:p>
            <w:pPr>
              <w:spacing w:after="80" w:before="0"/>
            </w:pPr>
            <w:r>
              <w:rPr>
                <w:rFonts w:ascii="Georgia" w:cs="Georgia" w:eastAsia="Georgia" w:hAnsi="Georgia"/>
                <w:b/>
                <w:bCs/>
                <w:color w:val="C87A00"/>
                <w:sz w:val="22"/>
                <w:szCs w:val="22"/>
              </w:rPr>
              <w:t xml:space="preserve">Common pitfall — bispecific and CAR-T pre-treatment workup</w:t>
            </w:r>
          </w:p>
          <w:p>
            <w:pPr>
              <w:spacing w:after="0" w:before="0" w:line="280"/>
            </w:pPr>
            <w:r>
              <w:rPr>
                <w:rFonts w:ascii="Georgia" w:cs="Georgia" w:eastAsia="Georgia" w:hAnsi="Georgia"/>
                <w:color w:val="1D1D1D"/>
                <w:sz w:val="22"/>
                <w:szCs w:val="22"/>
              </w:rPr>
              <w:t xml:space="preserve">Cellular and bispecific therapies have specific pre-treatment requirements: baseline immunoglobulins (and IVIg planning), screening for occult infection (HBV, HCV, HIV, HTLV per local protocol), cardiac assessment for cytokine release syndrome tolerance, and an explicit plan for bridging therapy. Referral to an approved centre well before final-line failure is appropriate.</w:t>
            </w:r>
          </w:p>
        </w:tc>
      </w:tr>
    </w:tbl>
    <w:p>
      <w:pPr>
        <w:spacing w:after="80" w:before="180"/>
      </w:pPr>
      <w:r>
        <w:rPr>
          <w:rFonts w:ascii="Georgia" w:cs="Georgia" w:eastAsia="Georgia" w:hAnsi="Georgia"/>
          <w:b/>
          <w:bCs/>
          <w:color w:val="1D1D1D"/>
          <w:sz w:val="24"/>
          <w:szCs w:val="24"/>
        </w:rPr>
        <w:t xml:space="preserve">Response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Response</w:t>
            </w:r>
          </w:p>
        </w:tc>
        <w:tc>
          <w:tcPr>
            <w:tcW w:type="dxa" w:w="60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Definition (IMWG)</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Stringent complete response (sCR)</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CR plus normal SFLC ratio and absence of clonal cells in bone marrow by IHC</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Complete response (CR)</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Negative immunofixation in serum and urine; disappearance of soft-tissue plasmacytomas; BMPC below 5%</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Very good partial response (VGPR)</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SPE or immunofixation negative but bone marrow positive; or 90% or above reduction in serum M-protein and urine M-protein below 100 mg/24h</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Partial response (PR)</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50% or above reduction in serum M-protein and 90% or above reduction in urine M-protein (or to below 200 mg/24h)</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Stable disease (SD)</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Not meeting any other category</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Progressive disease (PD)</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25% or above increase from nadir in M-protein (absolute increase 5 g/L or above) or other defined criteria</w:t>
            </w:r>
          </w:p>
        </w:tc>
      </w:tr>
      <w:tr>
        <w:tc>
          <w:tcPr>
            <w:tcW w:type="dxa" w:w="30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MRD-negative (10⁻⁵ or 10⁻⁶)</w:t>
            </w:r>
          </w:p>
        </w:tc>
        <w:tc>
          <w:tcPr>
            <w:tcW w:type="dxa" w:w="6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Absence of clonal plasma cells by validated NGS or NGF; used in trial settings and to guide stopping rules in selected fixed-duration protocols</w:t>
            </w:r>
          </w:p>
        </w:tc>
      </w:tr>
    </w:tbl>
    <w:p>
      <w:pPr>
        <w:spacing w:after="80" w:before="80" w:line="300"/>
        <w:jc w:val="left"/>
      </w:pPr>
      <w:r>
        <w:rPr>
          <w:rFonts w:ascii="Georgia" w:cs="Georgia" w:eastAsia="Georgia" w:hAnsi="Georgia"/>
          <w:b w:val="false"/>
          <w:bCs w:val="false"/>
          <w:i/>
          <w:iCs/>
          <w:color w:val="4A4A4A"/>
          <w:sz w:val="18"/>
          <w:szCs w:val="18"/>
        </w:rPr>
        <w:t xml:space="preserve">Source: IMWG response criteria, Kumar 2016 (Lancet Oncol); EHA-EMN 2025.</w:t>
      </w:r>
    </w:p>
    <w:p>
      <w:pPr>
        <w:pStyle w:val="Heading1"/>
        <w:spacing w:after="160" w:before="360"/>
      </w:pPr>
      <w:r>
        <w:rPr>
          <w:rFonts w:ascii="Georgia" w:cs="Georgia" w:eastAsia="Georgia" w:hAnsi="Georgia"/>
          <w:b/>
          <w:bCs/>
          <w:color w:val="7A1F2B"/>
          <w:sz w:val="30"/>
          <w:szCs w:val="30"/>
        </w:rPr>
        <w:t xml:space="preserve">12. </w:t>
      </w:r>
      <w:r>
        <w:rPr>
          <w:rFonts w:ascii="Georgia" w:cs="Georgia" w:eastAsia="Georgia" w:hAnsi="Georgia"/>
          <w:b/>
          <w:bCs/>
          <w:color w:val="7A1F2B"/>
          <w:sz w:val="30"/>
          <w:szCs w:val="30"/>
        </w:rPr>
        <w:t xml:space="preserve">Supportive Care and Survivorship</w:t>
      </w:r>
    </w:p>
    <w:p>
      <w:pPr>
        <w:spacing w:after="80" w:before="80" w:line="300"/>
        <w:jc w:val="left"/>
      </w:pPr>
      <w:r>
        <w:rPr>
          <w:rFonts w:ascii="Georgia" w:cs="Georgia" w:eastAsia="Georgia" w:hAnsi="Georgia"/>
          <w:b w:val="false"/>
          <w:bCs w:val="false"/>
          <w:i w:val="false"/>
          <w:iCs w:val="false"/>
          <w:color w:val="1D1D1D"/>
          <w:sz w:val="22"/>
          <w:szCs w:val="22"/>
        </w:rPr>
        <w:t xml:space="preserve">Survival in myeloma has improved substantially over the past two decades. Cumulative burden of disease and treatment now drives a survivorship agenda alongside relapse management. The BSH 2017 guideline on late and long-term consequences (Snowden 2017) remains the UK reference and should be read alongside NICE NG35 and the BSH supportive care framework.</w:t>
      </w:r>
    </w:p>
    <w:p>
      <w:pPr>
        <w:spacing w:after="80" w:before="180"/>
      </w:pPr>
      <w:r>
        <w:rPr>
          <w:rFonts w:ascii="Georgia" w:cs="Georgia" w:eastAsia="Georgia" w:hAnsi="Georgia"/>
          <w:b/>
          <w:bCs/>
          <w:color w:val="1D1D1D"/>
          <w:sz w:val="24"/>
          <w:szCs w:val="24"/>
        </w:rPr>
        <w:t xml:space="preserve">Infection and immunity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Infection is a major cause of morbidity and mortality in myeloma. Immunosuppression is greatest at diagnosis, during aggressive relapse and in heavily pre-treated disease.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Routine antibacterial prophylaxis is not recommended at every stage; consider prophylactic antibiotics in selected high-risk windows.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Offer antiviral prophylaxis (aciclovir or valaciclovir) with proteasome inhibitor-based treatment until at least six weeks after stopping. Consider lifelong prophylaxis in patients with previous shingles.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Consider IVIg replacement based on infection history, hypogammaglobulinaemia, comorbidities and vaccine response, in line with NHS England immunoglobulin guidance.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Avoid live attenuated vaccines (BCG, MMR, oral typhoid, yellow fever, varicella zoster live vaccine). Use Shingrix (recombinant zoster vaccine) for shingles protection.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Annual influenza and full COVID-19 vaccination schedules for patients and household contacts.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PCV13 followed by PPV23 at 2 months, repeated 5-yearly; Hib vaccination should also be considered.</w:t>
      </w:r>
    </w:p>
    <w:p>
      <w:pPr>
        <w:spacing w:after="80" w:before="180"/>
      </w:pPr>
      <w:r>
        <w:rPr>
          <w:rFonts w:ascii="Georgia" w:cs="Georgia" w:eastAsia="Georgia" w:hAnsi="Georgia"/>
          <w:b/>
          <w:bCs/>
          <w:color w:val="1D1D1D"/>
          <w:sz w:val="24"/>
          <w:szCs w:val="24"/>
        </w:rPr>
        <w:t xml:space="preserve">Bone health and pain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Bisphosphonates (zoledronic acid or pamidronate) for all newly diagnosed patients requiring treatment, regardless of demonstrable bone lesions.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Restart bisphosphonates at frank relapse if previously stopped.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Optimise calcium and vitamin D; consider DEXA in patients with additional osteoporosis risk factors.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Maintain dental review and consider osteonecrosis of the jaw risk; assess before initiating bisphosphonates.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Active pain management including neuropathic pain control with gabapentin or pregabalin; refer to pain specialist where indicated.</w:t>
      </w:r>
    </w:p>
    <w:p>
      <w:pPr>
        <w:spacing w:after="80" w:before="180"/>
      </w:pPr>
      <w:r>
        <w:rPr>
          <w:rFonts w:ascii="Georgia" w:cs="Georgia" w:eastAsia="Georgia" w:hAnsi="Georgia"/>
          <w:b/>
          <w:bCs/>
          <w:color w:val="1D1D1D"/>
          <w:sz w:val="24"/>
          <w:szCs w:val="24"/>
        </w:rPr>
        <w:t xml:space="preserve">Renal, cardiovascular and metabolic</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Routine monitoring of eGFR and urine ACR; protect renal function.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Annual cardiovascular risk assessment including blood pressure, HbA1c and lipid profile.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NT-proBNP or BNP as a screening tool for cardiac amyloidosis or other cardiac dysfunction; echocardiography and specialist referral if elevated.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Awareness of metabolic syndrome, sarcopenic obesity and steroid-related complications. Encourage tailored physical activity programmes.</w:t>
      </w:r>
    </w:p>
    <w:p>
      <w:pPr>
        <w:spacing w:after="80" w:before="180"/>
      </w:pPr>
      <w:r>
        <w:rPr>
          <w:rFonts w:ascii="Georgia" w:cs="Georgia" w:eastAsia="Georgia" w:hAnsi="Georgia"/>
          <w:b/>
          <w:bCs/>
          <w:color w:val="1D1D1D"/>
          <w:sz w:val="24"/>
          <w:szCs w:val="24"/>
        </w:rPr>
        <w:t xml:space="preserve">Endocrine, neurological and other late effects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Annual screening for hypothyroidism and hypogonadism, particularly post-HSCT.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Screen patients with peripheral neuropathy for vitamin B12 deficiency, diabetes and renal causes.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Annual ophthalmic screening for cataract and steroid-related eye disease. Belantamab patients have specific ophthalmology pathway.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Consider second primary malignancies (especially AML and MDS) in unexplained or worsening cytopenias.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Maintain oral and dental hygiene; refer for management of treatment-related dryness, taste change and candidiasis.</w:t>
      </w:r>
    </w:p>
    <w:p>
      <w:pPr>
        <w:spacing w:after="80" w:before="180"/>
      </w:pPr>
      <w:r>
        <w:rPr>
          <w:rFonts w:ascii="Georgia" w:cs="Georgia" w:eastAsia="Georgia" w:hAnsi="Georgia"/>
          <w:b/>
          <w:bCs/>
          <w:color w:val="1D1D1D"/>
          <w:sz w:val="24"/>
          <w:szCs w:val="24"/>
        </w:rPr>
        <w:t xml:space="preserve">Psychosocial and rehabilitation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Routine holistic needs assessment at diagnosis and at the start and end of each line of therapy.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Address fatigue, fear of recurrence and coping with watch-and-wait in MGUS and SMM.</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Engage specialist nursing, physiotherapy, occupational therapy and palliative care input appropriate to the stage of disease.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Signpost to UK patient organisations including Myeloma UK.</w:t>
      </w:r>
    </w:p>
    <w:p>
      <w:pPr>
        <w:spacing w:after="80" w:before="180"/>
      </w:pPr>
      <w:r>
        <w:rPr>
          <w:rFonts w:ascii="Georgia" w:cs="Georgia" w:eastAsia="Georgia" w:hAnsi="Georgia"/>
          <w:b/>
          <w:bCs/>
          <w:color w:val="1D1D1D"/>
          <w:sz w:val="24"/>
          <w:szCs w:val="24"/>
        </w:rPr>
        <w:t xml:space="preserve">Frailty assessment in older patients</w:t>
      </w:r>
    </w:p>
    <w:p>
      <w:pPr>
        <w:spacing w:after="80" w:before="80" w:line="300"/>
        <w:jc w:val="left"/>
      </w:pPr>
      <w:r>
        <w:rPr>
          <w:rFonts w:ascii="Georgia" w:cs="Georgia" w:eastAsia="Georgia" w:hAnsi="Georgia"/>
          <w:b w:val="false"/>
          <w:bCs w:val="false"/>
          <w:i w:val="false"/>
          <w:iCs w:val="false"/>
          <w:color w:val="1D1D1D"/>
          <w:sz w:val="22"/>
          <w:szCs w:val="22"/>
        </w:rPr>
        <w:t xml:space="preserve">Consider baseline geriatric assessment in patients aged 75 years or over and any patient with apparent frailty. The IMWG frailty score (age, comorbidity, geriatric assessment) is simple to apply and correlates with severe toxicity. Use the result to guide treatment intensity, dose reductions and supportive care.</w:t>
      </w:r>
    </w:p>
    <w:p>
      <w:pPr>
        <w:pStyle w:val="Heading1"/>
        <w:spacing w:after="160" w:before="360"/>
      </w:pPr>
      <w:r>
        <w:rPr>
          <w:rFonts w:ascii="Georgia" w:cs="Georgia" w:eastAsia="Georgia" w:hAnsi="Georgia"/>
          <w:b/>
          <w:bCs/>
          <w:color w:val="7A1F2B"/>
          <w:sz w:val="30"/>
          <w:szCs w:val="30"/>
        </w:rPr>
        <w:t xml:space="preserve">13. </w:t>
      </w:r>
      <w:r>
        <w:rPr>
          <w:rFonts w:ascii="Georgia" w:cs="Georgia" w:eastAsia="Georgia" w:hAnsi="Georgia"/>
          <w:b/>
          <w:bCs/>
          <w:color w:val="7A1F2B"/>
          <w:sz w:val="30"/>
          <w:szCs w:val="30"/>
        </w:rPr>
        <w:t xml:space="preserve">Audit and Governance</w:t>
      </w:r>
    </w:p>
    <w:p>
      <w:pPr>
        <w:spacing w:after="80" w:before="80" w:line="300"/>
        <w:jc w:val="left"/>
      </w:pPr>
      <w:r>
        <w:rPr>
          <w:rFonts w:ascii="Georgia" w:cs="Georgia" w:eastAsia="Georgia" w:hAnsi="Georgia"/>
          <w:b w:val="false"/>
          <w:bCs w:val="false"/>
          <w:i w:val="false"/>
          <w:iCs w:val="false"/>
          <w:color w:val="1D1D1D"/>
          <w:sz w:val="22"/>
          <w:szCs w:val="22"/>
        </w:rPr>
        <w:t xml:space="preserve">The following audit standards derive from BSH 2023 (MGUS), BSH 2024 (SMM) and BSH/UKMS 2024–2025 (NDMM, high-risk, imaging and relapse). They support trust-level governance and a structured framework for service improvement.</w:t>
      </w:r>
    </w:p>
    <w:p>
      <w:pPr>
        <w:spacing w:after="80" w:before="180"/>
      </w:pPr>
      <w:r>
        <w:rPr>
          <w:rFonts w:ascii="Georgia" w:cs="Georgia" w:eastAsia="Georgia" w:hAnsi="Georgia"/>
          <w:b/>
          <w:bCs/>
          <w:color w:val="1D1D1D"/>
          <w:sz w:val="24"/>
          <w:szCs w:val="24"/>
        </w:rPr>
        <w:t xml:space="preserve">MGUS audit standards (BSH 2023 derived)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2800"/>
        <w:gridCol w:w="1826"/>
      </w:tblGrid>
      <w:tr>
        <w:trPr>
          <w:tblHeader/>
        </w:trPr>
        <w:tc>
          <w:tcPr>
            <w:tcW w:type="dxa" w:w="4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Standard</w:t>
            </w:r>
          </w:p>
        </w:tc>
        <w:tc>
          <w:tcPr>
            <w:tcW w:type="dxa" w:w="28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Data source</w:t>
            </w:r>
          </w:p>
        </w:tc>
        <w:tc>
          <w:tcPr>
            <w:tcW w:type="dxa" w:w="18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Target</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On detection of a new M-protein, immunofixation and serum FLC assay are both performed.</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Laboratory records, 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98%</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Laboratory diagnostic sets ensure complete testing in suspected MGUS or myeloma.</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Laboratory protocol</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Laboratory flagging systems alert clinicians to high-risk results.</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Laboratory governance</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Patients with proteinuria have a urine PCR or ACR and are considered for nephrology referral.</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Newly diagnosed MGUS is risk-stratified using a validated model not requiring BM biopsy.</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95%</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Low and low-intermediate risk MGUS do not undergo BM examination or imaging.</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High-intermediate and high-risk MGUS undergo BM examination and WB imaging.</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Clinic letters, BM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MGCS treated with systemic chemotherapy is discussed at MDT.</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MDT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Patients receive clear information and psychological support at diagnosis.</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Patient questionnaire</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bl>
    <w:p>
      <w:pPr>
        <w:spacing w:after="80" w:before="180"/>
      </w:pPr>
      <w:r>
        <w:rPr>
          <w:rFonts w:ascii="Georgia" w:cs="Georgia" w:eastAsia="Georgia" w:hAnsi="Georgia"/>
          <w:b/>
          <w:bCs/>
          <w:color w:val="1D1D1D"/>
          <w:sz w:val="24"/>
          <w:szCs w:val="24"/>
        </w:rPr>
        <w:t xml:space="preserve">SMM audit standards (BSH 2024 derived)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2800"/>
        <w:gridCol w:w="1826"/>
      </w:tblGrid>
      <w:tr>
        <w:trPr>
          <w:tblHeader/>
        </w:trPr>
        <w:tc>
          <w:tcPr>
            <w:tcW w:type="dxa" w:w="4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Standard</w:t>
            </w:r>
          </w:p>
        </w:tc>
        <w:tc>
          <w:tcPr>
            <w:tcW w:type="dxa" w:w="28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Data source</w:t>
            </w:r>
          </w:p>
        </w:tc>
        <w:tc>
          <w:tcPr>
            <w:tcW w:type="dxa" w:w="18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Target</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Screening blood tests completed: FBC, U&amp;E, Ca, immunoglobulins, SPE, IFE, SFLC.</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Laboratory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98%</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Diagnostic BM aspirate and trephine taken with plasma cell phenotyping.</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BM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95%</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Cross-sectional imaging performed (WB-MRI, PET-CT or low-dose WB-CT); skeletal survey not used.</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Imaging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95%</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Interphase FISH on CD138-selected cells for the standard HRCA panel.</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Cytogenetics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Tumour burden tests performed: β2-M, LDH, albumin.</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Laboratory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95%</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Renal biopsy performed where MM suspected as renal cause and SFLC below 500 mg/L.</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Renal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80%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Cases discussed at MDT.</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MDT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Risk stratification uses Mayo 20-2-20 (2018) or IMWG 2020.</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95%</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Patients with evolving disease are re-staged.</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Vaccinations recorded and offered per BSH/UK DoH guidance.</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Vaccination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Monitoring schedules matched to risk group.</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bl>
    <w:p>
      <w:pPr>
        <w:spacing w:after="80" w:before="180"/>
      </w:pPr>
      <w:r>
        <w:rPr>
          <w:rFonts w:ascii="Georgia" w:cs="Georgia" w:eastAsia="Georgia" w:hAnsi="Georgia"/>
          <w:b/>
          <w:bCs/>
          <w:color w:val="1D1D1D"/>
          <w:sz w:val="24"/>
          <w:szCs w:val="24"/>
        </w:rPr>
        <w:t xml:space="preserve">NDMM and relapsed-disease audit standards (BSH/UKMS 2024–2025 derived)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2800"/>
        <w:gridCol w:w="1826"/>
      </w:tblGrid>
      <w:tr>
        <w:trPr>
          <w:tblHeader/>
        </w:trPr>
        <w:tc>
          <w:tcPr>
            <w:tcW w:type="dxa" w:w="4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Standard</w:t>
            </w:r>
          </w:p>
        </w:tc>
        <w:tc>
          <w:tcPr>
            <w:tcW w:type="dxa" w:w="28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Data source</w:t>
            </w:r>
          </w:p>
        </w:tc>
        <w:tc>
          <w:tcPr>
            <w:tcW w:type="dxa" w:w="18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Target</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Complete NDMM diagnostic workup including FISH, β2M, albumin, LDH, imaging and MDT.</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MDT records, clinic letters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95%</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Extended FISH panel reported within 4 weeks of adequate first BM sample (8 weeks if repeat needed).</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Cytogenetics turnaround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80%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Modern WB imaging (WB-MRI or PET-CT) performed at diagnosis where access permits.</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Imaging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Transplant-eligible NDMM receives a NICE-commissioned induction regimen with documented MDT rationale.</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Blueteq / pharmacy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95%</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Lenalidomide maintenance (TA680) offered to all eligible patients after ASCT.</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Pharmacy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At relapse, repeat FISH and TP53 testing performed where treatment selection may be informed.</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Cytogenetics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80%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Bispecific and CAR-T referrals routed through approved centres with structured pre-assessment.</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Referral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100%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Bisphosphonates reinstated at frank relapse if previously stopped.</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Prescribing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r>
        <w:tc>
          <w:tcPr>
            <w:tcW w:type="dxa" w:w="4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Holistic needs assessment at diagnosis, at start of each line of therapy, and at relapse.</w:t>
            </w:r>
          </w:p>
        </w:tc>
        <w:tc>
          <w:tcPr>
            <w:tcW w:type="dxa" w:w="28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CNS records</w:t>
            </w:r>
          </w:p>
        </w:tc>
        <w:tc>
          <w:tcPr>
            <w:tcW w:type="dxa" w:w="18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 90%</w:t>
            </w:r>
          </w:p>
        </w:tc>
      </w:tr>
    </w:tbl>
    <w:p>
      <w:pPr>
        <w:spacing w:after="80" w:before="180"/>
      </w:pPr>
      <w:r>
        <w:rPr>
          <w:rFonts w:ascii="Georgia" w:cs="Georgia" w:eastAsia="Georgia" w:hAnsi="Georgia"/>
          <w:b/>
          <w:bCs/>
          <w:color w:val="1D1D1D"/>
          <w:sz w:val="24"/>
          <w:szCs w:val="24"/>
        </w:rPr>
        <w:t xml:space="preserve">Local implementation checklist (MHA-suggested)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Confirm pathway for laboratory flagging of new M-proteins and abnormal SFLC ratios.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Define risk stratification responsibility (primary versus secondary care) and document in local guideline.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Establish virtual clinic capacity for high-intermediate and high-risk MGUS monitoring.</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Confirm imaging capacity for WB-MRI and PET-CT; pathway for repeat imaging in evolving SMM and at biochemical relapse.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Local cytogenetic and FISH turnaround times benchmarked against the BSH 2024 four-week target (eight weeks if repeat biopsy required).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MDT structure with renal, cardiology and amyloidosis input where MGRS or amyloidosis is identified.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Bispecific and CAR-T pathway: referral route, bridging therapy, supportive care, IVIg, infection prophylaxis.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Survivorship and holistic needs assessment integrated into routine follow-up.</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Annual audit cycle against the BSH 2023 MGUS, BSH 2024 SMM and BSH/UKMS 2024–2025 NDMM/imaging/relapse audit templates.</w:t>
      </w:r>
    </w:p>
    <w:p>
      <w:pPr>
        <w:spacing w:after="80" w:before="180"/>
      </w:pPr>
      <w:r>
        <w:rPr>
          <w:rFonts w:ascii="Georgia" w:cs="Georgia" w:eastAsia="Georgia" w:hAnsi="Georgia"/>
          <w:b/>
          <w:bCs/>
          <w:color w:val="1D1D1D"/>
          <w:sz w:val="24"/>
          <w:szCs w:val="24"/>
        </w:rPr>
        <w:t xml:space="preserve">Publication governance checklist (completed 26 July 2026)</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Live NICE TA verification completed for every regimen presented as NICE-recommended or managed access. Evidence-only regimens do not assert commissioning.</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Blueteq form requirements and NHS England commissioning status checked for every regimen presented as available.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Regimen access statements (routine, managed-access, in-development, terminated, off-label) checked by consultant haematologist and pharmacist before sign-off.</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Doses checked against current SmPC, local Trust e-prescribing protocols and renal/hepatic adjustment rules. Dose blocks remain marked as educational only.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Algorithm asset links (HTML to JPEG or SVG) verified — no broken links to assets that are not present in the repository.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Quick-ref card and full guideline cross-checked for consistency on TA numbers, line of therapy, and regimen access.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References checked for DOI, PMID and year accuracy.</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NICE horizon-scanning section (Section 1A) re-checked against live NICE pages immediately before deployment.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Distinction confirmed between currently recommended, managed-access, in-development, awaiting-development, discontinued and terminated appraisals.</w:t>
      </w:r>
    </w:p>
    <w:p>
      <w:pPr>
        <w:pStyle w:val="ListParagraph"/>
        <w:numPr>
          <w:ilvl w:val="0"/>
          <w:numId w:val="2"/>
        </w:numPr>
        <w:spacing w:after="40" w:before="40" w:line="280"/>
      </w:pPr>
      <w:r>
        <w:t>D-VRd settings kept separate throughout: TA1170 when ASCT is unsuitable; GID-TA11254 / ID6249 remains in development when high-dose chemotherapy and ASCT are suitable.</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Cilta-cel TA889 (terminated) and GID-TA10905 / ID4012 (in development, earlier line) kept separate in every reference throughout the document.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Ixazomib maintenance GID-TA10843 / ID1517 labelled discontinued (February 2026), not in development, in every reference throughout the document.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Quick-ref card carries the safety footer on every page; dose blocks within it carry the dose-example caveat.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Pharmacy review of thromboprophylaxis, antiviral prophylaxis, antimicrobial prophylaxis, IVIg, steroid toxicity mitigation and renal dose-adjustment language confirmed.</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Release decision: consultant approval and pharmacy verification confirmed by the clinical owner on 26 July 2026. The pharmacist's identity is not recorded in this public document. NICE TA, Blueteq, formulary, dose, approved-centre and ophthalmology pathway checks were confirmed complete for publication.</w:t>
      </w:r>
    </w:p>
    <w:p>
      <w:pPr>
        <w:spacing w:after="80" w:before="180"/>
      </w:pPr>
      <w:r>
        <w:rPr>
          <w:rFonts w:ascii="Georgia" w:cs="Georgia" w:eastAsia="Georgia" w:hAnsi="Georgia"/>
          <w:b/>
          <w:bCs/>
          <w:color w:val="1D1D1D"/>
          <w:sz w:val="24"/>
          <w:szCs w:val="24"/>
        </w:rPr>
        <w:t xml:space="preserve">Limitations and update plan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This is an educational summary and does not replace specialist MDT decision making, current NICE technology appraisals, NHS England commissioning criteria or local trust protocols.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NICE TA and appraisal statuses were re-verified for publication on 26 July 2026; live NICE register verification remains required before any prescribing decision and before each review cycle.</w:t>
      </w:r>
    </w:p>
    <w:p>
      <w:pPr>
        <w:pStyle w:val="ListParagraph"/>
        <w:numPr>
          <w:ilvl w:val="0"/>
          <w:numId w:val="2"/>
        </w:numPr>
        <w:spacing w:after="40" w:before="40" w:line="280"/>
      </w:pPr>
      <w:r>
        <w:t>D-VRd is recommended for transplant-ineligible NDMM under TA1170; the separate transplant-eligible appraisal GID-TA11254 / ID6249 remains in development. Other relevant appraisals remain in development, including TA11465, GID-TA10905 / ID4012 and GID-TA11846 / ID6639.</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Ixazomib maintenance (GID-TA10843 / ID1517) was discontinued at NICE in February 2026 after prior suspension; it is no longer expected as a routine maintenance option.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Belantamab + Pd (BPd, DREAMM-8) was appraised at TA1133 (February 2026); verify recommendation restrictions and ocular monitoring before pathway placement.</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Cilta-cel access in routine commissioning is not established under terminated TA889; the separate earlier-line appraisal GID-TA10905 / ID4012 remained in development at publication review on 26 July 2026.</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Venetoclax for t(11;14) is not NICE-commissioned for myeloma and is presented as off-label or specialist-centre use only.</w:t>
      </w:r>
    </w:p>
    <w:p>
      <w:pPr>
        <w:pStyle w:val="ListParagraph"/>
        <w:numPr>
          <w:ilvl w:val="0"/>
          <w:numId w:val="2"/>
        </w:numPr>
        <w:spacing w:after="40" w:before="40" w:line="280"/>
      </w:pPr>
      <w:r>
        <w:rPr>
          <w:rFonts w:ascii="Georgia" w:cs="Georgia" w:eastAsia="Georgia" w:hAnsi="Georgia"/>
          <w:b/>
          <w:bCs/>
          <w:i w:val="false"/>
          <w:iCs w:val="false"/>
          <w:color w:val="1D1D1D"/>
          <w:sz w:val="22"/>
          <w:szCs w:val="22"/>
        </w:rPr>
        <w:t xml:space="preserve">Update schedule: </w:t>
      </w:r>
      <w:r>
        <w:rPr>
          <w:rFonts w:ascii="Georgia" w:cs="Georgia" w:eastAsia="Georgia" w:hAnsi="Georgia"/>
          <w:b w:val="false"/>
          <w:bCs w:val="false"/>
          <w:i w:val="false"/>
          <w:iCs w:val="false"/>
          <w:color w:val="1D1D1D"/>
          <w:sz w:val="22"/>
          <w:szCs w:val="22"/>
        </w:rPr>
        <w:t xml:space="preserve">review immediately on any change to NICE horizon-scanning entries; otherwise May 2027 or sooner on relevant NICE, BSH/UKMS or EHA-EMN updates.</w:t>
      </w:r>
    </w:p>
    <w:p>
      <w:pPr>
        <w:pStyle w:val="Heading1"/>
        <w:spacing w:after="160" w:before="360"/>
      </w:pPr>
      <w:r>
        <w:rPr>
          <w:rFonts w:ascii="Georgia" w:cs="Georgia" w:eastAsia="Georgia" w:hAnsi="Georgia"/>
          <w:b/>
          <w:bCs/>
          <w:color w:val="7A1F2B"/>
          <w:sz w:val="30"/>
          <w:szCs w:val="30"/>
        </w:rPr>
        <w:t xml:space="preserve">14. </w:t>
      </w:r>
      <w:r>
        <w:rPr>
          <w:rFonts w:ascii="Georgia" w:cs="Georgia" w:eastAsia="Georgia" w:hAnsi="Georgia"/>
          <w:b/>
          <w:bCs/>
          <w:color w:val="7A1F2B"/>
          <w:sz w:val="30"/>
          <w:szCs w:val="30"/>
        </w:rPr>
        <w:t xml:space="preserve">References</w:t>
      </w:r>
    </w:p>
    <w:p>
      <w:pPr>
        <w:spacing w:after="80" w:before="80" w:line="300"/>
        <w:jc w:val="left"/>
      </w:pPr>
      <w:r>
        <w:rPr>
          <w:rFonts w:ascii="Georgia" w:cs="Georgia" w:eastAsia="Georgia" w:hAnsi="Georgia"/>
          <w:b w:val="false"/>
          <w:bCs w:val="false"/>
          <w:i/>
          <w:iCs/>
          <w:color w:val="4A4A4A"/>
          <w:sz w:val="22"/>
          <w:szCs w:val="22"/>
        </w:rPr>
        <w:t xml:space="preserve">References graded by credibility: A1 society guideline or NICE TA; A2 high-quality RCT or meta-analysis; B observational or secondary source.</w:t>
      </w:r>
    </w:p>
    <w:p>
      <w:pPr>
        <w:spacing w:after="60" w:before="60" w:line="300"/>
        <w:jc w:val="left"/>
      </w:pPr>
      <w:r>
        <w:rPr>
          <w:rFonts w:ascii="Georgia" w:cs="Georgia" w:eastAsia="Georgia" w:hAnsi="Georgia"/>
          <w:b/>
          <w:bCs/>
          <w:i w:val="false"/>
          <w:iCs w:val="false"/>
          <w:color w:val="1D1D1D"/>
          <w:sz w:val="22"/>
          <w:szCs w:val="22"/>
        </w:rPr>
        <w:t xml:space="preserve">1. </w:t>
      </w:r>
      <w:r>
        <w:rPr>
          <w:rFonts w:ascii="Georgia" w:cs="Georgia" w:eastAsia="Georgia" w:hAnsi="Georgia"/>
          <w:b w:val="false"/>
          <w:bCs w:val="false"/>
          <w:i w:val="false"/>
          <w:iCs w:val="false"/>
          <w:color w:val="1D1D1D"/>
          <w:sz w:val="22"/>
          <w:szCs w:val="22"/>
        </w:rPr>
        <w:t xml:space="preserve">Stern S, Chaudhuri S, Drayson M, Henshaw S, Karunanithi K, Willis F. Investigation and management of the monoclonal gammopathy of undetermined significance: a BSH Good Practice Paper. Br J Haematol 2023;202:734–744.</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2. </w:t>
      </w:r>
      <w:r>
        <w:rPr>
          <w:rFonts w:ascii="Georgia" w:cs="Georgia" w:eastAsia="Georgia" w:hAnsi="Georgia"/>
          <w:b w:val="false"/>
          <w:bCs w:val="false"/>
          <w:i w:val="false"/>
          <w:iCs w:val="false"/>
          <w:color w:val="1D1D1D"/>
          <w:sz w:val="22"/>
          <w:szCs w:val="22"/>
        </w:rPr>
        <w:t xml:space="preserve">Hughes D, Yong K, Ramasamy K, et al. Diagnosis and management of smouldering myeloma: a BSH Good Practice Paper. Br J Haematol 2024;204:1193–1206.</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3. </w:t>
      </w:r>
      <w:r>
        <w:rPr>
          <w:rFonts w:ascii="Georgia" w:cs="Georgia" w:eastAsia="Georgia" w:hAnsi="Georgia"/>
          <w:b w:val="false"/>
          <w:bCs w:val="false"/>
          <w:i w:val="false"/>
          <w:iCs w:val="false"/>
          <w:color w:val="1D1D1D"/>
          <w:sz w:val="22"/>
          <w:szCs w:val="22"/>
        </w:rPr>
        <w:t xml:space="preserve">Pinney J, Roufosse C, Kousios A, et al. Diagnosis and management of monoclonal gammopathy of renal significance: a BSH Good Practice Paper. Br J Haematol 2025;206:447–463.</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4. </w:t>
      </w:r>
      <w:r>
        <w:rPr>
          <w:rFonts w:ascii="Georgia" w:cs="Georgia" w:eastAsia="Georgia" w:hAnsi="Georgia"/>
          <w:b w:val="false"/>
          <w:bCs w:val="false"/>
          <w:i w:val="false"/>
          <w:iCs w:val="false"/>
          <w:color w:val="1D1D1D"/>
          <w:sz w:val="22"/>
          <w:szCs w:val="22"/>
        </w:rPr>
        <w:t xml:space="preserve">Kaiser M, Pratt G, Bygrave C, Bowles K, Stern S, Jenner M. Diagnosis and initial treatment of transplant-eligible high-risk myeloma: a BSH/UK Myeloma Society Good Practice Paper. Br J Haematol 2024;205:833–839.</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5. </w:t>
      </w:r>
      <w:r>
        <w:rPr>
          <w:rFonts w:ascii="Georgia" w:cs="Georgia" w:eastAsia="Georgia" w:hAnsi="Georgia"/>
          <w:b w:val="false"/>
          <w:bCs w:val="false"/>
          <w:i w:val="false"/>
          <w:iCs w:val="false"/>
          <w:color w:val="1D1D1D"/>
          <w:sz w:val="22"/>
          <w:szCs w:val="22"/>
        </w:rPr>
        <w:t xml:space="preserve">Kaiser M, Goh V, Stern S, et al. Advanced imaging for earlier diagnosis and morbidity prevention in multiple myeloma: a BSH/UK Myeloma Society Good Practice Paper. Br J Haematol 2024;205:1319–1325.</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6. </w:t>
      </w:r>
      <w:r>
        <w:rPr>
          <w:rFonts w:ascii="Georgia" w:cs="Georgia" w:eastAsia="Georgia" w:hAnsi="Georgia"/>
          <w:b w:val="false"/>
          <w:bCs w:val="false"/>
          <w:i w:val="false"/>
          <w:iCs w:val="false"/>
          <w:color w:val="1D1D1D"/>
          <w:sz w:val="22"/>
          <w:szCs w:val="22"/>
        </w:rPr>
        <w:t xml:space="preserve">Jenner M, Boyd K, Choudhuri S, Parrish C, Garg M, Stern S. Management of relapsed multiple myeloma: a BSH/UK Myeloma Society guideline. Br J Haematol 2025;207:2322–2354.</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7. </w:t>
      </w:r>
      <w:r>
        <w:rPr>
          <w:rFonts w:ascii="Georgia" w:cs="Georgia" w:eastAsia="Georgia" w:hAnsi="Georgia"/>
          <w:b w:val="false"/>
          <w:bCs w:val="false"/>
          <w:i w:val="false"/>
          <w:iCs w:val="false"/>
          <w:color w:val="1D1D1D"/>
          <w:sz w:val="22"/>
          <w:szCs w:val="22"/>
        </w:rPr>
        <w:t xml:space="preserve">Snowden JA, Greenfield DM, Bird JM, et al. Guidelines for screening and management of late and long-term consequences of myeloma and its treatment. Br J Haematol 2017;176:888–907.</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8. </w:t>
      </w:r>
      <w:r>
        <w:rPr>
          <w:rFonts w:ascii="Georgia" w:cs="Georgia" w:eastAsia="Georgia" w:hAnsi="Georgia"/>
          <w:b w:val="false"/>
          <w:bCs w:val="false"/>
          <w:i w:val="false"/>
          <w:iCs w:val="false"/>
          <w:color w:val="1D1D1D"/>
          <w:sz w:val="22"/>
          <w:szCs w:val="22"/>
        </w:rPr>
        <w:t xml:space="preserve">Sive J, Cuthill K, Hunter H, Kazmi M, Pratt G, Smith D. Guidelines on the diagnosis, investigation and initial treatment of myeloma: a BSH/UK Myeloma Forum guideline. Br J Haematol 2021;193:245–268.</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9. </w:t>
      </w:r>
      <w:r>
        <w:rPr>
          <w:rFonts w:ascii="Georgia" w:cs="Georgia" w:eastAsia="Georgia" w:hAnsi="Georgia"/>
          <w:b w:val="false"/>
          <w:bCs w:val="false"/>
          <w:i w:val="false"/>
          <w:iCs w:val="false"/>
          <w:color w:val="1D1D1D"/>
          <w:sz w:val="22"/>
          <w:szCs w:val="22"/>
        </w:rPr>
        <w:t xml:space="preserve">Rajkumar SV, Dimopoulos MA, Palumbo A, et al. International Myeloma Working Group updated criteria for the diagnosis of multiple myeloma. Lancet Oncol 2014;15:e538–548.</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10. </w:t>
      </w:r>
      <w:r>
        <w:rPr>
          <w:rFonts w:ascii="Georgia" w:cs="Georgia" w:eastAsia="Georgia" w:hAnsi="Georgia"/>
          <w:b w:val="false"/>
          <w:bCs w:val="false"/>
          <w:i w:val="false"/>
          <w:iCs w:val="false"/>
          <w:color w:val="1D1D1D"/>
          <w:sz w:val="22"/>
          <w:szCs w:val="22"/>
        </w:rPr>
        <w:t xml:space="preserve">Rajkumar SV, Kyle RA, Therneau TM, et al. Serum free light chain ratio is an independent risk factor for progression in MGUS. Blood 2005;106:812–817.</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11. </w:t>
      </w:r>
      <w:r>
        <w:rPr>
          <w:rFonts w:ascii="Georgia" w:cs="Georgia" w:eastAsia="Georgia" w:hAnsi="Georgia"/>
          <w:b w:val="false"/>
          <w:bCs w:val="false"/>
          <w:i w:val="false"/>
          <w:iCs w:val="false"/>
          <w:color w:val="1D1D1D"/>
          <w:sz w:val="22"/>
          <w:szCs w:val="22"/>
        </w:rPr>
        <w:t xml:space="preserve">Mateos MV, Kumar S, Dimopoulos MA, et al. International Myeloma Working Group risk stratification model for smouldering multiple myeloma. Blood Cancer J 2020;10:102.</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12. </w:t>
      </w:r>
      <w:r>
        <w:rPr>
          <w:rFonts w:ascii="Georgia" w:cs="Georgia" w:eastAsia="Georgia" w:hAnsi="Georgia"/>
          <w:b w:val="false"/>
          <w:bCs w:val="false"/>
          <w:i w:val="false"/>
          <w:iCs w:val="false"/>
          <w:color w:val="1D1D1D"/>
          <w:sz w:val="22"/>
          <w:szCs w:val="22"/>
        </w:rPr>
        <w:t xml:space="preserve">Lakshman A, Rajkumar SV, Buadi FK, et al. Risk stratification of smouldering MM incorporating revised IMWG diagnostic criteria. Blood Cancer J 2018;8:59.</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13. </w:t>
      </w:r>
      <w:r>
        <w:rPr>
          <w:rFonts w:ascii="Georgia" w:cs="Georgia" w:eastAsia="Georgia" w:hAnsi="Georgia"/>
          <w:b w:val="false"/>
          <w:bCs w:val="false"/>
          <w:i w:val="false"/>
          <w:iCs w:val="false"/>
          <w:color w:val="1D1D1D"/>
          <w:sz w:val="22"/>
          <w:szCs w:val="22"/>
        </w:rPr>
        <w:t xml:space="preserve">Fernandez de Larrea C, Kyle R, Rosinol L, et al. Primary plasma cell leukaemia: consensus definition by the IMWG. Blood Cancer J 2021;11:192.</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14. </w:t>
      </w:r>
      <w:r>
        <w:rPr>
          <w:rFonts w:ascii="Georgia" w:cs="Georgia" w:eastAsia="Georgia" w:hAnsi="Georgia"/>
          <w:b w:val="false"/>
          <w:bCs w:val="false"/>
          <w:i w:val="false"/>
          <w:iCs w:val="false"/>
          <w:color w:val="1D1D1D"/>
          <w:sz w:val="22"/>
          <w:szCs w:val="22"/>
        </w:rPr>
        <w:t xml:space="preserve">Greipp PR, San Miguel J, Durie BG, et al. International staging system for multiple myeloma. J Clin Oncol 2005;23:3412–3420.</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15. </w:t>
      </w:r>
      <w:r>
        <w:rPr>
          <w:rFonts w:ascii="Georgia" w:cs="Georgia" w:eastAsia="Georgia" w:hAnsi="Georgia"/>
          <w:b w:val="false"/>
          <w:bCs w:val="false"/>
          <w:i w:val="false"/>
          <w:iCs w:val="false"/>
          <w:color w:val="1D1D1D"/>
          <w:sz w:val="22"/>
          <w:szCs w:val="22"/>
        </w:rPr>
        <w:t xml:space="preserve">Palumbo A, Avet-Loiseau H, Oliva S, et al. Revised International Staging System for multiple myeloma: an IMWG report. J Clin Oncol 2015;33:2863–2869.</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16. </w:t>
      </w:r>
      <w:r>
        <w:rPr>
          <w:rFonts w:ascii="Georgia" w:cs="Georgia" w:eastAsia="Georgia" w:hAnsi="Georgia"/>
          <w:b w:val="false"/>
          <w:bCs w:val="false"/>
          <w:i w:val="false"/>
          <w:iCs w:val="false"/>
          <w:color w:val="1D1D1D"/>
          <w:sz w:val="22"/>
          <w:szCs w:val="22"/>
        </w:rPr>
        <w:t xml:space="preserve">D Agostino M, Cairns DA, Lahuerta JJ, et al. Second revision of the International Staging System (R2-ISS) for overall survival in multiple myeloma: a European Myeloma Network report within the HARMONY project. J Clin Oncol 2022;40:3406–3418.</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17. </w:t>
      </w:r>
      <w:r>
        <w:rPr>
          <w:rFonts w:ascii="Georgia" w:cs="Georgia" w:eastAsia="Georgia" w:hAnsi="Georgia"/>
          <w:b w:val="false"/>
          <w:bCs w:val="false"/>
          <w:i w:val="false"/>
          <w:iCs w:val="false"/>
          <w:color w:val="1D1D1D"/>
          <w:sz w:val="22"/>
          <w:szCs w:val="22"/>
        </w:rPr>
        <w:t xml:space="preserve">Dimopoulos MA, Moreau P, Terpos E, et al. Multiple myeloma: EHA-ESMO Clinical Practice Guidelines for diagnosis, treatment and follow-up. Ann Oncol 2021;32:309–322.</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18. </w:t>
      </w:r>
      <w:r>
        <w:rPr>
          <w:rFonts w:ascii="Georgia" w:cs="Georgia" w:eastAsia="Georgia" w:hAnsi="Georgia"/>
          <w:b w:val="false"/>
          <w:bCs w:val="false"/>
          <w:i w:val="false"/>
          <w:iCs w:val="false"/>
          <w:color w:val="1D1D1D"/>
          <w:sz w:val="22"/>
          <w:szCs w:val="22"/>
        </w:rPr>
        <w:t xml:space="preserve">Dimopoulos MA, Terpos E, Boccadoro M, Moreau P, Mateos MV, Zweegman S, et al. EHA–EMN Evidence-Based Guidelines for diagnosis, treatment and follow-up of patients with multiple myeloma. Nat Rev Clin Oncol 2025;22(9):680–700. doi:10.1038/s41571-025-01041-x. PMID: 40624367.</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19. </w:t>
      </w:r>
      <w:r>
        <w:rPr>
          <w:rFonts w:ascii="Georgia" w:cs="Georgia" w:eastAsia="Georgia" w:hAnsi="Georgia"/>
          <w:b w:val="false"/>
          <w:bCs w:val="false"/>
          <w:i w:val="false"/>
          <w:iCs w:val="false"/>
          <w:color w:val="1D1D1D"/>
          <w:sz w:val="22"/>
          <w:szCs w:val="22"/>
        </w:rPr>
        <w:t xml:space="preserve">National Institute for Health and Care Excellence. Myeloma: diagnosis and management. NG35. Last updated 2018. nice.org.uk/guidance/ng35.</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20. </w:t>
      </w:r>
      <w:r>
        <w:rPr>
          <w:rFonts w:ascii="Georgia" w:cs="Georgia" w:eastAsia="Georgia" w:hAnsi="Georgia"/>
          <w:b w:val="false"/>
          <w:bCs w:val="false"/>
          <w:i w:val="false"/>
          <w:iCs w:val="false"/>
          <w:color w:val="1D1D1D"/>
          <w:sz w:val="22"/>
          <w:szCs w:val="22"/>
        </w:rPr>
        <w:t xml:space="preserve">Leung N, Bridoux F, Batuman V, et al. The evaluation of monoclonal gammopathy of renal significance: an IKMG consensus report. Nat Rev Nephrol 2019;15:45–59.</w:t>
      </w:r>
      <w:r>
        <w:rPr>
          <w:rFonts w:ascii="Georgia" w:cs="Georgia" w:eastAsia="Georgia" w:hAnsi="Georgia"/>
          <w:b/>
          <w:bCs/>
          <w:i w:val="false"/>
          <w:iCs w:val="false"/>
          <w:color w:val="2A6B3B"/>
          <w:sz w:val="22"/>
          <w:szCs w:val="22"/>
        </w:rPr>
        <w:t xml:space="preserve">  [A1]</w:t>
      </w:r>
    </w:p>
    <w:p>
      <w:pPr>
        <w:spacing w:after="60" w:before="60" w:line="300"/>
        <w:jc w:val="left"/>
      </w:pPr>
      <w:r>
        <w:rPr>
          <w:rFonts w:ascii="Georgia" w:cs="Georgia" w:eastAsia="Georgia" w:hAnsi="Georgia"/>
          <w:b/>
          <w:bCs/>
          <w:i w:val="false"/>
          <w:iCs w:val="false"/>
          <w:color w:val="1D1D1D"/>
          <w:sz w:val="22"/>
          <w:szCs w:val="22"/>
        </w:rPr>
        <w:t xml:space="preserve">21. </w:t>
      </w:r>
      <w:r>
        <w:rPr>
          <w:rFonts w:ascii="Georgia" w:cs="Georgia" w:eastAsia="Georgia" w:hAnsi="Georgia"/>
          <w:b w:val="false"/>
          <w:bCs w:val="false"/>
          <w:i w:val="false"/>
          <w:iCs w:val="false"/>
          <w:color w:val="1D1D1D"/>
          <w:sz w:val="22"/>
          <w:szCs w:val="22"/>
        </w:rPr>
        <w:t xml:space="preserve">Fermand JP, Bridoux F, Dispenzieri A, et al. Monoclonal gammopathy of clinical significance: a novel concept with therapeutic consequences. Blood 2018;132:1478–1485.</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22. </w:t>
      </w:r>
      <w:r>
        <w:rPr>
          <w:rFonts w:ascii="Georgia" w:cs="Georgia" w:eastAsia="Georgia" w:hAnsi="Georgia"/>
          <w:b w:val="false"/>
          <w:bCs w:val="false"/>
          <w:i w:val="false"/>
          <w:iCs w:val="false"/>
          <w:color w:val="1D1D1D"/>
          <w:sz w:val="22"/>
          <w:szCs w:val="22"/>
        </w:rPr>
        <w:t xml:space="preserve">Moreau P, Attal M, Hulin C, et al. Bortezomib, thalidomide, and dexamethasone with or without daratumumab before and after autologous stem-cell transplantation for NDMM (CASSIOPEIA). Lancet 2019;394:29–38.</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23. </w:t>
      </w:r>
      <w:r>
        <w:rPr>
          <w:rFonts w:ascii="Georgia" w:cs="Georgia" w:eastAsia="Georgia" w:hAnsi="Georgia"/>
          <w:b w:val="false"/>
          <w:bCs w:val="false"/>
          <w:i w:val="false"/>
          <w:iCs w:val="false"/>
          <w:color w:val="1D1D1D"/>
          <w:sz w:val="22"/>
          <w:szCs w:val="22"/>
        </w:rPr>
        <w:t xml:space="preserve">Sonneveld P, Dimopoulos MA, Boccadoro M, et al. Daratumumab, bortezomib, lenalidomide and dexamethasone for multiple myeloma (PERSEUS). N Engl J Med 2024;390:301–313.</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24. </w:t>
      </w:r>
      <w:r>
        <w:rPr>
          <w:rFonts w:ascii="Georgia" w:cs="Georgia" w:eastAsia="Georgia" w:hAnsi="Georgia"/>
          <w:b w:val="false"/>
          <w:bCs w:val="false"/>
          <w:i w:val="false"/>
          <w:iCs w:val="false"/>
          <w:color w:val="1D1D1D"/>
          <w:sz w:val="22"/>
          <w:szCs w:val="22"/>
        </w:rPr>
        <w:t xml:space="preserve">Stewart AK, Rajkumar SV, Dimopoulos MA, et al. Carfilzomib, lenalidomide, and dexamethasone for relapsed multiple myeloma (ASPIRE). N Engl J Med 2015;372:142–152.</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25. </w:t>
      </w:r>
      <w:r>
        <w:rPr>
          <w:rFonts w:ascii="Georgia" w:cs="Georgia" w:eastAsia="Georgia" w:hAnsi="Georgia"/>
          <w:b w:val="false"/>
          <w:bCs w:val="false"/>
          <w:i w:val="false"/>
          <w:iCs w:val="false"/>
          <w:color w:val="1D1D1D"/>
          <w:sz w:val="22"/>
          <w:szCs w:val="22"/>
        </w:rPr>
        <w:t xml:space="preserve">Dimopoulos MA, Oriol A, Nahi H, et al. Daratumumab, lenalidomide, and dexamethasone for multiple myeloma (POLLUX). N Engl J Med 2016;375:1319–1331.</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26. </w:t>
      </w:r>
      <w:r>
        <w:rPr>
          <w:rFonts w:ascii="Georgia" w:cs="Georgia" w:eastAsia="Georgia" w:hAnsi="Georgia"/>
          <w:b w:val="false"/>
          <w:bCs w:val="false"/>
          <w:i w:val="false"/>
          <w:iCs w:val="false"/>
          <w:color w:val="1D1D1D"/>
          <w:sz w:val="22"/>
          <w:szCs w:val="22"/>
        </w:rPr>
        <w:t xml:space="preserve">Palumbo A, Chanan-Khan A, Weisel K, et al. Daratumumab, bortezomib, and dexamethasone for multiple myeloma (CASTOR). N Engl J Med 2016;375:754–766.</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27. </w:t>
      </w:r>
      <w:r>
        <w:rPr>
          <w:rFonts w:ascii="Georgia" w:cs="Georgia" w:eastAsia="Georgia" w:hAnsi="Georgia"/>
          <w:b w:val="false"/>
          <w:bCs w:val="false"/>
          <w:i w:val="false"/>
          <w:iCs w:val="false"/>
          <w:color w:val="1D1D1D"/>
          <w:sz w:val="22"/>
          <w:szCs w:val="22"/>
        </w:rPr>
        <w:t xml:space="preserve">Moreau P, Garfall AL, van de Donk NWCJ, et al. Teclistamab in relapsed or refractory multiple myeloma (MajesTEC-1). N Engl J Med 2022;387:495–505.</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28. </w:t>
      </w:r>
      <w:r>
        <w:rPr>
          <w:rFonts w:ascii="Georgia" w:cs="Georgia" w:eastAsia="Georgia" w:hAnsi="Georgia"/>
          <w:b w:val="false"/>
          <w:bCs w:val="false"/>
          <w:i w:val="false"/>
          <w:iCs w:val="false"/>
          <w:color w:val="1D1D1D"/>
          <w:sz w:val="22"/>
          <w:szCs w:val="22"/>
        </w:rPr>
        <w:t xml:space="preserve">Munshi NC, Anderson LD, Shah N, et al. Idecabtagene vicleucel in relapsed and refractory MM (KarMMa). N Engl J Med 2021;384:705–716.</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29. </w:t>
      </w:r>
      <w:r>
        <w:rPr>
          <w:rFonts w:ascii="Georgia" w:cs="Georgia" w:eastAsia="Georgia" w:hAnsi="Georgia"/>
          <w:b w:val="false"/>
          <w:bCs w:val="false"/>
          <w:i w:val="false"/>
          <w:iCs w:val="false"/>
          <w:color w:val="1D1D1D"/>
          <w:sz w:val="22"/>
          <w:szCs w:val="22"/>
        </w:rPr>
        <w:t xml:space="preserve">Rodriguez-Otero P, Ailawadhi S, Arnulf B, et al. Ide-cel or standard regimens in relapsed and refractory MM (KarMMa-3). N Engl J Med 2023;388:1002–1014.</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30. </w:t>
      </w:r>
      <w:r>
        <w:rPr>
          <w:rFonts w:ascii="Georgia" w:cs="Georgia" w:eastAsia="Georgia" w:hAnsi="Georgia"/>
          <w:b w:val="false"/>
          <w:bCs w:val="false"/>
          <w:i w:val="false"/>
          <w:iCs w:val="false"/>
          <w:color w:val="1D1D1D"/>
          <w:sz w:val="22"/>
          <w:szCs w:val="22"/>
        </w:rPr>
        <w:t xml:space="preserve">Berdeja JG, Madduri D, Usmani SZ, et al. Ciltacabtagene autoleucel in relapsed or refractory MM (CARTITUDE-1). Lancet 2021;398:314–324.</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31. </w:t>
      </w:r>
      <w:r>
        <w:rPr>
          <w:rFonts w:ascii="Georgia" w:cs="Georgia" w:eastAsia="Georgia" w:hAnsi="Georgia"/>
          <w:b w:val="false"/>
          <w:bCs w:val="false"/>
          <w:i w:val="false"/>
          <w:iCs w:val="false"/>
          <w:color w:val="1D1D1D"/>
          <w:sz w:val="22"/>
          <w:szCs w:val="22"/>
        </w:rPr>
        <w:t xml:space="preserve">San-Miguel J, Dhakal B, Yong K, et al. Cilta-cel or standard care in lenalidomide-refractory MM (CARTITUDE-4). N Engl J Med 2023;389:335–347.</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32. </w:t>
      </w:r>
      <w:r>
        <w:rPr>
          <w:rFonts w:ascii="Georgia" w:cs="Georgia" w:eastAsia="Georgia" w:hAnsi="Georgia"/>
          <w:b w:val="false"/>
          <w:bCs w:val="false"/>
          <w:i w:val="false"/>
          <w:iCs w:val="false"/>
          <w:color w:val="1D1D1D"/>
          <w:sz w:val="22"/>
          <w:szCs w:val="22"/>
        </w:rPr>
        <w:t xml:space="preserve">Chari A, Minnema MC, Berdeja JG, et al. Talquetamab, a T-cell-redirecting GPRC5D bispecific antibody (MonumenTAL-1). N Engl J Med 2022;387:2232–2244.</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33. </w:t>
      </w:r>
      <w:r>
        <w:rPr>
          <w:rFonts w:ascii="Georgia" w:cs="Georgia" w:eastAsia="Georgia" w:hAnsi="Georgia"/>
          <w:b w:val="false"/>
          <w:bCs w:val="false"/>
          <w:i w:val="false"/>
          <w:iCs w:val="false"/>
          <w:color w:val="1D1D1D"/>
          <w:sz w:val="22"/>
          <w:szCs w:val="22"/>
        </w:rPr>
        <w:t xml:space="preserve">Lesokhin AM, Tomasson MH, Arnulf B, et al. Elranatamab in relapsed or refractory MM (MagnetisMM-3). Nat Med 2023;29:2259–2267.</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34. </w:t>
      </w:r>
      <w:r>
        <w:rPr>
          <w:rFonts w:ascii="Georgia" w:cs="Georgia" w:eastAsia="Georgia" w:hAnsi="Georgia"/>
          <w:b w:val="false"/>
          <w:bCs w:val="false"/>
          <w:i w:val="false"/>
          <w:iCs w:val="false"/>
          <w:color w:val="1D1D1D"/>
          <w:sz w:val="22"/>
          <w:szCs w:val="22"/>
        </w:rPr>
        <w:t xml:space="preserve">Chari A, Vogl DT, Gavriatopoulou M, et al. Oral selinexor-dexamethasone for triple-class refractory MM (STORM). N Engl J Med 2019;381:727–738.</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35. </w:t>
      </w:r>
      <w:r>
        <w:rPr>
          <w:rFonts w:ascii="Georgia" w:cs="Georgia" w:eastAsia="Georgia" w:hAnsi="Georgia"/>
          <w:b w:val="false"/>
          <w:bCs w:val="false"/>
          <w:i w:val="false"/>
          <w:iCs w:val="false"/>
          <w:color w:val="1D1D1D"/>
          <w:sz w:val="22"/>
          <w:szCs w:val="22"/>
        </w:rPr>
        <w:t xml:space="preserve">Hungria V, Robak P, Hus M, et al. Belantamab mafodotin, bortezomib, and dexamethasone for MM (DREAMM-7). N Engl J Med 2024;391:393–407.</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36. </w:t>
      </w:r>
      <w:r>
        <w:rPr>
          <w:rFonts w:ascii="Georgia" w:cs="Georgia" w:eastAsia="Georgia" w:hAnsi="Georgia"/>
          <w:b w:val="false"/>
          <w:bCs w:val="false"/>
          <w:i w:val="false"/>
          <w:iCs w:val="false"/>
          <w:color w:val="1D1D1D"/>
          <w:sz w:val="22"/>
          <w:szCs w:val="22"/>
        </w:rPr>
        <w:t xml:space="preserve">Trudel S, Beksac M, Pour L, et al. Belantamab mafodotin, pomalidomide, and dexamethasone in MM (DREAMM-8). N Engl J Med 2024;391:408–421.</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37. </w:t>
      </w:r>
      <w:r>
        <w:rPr>
          <w:rFonts w:ascii="Georgia" w:cs="Georgia" w:eastAsia="Georgia" w:hAnsi="Georgia"/>
          <w:b w:val="false"/>
          <w:bCs w:val="false"/>
          <w:i w:val="false"/>
          <w:iCs w:val="false"/>
          <w:color w:val="1D1D1D"/>
          <w:sz w:val="22"/>
          <w:szCs w:val="22"/>
        </w:rPr>
        <w:t xml:space="preserve">Kumar SK, Harrison SJ, Cavo M, et al. Venetoclax or placebo with bortezomib and dexamethasone in R/R MM (BELLINI). Lancet Oncol 2020;21:1630–1642.</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38. </w:t>
      </w:r>
      <w:r>
        <w:rPr>
          <w:rFonts w:ascii="Georgia" w:cs="Georgia" w:eastAsia="Georgia" w:hAnsi="Georgia"/>
          <w:b w:val="false"/>
          <w:bCs w:val="false"/>
          <w:i w:val="false"/>
          <w:iCs w:val="false"/>
          <w:color w:val="1D1D1D"/>
          <w:sz w:val="22"/>
          <w:szCs w:val="22"/>
        </w:rPr>
        <w:t xml:space="preserve">Jackson GH, Davies FE, Pawlyn C, et al. Lenalidomide maintenance versus observation for NDMM (Myeloma XI). Lancet Oncol 2019;20:57–73.</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39. </w:t>
      </w:r>
      <w:r>
        <w:rPr>
          <w:rFonts w:ascii="Georgia" w:cs="Georgia" w:eastAsia="Georgia" w:hAnsi="Georgia"/>
          <w:b w:val="false"/>
          <w:bCs w:val="false"/>
          <w:i w:val="false"/>
          <w:iCs w:val="false"/>
          <w:color w:val="1D1D1D"/>
          <w:sz w:val="22"/>
          <w:szCs w:val="22"/>
        </w:rPr>
        <w:t xml:space="preserve">Moreau P, Dimopoulos MA, Mikhael J, et al. Isatuximab, carfilzomib, and dexamethasone in relapsed MM (IKEMA). Lancet 2021;397:2361–2371.</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40. </w:t>
      </w:r>
      <w:r>
        <w:rPr>
          <w:rFonts w:ascii="Georgia" w:cs="Georgia" w:eastAsia="Georgia" w:hAnsi="Georgia"/>
          <w:b w:val="false"/>
          <w:bCs w:val="false"/>
          <w:i w:val="false"/>
          <w:iCs w:val="false"/>
          <w:color w:val="1D1D1D"/>
          <w:sz w:val="22"/>
          <w:szCs w:val="22"/>
        </w:rPr>
        <w:t xml:space="preserve">Attal M, Richardson PG, Rajkumar SV, et al. Isatuximab plus pomalidomide and low-dose dexamethasone in R/R MM (ICARIA-MM). Lancet 2019;394:2096–2107.</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41. </w:t>
      </w:r>
      <w:r>
        <w:rPr>
          <w:rFonts w:ascii="Georgia" w:cs="Georgia" w:eastAsia="Georgia" w:hAnsi="Georgia"/>
          <w:b w:val="false"/>
          <w:bCs w:val="false"/>
          <w:i w:val="false"/>
          <w:iCs w:val="false"/>
          <w:color w:val="1D1D1D"/>
          <w:sz w:val="22"/>
          <w:szCs w:val="22"/>
        </w:rPr>
        <w:t xml:space="preserve">Richardson PG, Oriol A, Beksac M, et al. Pomalidomide, bortezomib, and dexamethasone in R/R MM (OPTIMISMM). Lancet Oncol 2019;20:781–794.</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42. </w:t>
      </w:r>
      <w:r>
        <w:rPr>
          <w:rFonts w:ascii="Georgia" w:cs="Georgia" w:eastAsia="Georgia" w:hAnsi="Georgia"/>
          <w:b w:val="false"/>
          <w:bCs w:val="false"/>
          <w:i w:val="false"/>
          <w:iCs w:val="false"/>
          <w:color w:val="1D1D1D"/>
          <w:sz w:val="22"/>
          <w:szCs w:val="22"/>
        </w:rPr>
        <w:t xml:space="preserve">San-Miguel JF, Hungria VT, Yoon SS, et al. Panobinostat plus bortezomib and dexamethasone in R/R MM (PANORAMA-1). Lancet Oncol 2014;15:1195–1206.</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43. </w:t>
      </w:r>
      <w:r>
        <w:rPr>
          <w:rFonts w:ascii="Georgia" w:cs="Georgia" w:eastAsia="Georgia" w:hAnsi="Georgia"/>
          <w:b w:val="false"/>
          <w:bCs w:val="false"/>
          <w:i w:val="false"/>
          <w:iCs w:val="false"/>
          <w:color w:val="1D1D1D"/>
          <w:sz w:val="22"/>
          <w:szCs w:val="22"/>
        </w:rPr>
        <w:t xml:space="preserve">Grosicki S, Simonova M, Spicka I, et al. Once-per-week selinexor, bortezomib, and dexamethasone versus twice-per-week Vd in MM (BOSTON). Lancet 2020;396:1563–1573.</w:t>
      </w:r>
      <w:r>
        <w:rPr>
          <w:rFonts w:ascii="Georgia" w:cs="Georgia" w:eastAsia="Georgia" w:hAnsi="Georgia"/>
          <w:b/>
          <w:bCs/>
          <w:i w:val="false"/>
          <w:iCs w:val="false"/>
          <w:color w:val="1E5D8C"/>
          <w:sz w:val="22"/>
          <w:szCs w:val="22"/>
        </w:rPr>
        <w:t xml:space="preserve">  [A2]</w:t>
      </w:r>
    </w:p>
    <w:p>
      <w:pPr>
        <w:spacing w:after="60" w:before="60" w:line="300"/>
        <w:jc w:val="left"/>
      </w:pPr>
      <w:r>
        <w:rPr>
          <w:rFonts w:ascii="Georgia" w:cs="Georgia" w:eastAsia="Georgia" w:hAnsi="Georgia"/>
          <w:b/>
          <w:bCs/>
          <w:i w:val="false"/>
          <w:iCs w:val="false"/>
          <w:color w:val="1D1D1D"/>
          <w:sz w:val="22"/>
          <w:szCs w:val="22"/>
        </w:rPr>
        <w:t xml:space="preserve">44. </w:t>
      </w:r>
      <w:r>
        <w:rPr>
          <w:rFonts w:ascii="Georgia" w:cs="Georgia" w:eastAsia="Georgia" w:hAnsi="Georgia"/>
          <w:b w:val="false"/>
          <w:bCs w:val="false"/>
          <w:i w:val="false"/>
          <w:iCs w:val="false"/>
          <w:color w:val="1D1D1D"/>
          <w:sz w:val="22"/>
          <w:szCs w:val="22"/>
        </w:rPr>
        <w:t xml:space="preserve">San Miguel J, Weisel K, Moreau P, et al. Pomalidomide plus low-dose dexamethasone versus high-dose dexamethasone alone in R/R MM (MM-003). Lancet Oncol 2013;14:1055–1066.</w:t>
      </w:r>
      <w:r>
        <w:rPr>
          <w:rFonts w:ascii="Georgia" w:cs="Georgia" w:eastAsia="Georgia" w:hAnsi="Georgia"/>
          <w:b/>
          <w:bCs/>
          <w:i w:val="false"/>
          <w:iCs w:val="false"/>
          <w:color w:val="1E5D8C"/>
          <w:sz w:val="22"/>
          <w:szCs w:val="22"/>
        </w:rPr>
        <w:t xml:space="preserve">  [A2]</w:t>
      </w:r>
    </w:p>
    <w:p>
      <w:pPr>
        <w:spacing w:after="80" w:before="180"/>
      </w:pPr>
      <w:r>
        <w:rPr>
          <w:rFonts w:ascii="Georgia" w:cs="Georgia" w:eastAsia="Georgia" w:hAnsi="Georgia"/>
          <w:b/>
          <w:bCs/>
          <w:color w:val="1D1D1D"/>
          <w:sz w:val="24"/>
          <w:szCs w:val="24"/>
        </w:rPr>
        <w:t xml:space="preserve">NICE technology appraisals — statuses re-verified for publication on 26 July 2026; live NICE verification remains required before prescribing</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TA129 — Bortezomib monotherapy for relapsed MM (2007).</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TA228 — Bortezomib + thalidomide for first-line MM (2011).</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TA311 — Bortezomib induction before HDT/ASCT (2014).</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TA380 — Panobinostat + bortezomib + dex for R/R MM.</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TA427 — Pomalidomide + dex for R/R MM.</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TA510 — Daratumumab monotherapy for R/R MM.</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TA586 — Lenalidomide + dex for MM after one bortezomib regimen.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TA587 — Lenalidomide + dex for previously untreated MM (2019).</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TA657 — Carfilzomib for previously treated MM (2020).</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TA680 — Lenalidomide maintenance after ASCT for NDMM (2021).</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TA695 — Carfilzomib + dex + lenalidomide (KRd) for previously treated MM.</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TA763 — D-VTd induction/consolidation for newly diagnosed transplant-eligible myeloma, within NICE criteria (February 2022).</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TA869 — Teclistamab (terminated; replaced by TA1015).</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TA889 — Cilta-cel for R/R MM (terminated; Janssen withdrew submission).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TA970 — Selinexor + dex for R/R MM after 4 or more prior treatments.</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TA1015 — Teclistamab for R/R MM after 3 or more prior treatments (November 2024).</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TA1023 — Elranatamab for R/R MM after 3 or more prior treatments (December 2024; managed access, evidence collection).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TA1098 — Isatuximab + bortezomib + lenalidomide + dexamethasone (Isa-VRd) for untreated MM when ASCT unsuitable (September 2025).</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TA1114 — Talquetamab for R/R MM after 3 or more prior treatments (December 2025; routine NHS option).</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TA1133 — Belantamab mafodotin + Pd for previously treated MM after 1 prior lenalidomide-containing line if Len-intolerant or Len-refractory (February 2026). Not a generic penta-refractory option.</w:t>
      </w:r>
    </w:p>
    <w:p>
      <w:pPr>
        <w:pStyle w:val="ListParagraph"/>
        <w:numPr>
          <w:ilvl w:val="0"/>
          <w:numId w:val="2"/>
        </w:numPr>
        <w:spacing w:after="40" w:before="40" w:line="280"/>
      </w:pPr>
      <w:r>
        <w:t>TA1170: D-VRd for untreated multiple myeloma when ASCT is unsuitable. In development: GID-TA11254 / ID6249 (D-VRd when high-dose chemotherapy and ASCT are suitable); GID-TA10905 / ID4012; GID-TA11846 / ID6639.</w:t>
      </w:r>
    </w:p>
    <w:p>
      <w:pPr>
        <w:pStyle w:val="ListParagraph"/>
        <w:numPr>
          <w:ilvl w:val="0"/>
          <w:numId w:val="2"/>
        </w:numPr>
        <w:spacing w:after="40" w:before="40" w:line="280"/>
      </w:pPr>
      <w:r>
        <w:rPr>
          <w:rFonts w:ascii="Georgia" w:cs="Georgia" w:eastAsia="Georgia" w:hAnsi="Georgia"/>
          <w:b w:val="false"/>
          <w:bCs w:val="false"/>
          <w:i w:val="false"/>
          <w:iCs w:val="false"/>
          <w:color w:val="1D1D1D"/>
          <w:sz w:val="22"/>
          <w:szCs w:val="22"/>
        </w:rPr>
        <w:t xml:space="preserve">Discontinued: GID-TA10843 / ID1517 (ixazomib maintenance after ASCT; discontinued February 2026).</w:t>
      </w:r>
    </w:p>
    <w:p>
      <w:pPr>
        <w:pStyle w:val="Heading1"/>
        <w:spacing w:after="160" w:before="360"/>
      </w:pPr>
      <w:r>
        <w:rPr>
          <w:rFonts w:ascii="Georgia" w:cs="Georgia" w:eastAsia="Georgia" w:hAnsi="Georgia"/>
          <w:b/>
          <w:bCs/>
          <w:color w:val="7A1F2B"/>
          <w:sz w:val="30"/>
          <w:szCs w:val="30"/>
        </w:rPr>
        <w:t xml:space="preserve">15. </w:t>
      </w:r>
      <w:r>
        <w:rPr>
          <w:rFonts w:ascii="Georgia" w:cs="Georgia" w:eastAsia="Georgia" w:hAnsi="Georgia"/>
          <w:b/>
          <w:bCs/>
          <w:color w:val="7A1F2B"/>
          <w:sz w:val="30"/>
          <w:szCs w:val="30"/>
        </w:rPr>
        <w:t xml:space="preserve">How to Cite This Document</w:t>
      </w:r>
    </w:p>
    <w:p>
      <w:pPr>
        <w:spacing w:after="80" w:before="80" w:line="300"/>
        <w:jc w:val="left"/>
      </w:pPr>
      <w:r>
        <w:rPr>
          <w:rFonts w:ascii="Georgia" w:cs="Georgia" w:eastAsia="Georgia" w:hAnsi="Georgia"/>
          <w:b w:val="false"/>
          <w:bCs w:val="false"/>
          <w:i w:val="false"/>
          <w:iCs w:val="false"/>
          <w:color w:val="1D1D1D"/>
          <w:sz w:val="22"/>
          <w:szCs w:val="22"/>
        </w:rPr>
        <w:t xml:space="preserve">Copy one of the formats below if you are citing this guideline in a presentation, teaching pack, audit write-up, or letter. Update the access year if you are reading this at a later date.</w:t>
      </w:r>
    </w:p>
    <w:p>
      <w:pPr>
        <w:spacing w:after="80" w:before="180"/>
      </w:pPr>
      <w:r>
        <w:rPr>
          <w:rFonts w:ascii="Georgia" w:cs="Georgia" w:eastAsia="Georgia" w:hAnsi="Georgia"/>
          <w:b/>
          <w:bCs/>
          <w:color w:val="1D1D1D"/>
          <w:sz w:val="24"/>
          <w:szCs w:val="24"/>
        </w:rPr>
        <w:t xml:space="preserve">APA</w:t>
      </w:r>
    </w:p>
    <w:p>
      <w:pPr>
        <w:spacing w:after="80" w:before="80" w:line="300"/>
        <w:jc w:val="left"/>
      </w:pPr>
      <w:r>
        <w:rPr>
          <w:rFonts w:ascii="Georgia" w:cs="Georgia" w:eastAsia="Georgia" w:hAnsi="Georgia"/>
          <w:b w:val="false"/>
          <w:bCs w:val="false"/>
          <w:i/>
          <w:iCs/>
          <w:color w:val="1D1D1D"/>
          <w:sz w:val="22"/>
          <w:szCs w:val="22"/>
        </w:rPr>
        <w:t xml:space="preserve">Mohsin, M. (2026). Multiple Myeloma — Unified UK Practice Guideline. Mohsin Haematology Academy. https://mohsinhaemacademy.com/guidelines/myeloma/</w:t>
      </w:r>
    </w:p>
    <w:p>
      <w:pPr>
        <w:spacing w:after="80" w:before="180"/>
      </w:pPr>
      <w:r>
        <w:rPr>
          <w:rFonts w:ascii="Georgia" w:cs="Georgia" w:eastAsia="Georgia" w:hAnsi="Georgia"/>
          <w:b/>
          <w:bCs/>
          <w:color w:val="1D1D1D"/>
          <w:sz w:val="24"/>
          <w:szCs w:val="24"/>
        </w:rPr>
        <w:t xml:space="preserve">Vancouver</w:t>
      </w:r>
    </w:p>
    <w:p>
      <w:pPr>
        <w:spacing w:after="80" w:before="80" w:line="300"/>
        <w:jc w:val="left"/>
      </w:pPr>
      <w:r>
        <w:rPr>
          <w:rFonts w:ascii="Georgia" w:cs="Georgia" w:eastAsia="Georgia" w:hAnsi="Georgia"/>
          <w:b w:val="false"/>
          <w:bCs w:val="false"/>
          <w:i/>
          <w:iCs/>
          <w:color w:val="1D1D1D"/>
          <w:sz w:val="22"/>
          <w:szCs w:val="22"/>
        </w:rPr>
        <w:t xml:space="preserve">Mohsin M. Multiple Myeloma — Unified UK Practice Guideline. Mohsin Haematology Academy; 2026. Available from: https://mohsinhaemacademy.com/guidelines/myeloma/</w:t>
      </w:r>
    </w:p>
    <w:p>
      <w:pPr>
        <w:spacing w:after="80" w:before="180"/>
      </w:pPr>
      <w:r>
        <w:rPr>
          <w:rFonts w:ascii="Georgia" w:cs="Georgia" w:eastAsia="Georgia" w:hAnsi="Georgia"/>
          <w:b/>
          <w:bCs/>
          <w:color w:val="1D1D1D"/>
          <w:sz w:val="24"/>
          <w:szCs w:val="24"/>
        </w:rPr>
        <w:t xml:space="preserve">BibTeX</w:t>
      </w:r>
    </w:p>
    <w:p>
      <w:pPr>
        <w:spacing w:after="80" w:before="80" w:line="300"/>
        <w:jc w:val="left"/>
      </w:pPr>
      <w:r>
        <w:rPr>
          <w:rFonts w:ascii="Georgia" w:cs="Georgia" w:eastAsia="Georgia" w:hAnsi="Georgia"/>
          <w:b w:val="false"/>
          <w:bCs w:val="false"/>
          <w:i w:val="false"/>
          <w:iCs w:val="false"/>
          <w:color w:val="1D1D1D"/>
          <w:sz w:val="18"/>
          <w:szCs w:val="18"/>
        </w:rPr>
        <w:t xml:space="preserve">@misc{mohsin_myeloma_2026,</w:t>
      </w:r>
    </w:p>
    <w:p>
      <w:pPr>
        <w:spacing w:after="80" w:before="80" w:line="300"/>
        <w:jc w:val="left"/>
      </w:pPr>
      <w:r>
        <w:rPr>
          <w:rFonts w:ascii="Georgia" w:cs="Georgia" w:eastAsia="Georgia" w:hAnsi="Georgia"/>
          <w:b w:val="false"/>
          <w:bCs w:val="false"/>
          <w:i w:val="false"/>
          <w:iCs w:val="false"/>
          <w:color w:val="1D1D1D"/>
          <w:sz w:val="18"/>
          <w:szCs w:val="18"/>
        </w:rPr>
        <w:t xml:space="preserve">  author = {Mohsin, Muhammad},</w:t>
      </w:r>
    </w:p>
    <w:p>
      <w:pPr>
        <w:spacing w:after="80" w:before="80" w:line="300"/>
        <w:jc w:val="left"/>
      </w:pPr>
      <w:r>
        <w:rPr>
          <w:rFonts w:ascii="Georgia" w:cs="Georgia" w:eastAsia="Georgia" w:hAnsi="Georgia"/>
          <w:b w:val="false"/>
          <w:bCs w:val="false"/>
          <w:i w:val="false"/>
          <w:iCs w:val="false"/>
          <w:color w:val="1D1D1D"/>
          <w:sz w:val="18"/>
          <w:szCs w:val="18"/>
        </w:rPr>
        <w:t xml:space="preserve">  title  = {Multiple Myeloma --- Unified UK Practice Guideline},</w:t>
      </w:r>
    </w:p>
    <w:p>
      <w:pPr>
        <w:spacing w:after="80" w:before="80" w:line="300"/>
        <w:jc w:val="left"/>
      </w:pPr>
      <w:r>
        <w:rPr>
          <w:rFonts w:ascii="Georgia" w:cs="Georgia" w:eastAsia="Georgia" w:hAnsi="Georgia"/>
          <w:b w:val="false"/>
          <w:bCs w:val="false"/>
          <w:i w:val="false"/>
          <w:iCs w:val="false"/>
          <w:color w:val="1D1D1D"/>
          <w:sz w:val="18"/>
          <w:szCs w:val="18"/>
        </w:rPr>
        <w:t xml:space="preserve">  year   = {2026},</w:t>
      </w:r>
    </w:p>
    <w:p>
      <w:pPr>
        <w:spacing w:after="80" w:before="80" w:line="300"/>
        <w:jc w:val="left"/>
      </w:pPr>
      <w:r>
        <w:rPr>
          <w:rFonts w:ascii="Georgia" w:cs="Georgia" w:eastAsia="Georgia" w:hAnsi="Georgia"/>
          <w:b w:val="false"/>
          <w:bCs w:val="false"/>
          <w:i w:val="false"/>
          <w:iCs w:val="false"/>
          <w:color w:val="1D1D1D"/>
          <w:sz w:val="18"/>
          <w:szCs w:val="18"/>
        </w:rPr>
        <w:t xml:space="preserve">  url    = {https://mohsinhaemacademy.com/guidelines/myeloma/},</w:t>
      </w:r>
    </w:p>
    <w:p>
      <w:pPr>
        <w:spacing w:after="80" w:before="80" w:line="300"/>
        <w:jc w:val="left"/>
      </w:pPr>
      <w:r>
        <w:rPr>
          <w:rFonts w:ascii="Georgia" w:cs="Georgia" w:eastAsia="Georgia" w:hAnsi="Georgia"/>
          <w:b w:val="false"/>
          <w:bCs w:val="false"/>
          <w:i w:val="false"/>
          <w:iCs w:val="false"/>
          <w:color w:val="1D1D1D"/>
          <w:sz w:val="18"/>
          <w:szCs w:val="18"/>
        </w:rPr>
        <w:t xml:space="preserve">  note   = {Mohsin Haematology Academy. Educational decision-support resource.}</w:t>
      </w:r>
    </w:p>
    <w:p>
      <w:pPr>
        <w:spacing w:after="80" w:before="80" w:line="300"/>
        <w:jc w:val="left"/>
      </w:pPr>
      <w:r>
        <w:rPr>
          <w:rFonts w:ascii="Georgia" w:cs="Georgia" w:eastAsia="Georgia" w:hAnsi="Georgia"/>
          <w:b w:val="false"/>
          <w:bCs w:val="false"/>
          <w:i w:val="false"/>
          <w:iCs w:val="false"/>
          <w:color w:val="1D1D1D"/>
          <w:sz w:val="18"/>
          <w:szCs w:val="18"/>
        </w:rPr>
        <w:t xml:space="preserve">}</w:t>
      </w:r>
    </w:p>
    <w:p>
      <w:pPr>
        <w:spacing w:after="80" w:before="80" w:line="300"/>
        <w:jc w:val="left"/>
      </w:pPr>
      <w:r>
        <w:rPr>
          <w:rFonts w:ascii="Georgia" w:cs="Georgia" w:eastAsia="Georgia" w:hAnsi="Georgia"/>
          <w:b/>
          <w:bCs/>
          <w:i w:val="false"/>
          <w:iCs w:val="false"/>
          <w:color w:val="1D1D1D"/>
          <w:sz w:val="22"/>
          <w:szCs w:val="22"/>
        </w:rPr>
        <w:t xml:space="preserve">Citation etiquette: </w:t>
      </w:r>
      <w:r>
        <w:rPr>
          <w:rFonts w:ascii="Georgia" w:cs="Georgia" w:eastAsia="Georgia" w:hAnsi="Georgia"/>
          <w:b w:val="false"/>
          <w:bCs w:val="false"/>
          <w:i w:val="false"/>
          <w:iCs w:val="false"/>
          <w:color w:val="1D1D1D"/>
          <w:sz w:val="22"/>
          <w:szCs w:val="22"/>
        </w:rPr>
        <w:t xml:space="preserve">when you use this guideline to inform a clinical discussion, please also cite the primary BSH / UKMS / NICE / IMWG / EHA-EMN sources listed in the References section. This document is a synthesis, not a primary source.</w:t>
      </w:r>
    </w:p>
    <w:p>
      <w:pPr>
        <w:pStyle w:val="Heading2"/>
        <w:spacing w:after="120" w:before="240"/>
      </w:pPr>
      <w:r>
        <w:rPr>
          <w:rFonts w:ascii="Georgia" w:cs="Georgia" w:eastAsia="Georgia" w:hAnsi="Georgia"/>
          <w:b/>
          <w:bCs/>
          <w:color w:val="7A1F2B"/>
          <w:sz w:val="26"/>
          <w:szCs w:val="26"/>
        </w:rPr>
        <w:t xml:space="preserve">Versioning and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2400"/>
        <w:gridCol w:w="4026"/>
      </w:tblGrid>
      <w:tr>
        <w:trPr>
          <w:tblHeader/>
        </w:trPr>
        <w:tc>
          <w:tcPr>
            <w:tcW w:type="dxa" w:w="12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Version</w:t>
            </w:r>
          </w:p>
        </w:tc>
        <w:tc>
          <w:tcPr>
            <w:tcW w:type="dxa" w:w="1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Date</w:t>
            </w:r>
          </w:p>
        </w:tc>
        <w:tc>
          <w:tcPr>
            <w:tcW w:type="dxa" w:w="2400"/>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Author</w:t>
            </w:r>
          </w:p>
        </w:tc>
        <w:tc>
          <w:tcPr>
            <w:tcW w:type="dxa" w:w="4026"/>
            <w:tcBorders>
              <w:top w:val="single" w:color="D8C9CB" w:sz="4"/>
              <w:left w:val="single" w:color="D8C9CB" w:sz="4"/>
              <w:bottom w:val="single" w:color="D8C9CB" w:sz="4"/>
              <w:right w:val="single" w:color="D8C9CB" w:sz="4"/>
            </w:tcBorders>
            <w:shd w:fill="F5E9EB" w:val="clear"/>
            <w:tcMar>
              <w:top w:type="dxa" w:w="80"/>
              <w:left w:type="dxa" w:w="120"/>
              <w:bottom w:type="dxa" w:w="80"/>
              <w:right w:type="dxa" w:w="120"/>
            </w:tcMar>
          </w:tcPr>
          <w:p>
            <w:pPr>
              <w:spacing w:after="0" w:before="0" w:line="260"/>
            </w:pPr>
            <w:r>
              <w:rPr>
                <w:rFonts w:ascii="Georgia" w:cs="Georgia" w:eastAsia="Georgia" w:hAnsi="Georgia"/>
                <w:b/>
                <w:bCs/>
                <w:color w:val="7A1F2B"/>
                <w:sz w:val="20"/>
                <w:szCs w:val="20"/>
              </w:rPr>
              <w:t xml:space="preserve">Change</w:t>
            </w:r>
          </w:p>
        </w:tc>
      </w:tr>
      <w:tr>
        <w:tc>
          <w:tcPr>
            <w:tcW w:type="dxa" w:w="1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v0.1</w:t>
            </w:r>
          </w:p>
        </w:tc>
        <w:tc>
          <w:tcPr>
            <w:tcW w:type="dxa" w:w="1400"/>
            <w:tcBorders>
              <w:top w:val="single" w:color="D8C9CB" w:sz="4"/>
              <w:left w:val="single" w:color="D8C9CB" w:sz="4"/>
              <w:bottom w:val="single" w:color="D8C9CB" w:sz="4"/>
              <w:right w:val="single" w:color="D8C9CB" w:sz="4"/>
            </w:tcBorders>
            <w:tcMar>
              <w:top w:type="dxa" w:w="80"/>
              <w:left w:type="dxa" w:w="120"/>
              <w:bottom w:type="dxa" w:w="80"/>
              <w:right w:type="dxa" w:w="120"/>
            </w:tcMar>
          </w:tcPr>
          <w:p>
            <w:r>
              <w:t>May 2026</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Dr M Mohsin</w:t>
            </w:r>
          </w:p>
        </w:tc>
        <w:tc>
          <w:tcPr>
            <w:tcW w:type="dxa" w:w="4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Initial proposal — continuum structure, MGUS/SMM/MGRS/NDMM/HRMM/imaging/relapse/survivorship/audit sections; cross-check against BSH source PDFs.</w:t>
            </w:r>
          </w:p>
        </w:tc>
      </w:tr>
      <w:tr>
        <w:tc>
          <w:tcPr>
            <w:tcW w:type="dxa" w:w="1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v0.2</w:t>
            </w:r>
          </w:p>
        </w:tc>
        <w:tc>
          <w:tcPr>
            <w:tcW w:type="dxa" w:w="1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May 2026</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Dr M Mohsin (ChatGPT-assisted)</w:t>
            </w:r>
          </w:p>
        </w:tc>
        <w:tc>
          <w:tcPr>
            <w:tcW w:type="dxa" w:w="4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Strengthened publication control; softened imaging absolutes; retained urine testing for amyloid/MGRS/trial contexts; MGRS supportive-care nephrology-led; added EHA-EMN 2025; added publication governance checklist.</w:t>
            </w:r>
          </w:p>
        </w:tc>
      </w:tr>
      <w:tr>
        <w:tc>
          <w:tcPr>
            <w:tcW w:type="dxa" w:w="1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v0.3</w:t>
            </w:r>
          </w:p>
        </w:tc>
        <w:tc>
          <w:tcPr>
            <w:tcW w:type="dxa" w:w="1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May 2026</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Dr M Mohsin (Claude-assisted)</w:t>
            </w:r>
          </w:p>
        </w:tc>
        <w:tc>
          <w:tcPr>
            <w:tcW w:type="dxa" w:w="4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SOP scaffolding v2 applied: document identity, tool-metadata block, section numbering, quick decision summary, PICO methodology, clinical vignettes, pattern recognition and common pitfall callouts, restyled regimen blocks with NICE TA chips, NICE TA verification (TA763, TA680, TA587, TA228, TA311, TA427, TA510, TA586, TA657, TA695, TA1015, TA970), TA889 terminated noted, references graded A1/A2, APA/Vancouver/BibTeX block, sidebar widgets, two embedded SVG algorithms (NDMM and R/R), theme colour 7A1F2B.</w:t>
            </w:r>
          </w:p>
        </w:tc>
      </w:tr>
      <w:tr>
        <w:tc>
          <w:tcPr>
            <w:tcW w:type="dxa" w:w="1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v0.4 GOVERNANCE REVIEW</w:t>
            </w:r>
          </w:p>
        </w:tc>
        <w:tc>
          <w:tcPr>
            <w:tcW w:type="dxa" w:w="1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May 2026</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Dr M Mohsin (Claude-assisted)</w:t>
            </w:r>
          </w:p>
        </w:tc>
        <w:tc>
          <w:tcPr>
            <w:tcW w:type="dxa" w:w="4026"/>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Governance review: D-VRd identifier corrected from incorrect TA11254 to in-development GID-TA10726 / ID3843. New Section 1A NICE Horizon Scanning inserted between Section 1 and Section 2, distinguishing recommended / managed-access / in-development / awaiting-development / discontinued / terminated / off-label categories. NICE TA wording softened to "selected entries checked May 2026; live NICE verification required before prescribing". NCCN removed. Ixazomib maintenance reclassified from "in development" to "discontinued February 2026" (GID-TA10843 / ID1517). New entries: TA1098 Isa-VRd (Sept 2025), TA1023 elranatamab managed access (Dec 2024), TA1114 talquetamab routine NHS (Dec 2025), TA1133 belantamab + Pd (Feb 2026). Cilta-cel TA889 (terminated) and GID-TA10905 / ID4012 (in development earlier line) kept explicitly separate. TI-NDMM dara-quadruplet language tightened. Global dose-block caveat added. Expanded 16-item publication governance checklist. JPEG algorithm exports linked alongside SVG sources. Quick-ref safety footer applied to every page.</w:t>
            </w:r>
          </w:p>
        </w:tc>
      </w:tr>
      <w:tr>
        <w:tc>
          <w:tcPr>
            <w:tcW w:type="dxa" w:w="12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v0.4.1 GOVERNANCE POLISH</w:t>
            </w:r>
          </w:p>
        </w:tc>
        <w:tc>
          <w:tcPr>
            <w:tcW w:type="dxa" w:w="1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May 2026</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pPr>
              <w:spacing w:after="0" w:before="0" w:line="260"/>
            </w:pPr>
            <w:r>
              <w:rPr>
                <w:rFonts w:ascii="Georgia" w:cs="Georgia" w:eastAsia="Georgia" w:hAnsi="Georgia"/>
                <w:b w:val="false"/>
                <w:bCs w:val="false"/>
                <w:color w:val="1D1D1D"/>
                <w:sz w:val="20"/>
                <w:szCs w:val="20"/>
              </w:rPr>
              <w:t xml:space="preserve">Dr M Mohsin (Claude-assisted; ChatGPT-reviewed)</w:t>
            </w:r>
          </w:p>
        </w:tc>
        <w:tc>
          <w:tcPr>
            <w:tcW w:type="dxa" w:w="4026"/>
            <w:tcBorders>
              <w:top w:val="single" w:color="D8C9CB" w:sz="4"/>
              <w:left w:val="single" w:color="D8C9CB" w:sz="4"/>
              <w:bottom w:val="single" w:color="D8C9CB" w:sz="4"/>
              <w:right w:val="single" w:color="D8C9CB" w:sz="4"/>
            </w:tcBorders>
            <w:tcMar>
              <w:top w:type="dxa" w:w="80"/>
              <w:left w:type="dxa" w:w="120"/>
              <w:bottom w:type="dxa" w:w="80"/>
              <w:right w:type="dxa" w:w="120"/>
            </w:tcMar>
          </w:tcPr>
          <w:p>
            <w:r>
              <w:t>Minimal safety polish (no new clinical recommendations): (1) Belantamab + Pd (TA1133) repositioned with explicit Indication field as a post-Len option after 1 prior lenalidomide-containing line if Len-intolerant or Len-refractory; ocular monitoring warning retained; no longer described as a generic penta-refractory option. (2) D-VRd (GID-TA10726 / ID3843) clarified as "horizon/evidence only" — cited NICE in-development entry currently relates to transplant-unsuitable NDMM; removed from the TE-NDMM commissioned-options list in Section 1 and the TE-NDMM regimen-block area in Section 8; added to the TI-NDMM / horizon area with explicit Pathway placement warning; sidebar NICE Commissioning panel moved D-VRd from "transplant-eligible" to "in development / awaiting"; NDMM algorithm SVG and JPEG updated to show D-VRd as horizon for transplant-unsuitable. (3) Star symbol wording replaced throughout from "currently preferred where eligible" to "recently appraised / commonly pathway-relevant where NICE criteria and local access are met". (4) TA763 wording reworded as "D-VTd induction/consolidation for newly diagnosed transplant-eligible myeloma, within NICE criteria". (5) Algorithm safety footer added to both NDMM and R/R SVGs: "Educational pathway summary only. NICE/Blueteq/local formulary and SmPC verification required before treatment." JPEGs regenerated from updated SVGs. (6) Filenames updated to v0.4.1; banner retained as PROPOSAL ONLY — DRAFT — GOVERNANCE REVIEW with consultant/pharmacy sign-off requirement preserved.</w:t>
            </w:r>
          </w:p>
        </w:tc>
      </w:tr>
      <w:tr>
        <w:trPr>
          <w:cantSplit/>
        </w:trPr>
        <w:tc>
          <w:tcPr>
            <w:tcW w:type="dxa" w:w="1200"/>
            <w:tcBorders>
              <w:top w:val="single" w:color="D8C9CB" w:sz="4"/>
              <w:left w:val="single" w:color="D8C9CB" w:sz="4"/>
              <w:bottom w:val="single" w:color="D8C9CB" w:sz="4"/>
              <w:right w:val="single" w:color="D8C9CB" w:sz="4"/>
            </w:tcBorders>
            <w:tcMar>
              <w:top w:type="dxa" w:w="80"/>
              <w:left w:type="dxa" w:w="120"/>
              <w:bottom w:type="dxa" w:w="80"/>
              <w:right w:type="dxa" w:w="120"/>
            </w:tcMar>
          </w:tcPr>
          <w:p>
            <w:r>
              <w:t>v1.0</w:t>
            </w:r>
          </w:p>
        </w:tc>
        <w:tc>
          <w:tcPr>
            <w:tcW w:type="dxa" w:w="1400"/>
            <w:tcBorders>
              <w:top w:val="single" w:color="D8C9CB" w:sz="4"/>
              <w:left w:val="single" w:color="D8C9CB" w:sz="4"/>
              <w:bottom w:val="single" w:color="D8C9CB" w:sz="4"/>
              <w:right w:val="single" w:color="D8C9CB" w:sz="4"/>
            </w:tcBorders>
            <w:tcMar>
              <w:top w:type="dxa" w:w="80"/>
              <w:left w:type="dxa" w:w="120"/>
              <w:bottom w:type="dxa" w:w="80"/>
              <w:right w:type="dxa" w:w="120"/>
            </w:tcMar>
          </w:tcPr>
          <w:p>
            <w:r>
              <w:t>26 July 2026</w:t>
            </w:r>
          </w:p>
        </w:tc>
        <w:tc>
          <w:tcPr>
            <w:tcW w:type="dxa" w:w="2400"/>
            <w:tcBorders>
              <w:top w:val="single" w:color="D8C9CB" w:sz="4"/>
              <w:left w:val="single" w:color="D8C9CB" w:sz="4"/>
              <w:bottom w:val="single" w:color="D8C9CB" w:sz="4"/>
              <w:right w:val="single" w:color="D8C9CB" w:sz="4"/>
            </w:tcBorders>
            <w:tcMar>
              <w:top w:type="dxa" w:w="80"/>
              <w:left w:type="dxa" w:w="120"/>
              <w:bottom w:type="dxa" w:w="80"/>
              <w:right w:type="dxa" w:w="120"/>
            </w:tcMar>
          </w:tcPr>
          <w:p>
            <w:r>
              <w:t>Dr M Mohsin</w:t>
            </w:r>
          </w:p>
        </w:tc>
        <w:tc>
          <w:tcPr>
            <w:tcW w:type="dxa" w:w="4026"/>
            <w:tcBorders>
              <w:top w:val="single" w:color="D8C9CB" w:sz="4"/>
              <w:left w:val="single" w:color="D8C9CB" w:sz="4"/>
              <w:bottom w:val="single" w:color="D8C9CB" w:sz="4"/>
              <w:right w:val="single" w:color="D8C9CB" w:sz="4"/>
            </w:tcBorders>
            <w:tcMar>
              <w:top w:type="dxa" w:w="80"/>
              <w:left w:type="dxa" w:w="120"/>
              <w:bottom w:type="dxa" w:w="80"/>
              <w:right w:type="dxa" w:w="120"/>
            </w:tcMar>
          </w:tcPr>
          <w:p>
            <w:r>
              <w:t>First published release. Consultant approval and pharmacy verification confirmed by the clinical owner. NICE/appraisal status, Blueteq and formulary controls, dose and adjustment language, supportive-care controls, approved-centre pathways and belantamab ophthalmology pathway confirmed checked. Publication status and metadata updated; clinical recommendations unchanged from v0.4.1.</w:t>
            </w:r>
          </w:p>
        </w:tc>
      </w:tr>
      <w:tr>
        <w:tc>
          <w:tcPr>
            <w:tcW w:type="dxa" w:w="1200"/>
          </w:tcPr>
          <w:p>
            <w:r>
              <w:t>v1.1 PUBLISHED</w:t>
            </w:r>
          </w:p>
        </w:tc>
        <w:tc>
          <w:tcPr>
            <w:tcW w:type="dxa" w:w="1400"/>
          </w:tcPr>
          <w:p>
            <w:r>
              <w:t>26 July 2026</w:t>
            </w:r>
          </w:p>
        </w:tc>
        <w:tc>
          <w:tcPr>
            <w:tcW w:type="dxa" w:w="2400"/>
          </w:tcPr>
          <w:p>
            <w:r>
              <w:t>Dr M Mohsin</w:t>
            </w:r>
          </w:p>
        </w:tc>
        <w:tc>
          <w:tcPr>
            <w:tcW w:type="dxa" w:w="4026"/>
          </w:tcPr>
          <w:p>
            <w:r>
              <w:t>D-VRd is NICE-recommended under TA1170 when ASCT is unsuitable; separate transplant-eligible appraisal GID-TA11254 / ID6249 remains in development. Clinical owner approval and pharmacy verification confirmed; pharmacist's name retained privately.</w:t>
            </w:r>
          </w:p>
        </w:tc>
      </w:tr>
    </w:tbl>
    <w:p>
      <w:pPr>
        <w:spacing w:after="80" w:before="80" w:line="300"/>
        <w:jc w:val="left"/>
      </w:pPr>
      <w:r>
        <w:rPr>
          <w:rFonts w:ascii="Georgia" w:cs="Georgia" w:eastAsia="Georgia" w:hAnsi="Georgia"/>
          <w:b w:val="false"/>
          <w:bCs w:val="false"/>
          <w:i w:val="false"/>
          <w:iCs w:val="false"/>
          <w:color w:val="1D1D1D"/>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8C9CB" w:sz="4"/>
              <w:left w:val="single" w:color="7A1F2B" w:sz="16"/>
              <w:bottom w:val="single" w:color="D8C9CB" w:sz="4"/>
              <w:right w:val="single" w:color="D8C9CB" w:sz="4"/>
            </w:tcBorders>
            <w:shd w:fill="F5E9EB" w:val="clear"/>
            <w:tcMar>
              <w:top w:type="dxa" w:w="140"/>
              <w:left w:type="dxa" w:w="200"/>
              <w:bottom w:type="dxa" w:w="140"/>
              <w:right w:type="dxa" w:w="160"/>
            </w:tcMar>
          </w:tcPr>
          <w:p>
            <w:pPr>
              <w:spacing w:after="80" w:before="0"/>
            </w:pPr>
            <w:r>
              <w:rPr>
                <w:rFonts w:ascii="Georgia" w:cs="Georgia" w:eastAsia="Georgia" w:hAnsi="Georgia"/>
                <w:b/>
                <w:bCs/>
                <w:color w:val="7A1F2B"/>
                <w:sz w:val="22"/>
                <w:szCs w:val="22"/>
              </w:rPr>
              <w:t xml:space="preserve">Disclaimer</w:t>
            </w:r>
          </w:p>
          <w:p>
            <w:pPr>
              <w:spacing w:after="0" w:before="0" w:line="280"/>
            </w:pPr>
            <w:r>
              <w:rPr>
                <w:rFonts w:ascii="Georgia" w:cs="Georgia" w:eastAsia="Georgia" w:hAnsi="Georgia"/>
                <w:color w:val="1D1D1D"/>
                <w:sz w:val="22"/>
                <w:szCs w:val="22"/>
              </w:rPr>
              <w:t xml:space="preserve">This guideline is for educational purposes and clinical decision support. It is not a substitute for individual clinical judgement. For UK practice, only BSH-aligned NICE-commissioned regimens apply. Always verify current NICE guidance, Blueteq eligibility, NHS England commissioning rules and local trust protocols before prescribing. Dr Muhammad Mohsin is responsible for the educational content of this document.</w:t>
            </w:r>
          </w:p>
        </w:tc>
      </w:tr>
    </w:tbl>
    <w:sectPr>
      <w:headerReference w:type="default" r:id="rId7"/>
      <w:footerReference w:type="default" r:id="rId8"/>
      <w:headerReference w:type="first" r:id="rId10"/>
      <w:headerReference w:type="even" r:id="rId11"/>
      <w:footerReference w:type="first" r:id="rId12"/>
      <w:footerReference w:type="even" r:id="rId13"/>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Georgia" w:cs="Georgia" w:eastAsia="Georgia" w:hAnsi="Georgia"/>
        <w:color w:val="4A4A4A"/>
        <w:sz w:val="16"/>
        <w:szCs w:val="16"/>
      </w:rPr>
      <w:t xml:space="preserve">Mohsin Haematology Academy | Educational use only | </w:t>
    </w:r>
    <w:r>
      <w:rPr>
        <w:rFonts w:ascii="Georgia" w:cs="Georgia" w:eastAsia="Georgia" w:hAnsi="Georgia"/>
        <w:color w:val="4A4A4A"/>
        <w:sz w:val="16"/>
        <w:szCs w:val="16"/>
      </w:rPr>
      <w:t xml:space="preserve">Page </w:t>
    </w:r>
    <w:r>
      <w:rPr>
        <w:rFonts w:ascii="Georgia" w:cs="Georgia" w:eastAsia="Georgia" w:hAnsi="Georgia"/>
        <w:color w:val="4A4A4A"/>
        <w:sz w:val="16"/>
        <w:szCs w:val="16"/>
      </w:rPr>
      <w:fldChar w:fldCharType="begin"/>
      <w:instrText xml:space="preserve">PAGE</w:instrText>
      <w:fldChar w:fldCharType="separate"/>
      <w:fldChar w:fldCharType="end"/>
    </w:r>
    <w:r>
      <w:rPr>
        <w:rFonts w:ascii="Georgia" w:cs="Georgia" w:eastAsia="Georgia" w:hAnsi="Georgia"/>
        <w:color w:val="4A4A4A"/>
        <w:sz w:val="16"/>
        <w:szCs w:val="16"/>
      </w:rPr>
      <w:t xml:space="preserve"> of </w:t>
    </w:r>
    <w:r>
      <w:rPr>
        <w:rFonts w:ascii="Georgia" w:cs="Georgia" w:eastAsia="Georgia" w:hAnsi="Georgia"/>
        <w:color w:val="4A4A4A"/>
        <w:sz w:val="16"/>
        <w:szCs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t>MHA-MYELOMA-2026-v1.1 (PUBLISHED)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Georgia" w:cs="Georgia" w:eastAsia="Georgia" w:hAnsi="Georgia"/>
      <w:b/>
      <w:bCs/>
      <w:color w:val="7A1F2B"/>
      <w:sz w:val="30"/>
      <w:szCs w:val="30"/>
    </w:rPr>
  </w:style>
  <w:style w:type="paragraph" w:styleId="Heading2">
    <w:name w:val="Heading 2"/>
    <w:basedOn w:val="Normal"/>
    <w:next w:val="Normal"/>
    <w:qFormat/>
    <w:pPr>
      <w:spacing w:after="120" w:before="240"/>
      <w:outlineLvl w:val="1"/>
    </w:pPr>
    <w:rPr>
      <w:rFonts w:ascii="Georgia" w:cs="Georgia" w:eastAsia="Georgia" w:hAnsi="Georgia"/>
      <w:b/>
      <w:bCs/>
      <w:color w:val="7A1F2B"/>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2.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Myeloma — Unified UK Practice Guideline v1.1</dc:title>
  <dc:creator>Dr Muhammad Mohsin, Consultant Haematologist</dc:creator>
  <dc:description>Published 26 July 2026 after clinical owner approval and pharmacy verification; verifier identity retained privately. D-VRd status updated for TA1170 and GID-TA11254 / ID6249.</dc:description>
  <cp:lastModifiedBy>Un-named</cp:lastModifiedBy>
  <cp:revision>1</cp:revision>
  <dcterms:created xsi:type="dcterms:W3CDTF">2026-05-18T12:08:45.385Z</dcterms:created>
  <dcterms:modified xsi:type="dcterms:W3CDTF">2026-05-18T12:08:45.398Z</dcterms:modified>
  <dc:subject>Published educational clinical decision-support guideline</dc:subject>
  <cp:keywords>myeloma, BSH, UKMS, NICE, haematology, v1.1</cp:keywords>
</cp:coreProperties>
</file>

<file path=docProps/custom.xml><?xml version="1.0" encoding="utf-8"?>
<Properties xmlns="http://schemas.openxmlformats.org/officeDocument/2006/custom-properties" xmlns:vt="http://schemas.openxmlformats.org/officeDocument/2006/docPropsVTypes"/>
</file>