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Georgia" w:cs="Georgia" w:eastAsia="Georgia" w:hAnsi="Georgia"/>
          <w:b/>
          <w:bCs/>
          <w:color w:val="7A1F2B"/>
          <w:sz w:val="28"/>
          <w:szCs w:val="28"/>
        </w:rPr>
        <w:t xml:space="preserve">MULTIPLE MYELOMA — QUICK-REF CARD</w:t>
      </w:r>
    </w:p>
    <w:p>
      <w:pPr>
        <w:spacing w:after="60" w:before="0"/>
        <w:jc w:val="center"/>
      </w:pPr>
      <w:r>
        <w:t>MHA-MYELOMA-2026-v1.1 (PUBLISHED) — BSH/UKMS, NICE, IMWG synthesis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8C9CB" w:sz="4"/>
              <w:left w:val="single" w:color="C87A00" w:sz="12"/>
              <w:bottom w:val="single" w:color="D8C9CB" w:sz="4"/>
              <w:right w:val="single" w:color="D8C9CB" w:sz="4"/>
            </w:tcBorders>
            <w:shd w:fill="FFF4E0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Georgia" w:cs="Georgia" w:eastAsia="Georgia" w:hAnsi="Georgia"/>
                <w:b/>
                <w:bCs/>
                <w:color w:val="C87A00"/>
                <w:sz w:val="16"/>
                <w:szCs w:val="16"/>
              </w:rPr>
              <w:t xml:space="preserve">Educational quick-reference only. Not a prescribing protocol. </w:t>
            </w:r>
            <w:r>
              <w:rPr>
                <w:rFonts w:ascii="Georgia" w:cs="Georgia" w:eastAsia="Georgia" w:hAnsi="Georgia"/>
                <w:color w:val="1D1D1D"/>
                <w:sz w:val="16"/>
                <w:szCs w:val="16"/>
              </w:rPr>
              <w:t xml:space="preserve">Confirm indication, line of therapy, Blueteq eligibility, local formulary, renal/hepatic function, infection status, pregnancy/contraception requirements and current SmPC before treatment.</w:t>
            </w:r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i/>
                <w:iCs/>
                <w:color w:val="4A4A4A"/>
                <w:sz w:val="14"/>
                <w:szCs w:val="14"/>
              </w:rPr>
              <w:t xml:space="preserve">Dose examples in this card are educational only — they must not override local e-prescribing protocols, SmPC, renal/hepatic adjustment, frailty modification, pharmacy verification or consultant decision-making.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Diagnosis — IMWG 2014 (active myeloma)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Clonal BMPC ≥10% (or biopsy-proven plasmacytoma)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PLUS any of: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S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BMPC ≥60%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Li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SFLC ratio &gt;100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M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&gt;1 MRI focal lesion &gt;5mm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C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Ca &gt;2.75 mmol/L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R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Cr &gt;177 µmol/L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A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Hb &lt;100 g/L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B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≥1 lytic lesion ≥5mm on imaging.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NDMM — UK pathway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26"/>
      </w:tblGrid>
      <w:tr>
        <w:trPr>
          <w:tblHeader/>
        </w:trP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Group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First-line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Maintenance / next step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TE — standard risk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TA763 — D-VTd induction/consolidation for newly diagnosed transplant-eligible myeloma, within NICE criteria → ASCT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Lenalidomide maintenance until progression (TA680)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TE — high risk (2+ HRCA, SKY92, PCL)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OPTIMUM / CONCEPT / IFM 2018-04 / EMN12 strategies where access permits; otherwise NHS standard induction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Tandem ASCT considered; len maintenance (TA680); trial referral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Transplant-ineligible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Rd continuous (TA587); Isa-VRd (TA1098, Sept 2025) per NICE recommendation. D-Rd / D-VMP: verify current NICE TA, Blueteq and local formulary status before use.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Continue until progression; reduce dex in age 75+ / frailty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t>D-VRd status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t>ASCT unsuitable: TA1170, recommended 24 June 2026. ASCT suitable: GID-TA11254 / ID6249 remains in development; publication TBC.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t>TA1170: confirm commercial arrangement, Blueteq, local formulary, SmPC and pharmacy protocol. TE setting: not yet NICE-commissioned.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R/R Myeloma — line-by-line options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26"/>
      </w:tblGrid>
      <w:tr>
        <w:trPr>
          <w:tblHeader/>
        </w:trP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Line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Options (class-switch principle)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NICE TA chips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1st relapse (post-Vel)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KRd; Dara-Rd; Isa-Pd (evidence only; commissioning not asserted)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TA695 (KRd) · TA427 (Pd)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1st relapse (post-Len) — Len-intolerant / Len-refractory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Belantamab + Pd (BPd, DREAMM-8) — option after 1 prior Len-containing line if Len-intolerant or Len-refractory. Mandatory pre-dose ophthalmology. Also: Dara-Vd; Isa-Kd (evidence only; commissioning not asserted); PVd; Pd.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TA1133 (belantamab + Pd) · TA427 (Pd) · TA586 (Rd after Vel)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2nd–3rd relapse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2nd ASCT (if fit, ≥PR), retreatment after long TFI, dara mono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TA510 (dara mono)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Triple-class refractory (≥3 lines)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Teclistamab (verified). Talquetamab (verified, GPRC5D). Elranatamab (managed access). CAR-T: status evolving.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TA1015 (teclistamab) · TA1114 (talquetamab) · TA1023 (elranatamab, managed access)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Penta-refractory / late-line (≥4 lines)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Selinexor + dex. Venetoclax t(11;14) off-label/biomarker-restricted only.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TA970 (selinexor)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Terminated / not commissioned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Cilta-cel TA889 — Janssen withdrew submission. Cilta-cel earlier line (1–3 prior): GID-TA10905 / ID4012 in development; status evolving.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TA889 terminated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MGUS &amp; SMM — risk stratification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Factors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Mayo 2005 (MGUS)</w:t>
            </w:r>
          </w:p>
        </w:tc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≥1: M-protein &gt;15 g/L · abnormal κ/λ ratio (&lt;0.26 or &gt;1.65) · non-IgG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0–1 factors: no BM, no imaging. 2–3 factors: BM + WB imaging.</w:t>
            </w:r>
          </w:p>
        </w:tc>
      </w:tr>
      <w:tr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Mayo 20-2-20 (SMM)</w:t>
            </w:r>
          </w:p>
        </w:tc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BMPC &gt;20% · M-protein &gt;20 g/L · SFLC ratio &gt;20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0: 6–12 monthly. 1: 3-monthly. ≥2: trial referral.</w:t>
            </w:r>
          </w:p>
        </w:tc>
      </w:tr>
      <w:tr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IMWG 2020 (SMM)</w:t>
            </w:r>
          </w:p>
        </w:tc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20-2-20 + HRCA: t(4;14), t(14;16), gain(1q), monosomy 13/del(13q)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High risk: 3-monthly × 5 years; trial.</w:t>
            </w:r>
          </w:p>
        </w:tc>
      </w:tr>
    </w:tbl>
    <w:p>
      <w:r>
        <w:br w:type="page"/>
      </w:r>
    </w:p>
    <w:p>
      <w:pPr>
        <w:spacing w:after="60" w:before="120"/>
      </w:pPr>
      <w:r>
        <w:t>NICE technology appraisals — statuses re-verified for the v1.1 publication on 26 July 2026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 w:val="false"/>
          <w:bCs w:val="false"/>
          <w:i/>
          <w:iCs/>
          <w:color w:val="4A4A4A"/>
          <w:sz w:val="14"/>
          <w:szCs w:val="14"/>
        </w:rPr>
        <w:t xml:space="preserve">Live NICE verification required before prescribing. ★ = recently appraised / commonly pathway-relevant where NICE criteria and local access are met.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400"/>
        <w:gridCol w:w="3026"/>
      </w:tblGrid>
      <w:tr>
        <w:trPr>
          <w:tblHeader/>
        </w:trP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TA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Regimen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Status / use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TA129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Bortezomib monotherapy R/R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Older TA — first relapse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TA228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V-Thal first-line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Older first-line TE/TI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TA311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Bortezomib induction pre-ASCT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Bortezomib-based induction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TA380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Panobinostat + Vd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Reserved option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TA427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Pomalidomide + dex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R/R, established UK comparator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TA510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Daratumumab monotherapy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R/R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TA586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Lenalidomide + dex after one bortezomib line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R/R post-Vel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TA587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Lenalidomide + dex untreated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NDMM transplant-ineligible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TA657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Carfilzomib for previously treated MM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Partially replaced by TA695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TA680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Lenalidomide maintenance post-ASCT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UK standard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TA695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KRd previously treated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R/R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TA763 ★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D-VTd induction/consolidation for newly diagnosed transplant-eligible myeloma, within NICE criteria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NDMM transplant-eligible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TA970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Selinexor + dex (≥4 prior treatments)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Penta-refractory / late-line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TA1015 ★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Teclistamab (≥3 prior treatments)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Replaces TA869, Nov 2024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TA1023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Elranatamab (≥3 prior treatments)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Managed access, Dec 2024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TA1098 ★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Isa-VRd untreated when ASCT unsuitable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Sept 2025 — anti-CD38 quadruplet for TI-NDMM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TA1114 ★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Talquetamab (≥3 prior treatments)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Dec 2025, routine NHS option (GPRC5D)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TA1133 ★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Belantamab + Pd after 1 prior Len-containing line if Len-intolerant or Len-refractory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Feb 2026 — pre-dose ophthalmology mandatory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NICE horizon scanning / evolving therapies — verify live status before use</w:t>
      </w:r>
    </w:p>
    <w:p>
      <w:pPr>
        <w:spacing w:after="30" w:before="30" w:line="240"/>
        <w:jc w:val="left"/>
      </w:pPr>
      <w:r>
        <w:t>D-VRd: TA1170 recommends use for untreated multiple myeloma when ASCT is unsuitable, subject to the commercial arrangement. Confirm local implementation. Separate ASCT-suitable appraisal GID-TA11254 / ID6249 remains in development; publication TBC and not yet commissioned.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Isa-VRd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TA1098 published Sept 2025 for untreated myeloma when transplant is unsuitable. Verify final recommendation restrictions and local access.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Isatuximab maintenance post-ASCT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GID-TA11846 / ID6639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awaiting development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. Horizon scanning only.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Ixazomib maintenance post-ASCT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GID-TA10843 / ID1517 </w:t>
      </w:r>
      <w:r>
        <w:rPr>
          <w:rFonts w:ascii="Georgia" w:cs="Georgia" w:eastAsia="Georgia" w:hAnsi="Georgia"/>
          <w:b/>
          <w:bCs/>
          <w:i w:val="false"/>
          <w:iCs w:val="false"/>
          <w:color w:val="AA3A3A"/>
          <w:sz w:val="18"/>
          <w:szCs w:val="18"/>
        </w:rPr>
        <w:t xml:space="preserve">discontinued February 2026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. Do not list as active in-development.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Cilta-cel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TA889 </w:t>
      </w:r>
      <w:r>
        <w:rPr>
          <w:rFonts w:ascii="Georgia" w:cs="Georgia" w:eastAsia="Georgia" w:hAnsi="Georgia"/>
          <w:b/>
          <w:bCs/>
          <w:i w:val="false"/>
          <w:iCs w:val="false"/>
          <w:color w:val="AA3A3A"/>
          <w:sz w:val="18"/>
          <w:szCs w:val="18"/>
        </w:rPr>
        <w:t xml:space="preserve">terminated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. Separate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in-development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 appraisal GID-TA10905 / ID4012 for relapsed, lenalidomide-refractory myeloma after 1 to 3 therapies. Approved-centre access only if final NICE guidance supports use.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Elranatamab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TA1023,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managed access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 after ≥3 prior lines including IMiD, PI and anti-CD38 exposure.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Talquetamab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TA1114,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routine NHS option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 after ≥3 prior lines including IMiD, PI and anti-CD38 exposure, where disease progressed on last treatment.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Belantamab + Pd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TA1133: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option after 1 prior lenalidomide-containing line if lenalidomide is not tolerated or disease is lenalidomide-refractory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. Not a generic penta-refractory option. Verify ocular monitoring, commercial arrangement, Blueteq and local pathway.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Venetoclax t(11;14)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not NICE-commissioned for myeloma. Off-label, biomarker-restricted.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Imaging — modality by scenario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Scenario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Imaging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High-IR / high-risk MGUS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WB-MRI, PET-CT or low-dose WB-CT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SMM at diagnosis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WB-MRI, PET-CT or low-dose WB-CT per local protocol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NDMM at diagnosis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WB-MRI preferred; PET-CT or low-dose WB-CT acceptable; skeletal X-ray inadequate alone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Biochemical / symptomatic relapse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WB-MRI or PET-CT — especially for EMD or oligo-secretory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Suspected MSCC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Same-day MRI of symptomatic region (do not wait for WB-MRI capacity)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Key safety / supportive principles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Domain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Standard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VTE prophylaxis (with IMiDs)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Aspirin low-risk; LMWH or apixaban higher-risk per VTE risk assessment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Antiviral (with PIs)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Aciclovir or valaciclovir during and ≥6 weeks after PI-based treatment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Bisphosphonates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Zoledronic acid or pamidronate for all treated NDMM; restart at frank relapse; dental assessment before initiation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Vaccines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Annual flu, COVID-19, PCV13 + PPV23 (5-yearly), Shingrix (recombinant); no live attenuated vaccines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IVIg replacement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Consider if recurrent infection + hypogammaglobulinaemia; standard with bispecifics / CAR-T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Bispecific / CAR-T pre-workup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Baseline Ig, HBV/HCV/HIV screen, cardiac assessment, bridging plan, approved-centre referral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Pattern recognition &amp; common pitfalls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• SLiM features alone define active myeloma.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Do not wait for CRAB if BMPC ≥60% or SFLC ratio &gt;100 or &gt;1 MRI focal lesion.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• Stable M-protein does not exclude MGRS.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Falling eGFR and rising ACR justify biopsy and treatment of the clone.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• Class-switch at relapse.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Switch the backbone class from the most recent regimen unless TFI was long.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• Repeat FISH and TP53 at relapse.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Clonal evolution alters treatment in ≥20% of patients.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• Urine dipstick is insensitive to light chains.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Send urine ACR (not PCR) where AL amyloid or MGRS is in differential.</w:t>
      </w:r>
    </w:p>
    <w:p>
      <w:pPr>
        <w:spacing w:after="0" w:before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8C9CB" w:sz="4"/>
              <w:left w:val="single" w:color="7A1F2B" w:sz="12"/>
              <w:bottom w:val="single" w:color="D8C9CB" w:sz="4"/>
              <w:right w:val="single" w:color="D8C9CB" w:sz="4"/>
            </w:tcBorders>
            <w:shd w:fill="F5E9EB" w:val="clear"/>
            <w:tcMar>
              <w:top w:type="dxa" w:w="100"/>
              <w:left w:type="dxa" w:w="150"/>
              <w:bottom w:type="dxa" w:w="10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For UK clinical practice only BSH-aligned NICE-commissioned regimens apply. </w:t>
            </w:r>
            <w:r>
              <w:rPr>
                <w:rFonts w:ascii="Georgia" w:cs="Georgia" w:eastAsia="Georgia" w:hAnsi="Georgia"/>
                <w:color w:val="1D1D1D"/>
                <w:sz w:val="16"/>
                <w:szCs w:val="16"/>
              </w:rPr>
              <w:t xml:space="preserve">Verify current NICE TA, Blueteq eligibility and local formulary before prescribing. Local trust policy takes precedence. Always MDT. Educational use only. © Dr Muhammad Mohsin, Consultant Haematologist, MHA 2026.</w:t>
            </w:r>
          </w:p>
        </w:tc>
      </w:tr>
    </w:tbl>
    <w:sectPr>
      <w:headerReference w:type="default" r:id="rId7"/>
      <w:footerReference w:type="default" r:id="rId8"/>
      <w:headerReference w:type="first" r:id="rId10"/>
      <w:headerReference w:type="even" r:id="rId11"/>
      <w:footerReference w:type="first" r:id="rId12"/>
      <w:footerReference w:type="even" r:id="rId13"/>
      <w:pgSz w:w="11906" w:h="16838" w:orient="portrait"/>
      <w:pgMar w:top="800" w:right="720" w:bottom="8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30" w:before="0"/>
      <w:jc w:val="left"/>
    </w:pPr>
    <w:r>
      <w:rPr>
        <w:rFonts w:ascii="Georgia" w:cs="Georgia" w:eastAsia="Georgia" w:hAnsi="Georgia"/>
        <w:b/>
        <w:bCs/>
        <w:color w:val="C87A00"/>
        <w:sz w:val="12"/>
        <w:szCs w:val="12"/>
      </w:rPr>
      <w:t xml:space="preserve">Educational quick-reference only. Not a prescribing protocol. </w:t>
    </w:r>
    <w:r>
      <w:rPr>
        <w:rFonts w:ascii="Georgia" w:cs="Georgia" w:eastAsia="Georgia" w:hAnsi="Georgia"/>
        <w:color w:val="4A4A4A"/>
        <w:sz w:val="12"/>
        <w:szCs w:val="12"/>
      </w:rPr>
      <w:t xml:space="preserve">Confirm indication, line of therapy, Blueteq eligibility, local formulary, renal/hepatic function, infection status, pregnancy/contraception requirements and current SmPC before treatment.</w:t>
    </w:r>
  </w:p>
  <w:p>
    <w:pPr>
      <w:spacing w:after="0" w:before="0"/>
      <w:jc w:val="center"/>
    </w:pPr>
    <w:r>
      <w:rPr>
        <w:rFonts w:ascii="Georgia" w:cs="Georgia" w:eastAsia="Georgia" w:hAnsi="Georgia"/>
        <w:color w:val="4A4A4A"/>
        <w:sz w:val="12"/>
        <w:szCs w:val="12"/>
      </w:rPr>
      <w:t xml:space="preserve">Mohsin Haematology Academy · Quick-Ref Card · Page </w:t>
    </w:r>
    <w:r>
      <w:rPr>
        <w:rFonts w:ascii="Georgia" w:cs="Georgia" w:eastAsia="Georgia" w:hAnsi="Georgia"/>
        <w:color w:val="4A4A4A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Georgia" w:cs="Georgia" w:eastAsia="Georgia" w:hAnsi="Georgia"/>
        <w:color w:val="4A4A4A"/>
        <w:sz w:val="12"/>
        <w:szCs w:val="12"/>
      </w:rPr>
      <w:t xml:space="preserve"> of </w:t>
    </w:r>
    <w:r>
      <w:rPr>
        <w:rFonts w:ascii="Georgia" w:cs="Georgia" w:eastAsia="Georgia" w:hAnsi="Georgia"/>
        <w:color w:val="4A4A4A"/>
        <w:sz w:val="12"/>
        <w:szCs w:val="12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>MHA-MYELOMA-2026-v1.1 (PUBLISHED)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Myeloma — Quick Reference v1.1</dc:title>
  <dc:creator>Dr Muhammad Mohsin, Consultant Haematologist</dc:creator>
  <dc:description>Published 26 July 2026 after clinical owner approval and pharmacy verification; verifier identity retained privately. D-VRd status updated for TA1170 and GID-TA11254 / ID6249.</dc:description>
  <cp:lastModifiedBy>Un-named</cp:lastModifiedBy>
  <cp:revision>1</cp:revision>
  <dcterms:created xsi:type="dcterms:W3CDTF">2026-05-18T12:10:51.865Z</dcterms:created>
  <dcterms:modified xsi:type="dcterms:W3CDTF">2026-05-18T12:10:51.866Z</dcterms:modified>
  <dc:subject>Published educational clinical decision-support guideline</dc:subject>
  <cp:keywords>myeloma, BSH, UKMS, NICE, quick reference, v1.1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