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19"/>
          <w:sz-cs w:val="19"/>
          <w:b/>
          <w:spacing w:val="0"/>
          <w:color w:val="FFFFFF"/>
        </w:rPr>
        <w:t xml:space="preserve">PUBLISHED 31 JULY 2026</w:t>
      </w:r>
      <w:r>
        <w:rPr>
          <w:rFonts w:ascii="Georgia" w:hAnsi="Georgia" w:cs="Georgia"/>
          <w:sz w:val="81"/>
          <w:sz-cs w:val="81"/>
          <w:b/>
          <w:spacing w:val="0"/>
          <w:color w:val="FFFFFF"/>
        </w:rPr>
        <w:t xml:space="preserve"/>
      </w:r>
    </w:p>
    <w:p>
      <w:pPr>
        <w:spacing w:after="60"/>
      </w:pPr>
      <w:r>
        <w:rPr>
          <w:rFonts w:ascii="Georgia" w:hAnsi="Georgia" w:cs="Georgia"/>
          <w:sz w:val="81"/>
          <w:sz-cs w:val="81"/>
          <w:b/>
          <w:spacing w:val="0"/>
          <w:color w:val="FFFFFF"/>
        </w:rPr>
        <w:t xml:space="preserve">Mantle Cell Lymphoma v2.1</w:t>
      </w:r>
    </w:p>
    <w:p>
      <w:pPr>
        <w:spacing w:after="340"/>
      </w:pPr>
      <w:r>
        <w:rPr>
          <w:rFonts w:ascii="Georgia" w:hAnsi="Georgia" w:cs="Georgia"/>
          <w:sz w:val="34"/>
          <w:sz-cs w:val="34"/>
          <w:spacing w:val="0"/>
          <w:color w:val="FFFFFF"/>
        </w:rPr>
        <w:t xml:space="preserve">MHA-MCL-2026-v2.1 · evidence and access cut-off 2026-07-30 · supersedes v2.0</w:t>
      </w:r>
    </w:p>
    <w:p>
      <w:pPr/>
      <w:r>
        <w:rPr>
          <w:rFonts w:ascii="Georgia" w:hAnsi="Georgia" w:cs="Georgia"/>
          <w:sz w:val="34"/>
          <w:sz-cs w:val="34"/>
          <w:b/>
          <w:spacing w:val="0"/>
          <w:color w:val="121826"/>
        </w:rPr>
        <w:t xml:space="preserve">Published specialist guideline.</w:t>
      </w:r>
      <w:r>
        <w:rPr>
          <w:rFonts w:ascii="Georgia" w:hAnsi="Georgia" w:cs="Georgia"/>
          <w:sz w:val="34"/>
          <w:sz-cs w:val="34"/>
          <w:spacing w:val="0"/>
          <w:color w:val="121826"/>
        </w:rPr>
        <w:t xml:space="preserve"/>
      </w:r>
    </w:p>
    <w:p>
      <w:pPr>
        <w:spacing w:after="340"/>
      </w:pPr>
      <w:r>
        <w:rPr>
          <w:rFonts w:ascii="Georgia" w:hAnsi="Georgia" w:cs="Georgia"/>
          <w:sz w:val="34"/>
          <w:sz-cs w:val="34"/>
          <w:spacing w:val="0"/>
          <w:color w:val="121826"/>
        </w:rPr>
        <w:t xml:space="preserve">This guideline passed independent clinical review and pharmacy verification; reviewer identities are retained privately. It is written for specialist healthcare professionals and supersedes v2.0. Access and regulatory positions move: check the current SmPC, the live NICE or SMC position and your local commissioning route before treating. Two literature corrections remain unresolved and are marked at every point their figures are used. Evidence and access cut-off 2026-07-30; published 31 July 2026.</w:t>
      </w:r>
      <w:r>
        <w:rPr>
          <w:rFonts w:ascii="Georgia" w:hAnsi="Georgia" w:cs="Georgia"/>
          <w:sz w:val="34"/>
          <w:sz-cs w:val="34"/>
          <w:spacing w:val="0"/>
          <w:color w:val="121826"/>
        </w:rPr>
        <w:t xml:space="preserve"/>
      </w:r>
    </w:p>
    <w:p>
      <w:pPr>
        <w:spacing w:after="340"/>
      </w:pPr>
      <w:r>
        <w:rPr>
          <w:rFonts w:ascii="Georgia" w:hAnsi="Georgia" w:cs="Georgia"/>
          <w:sz w:val="34"/>
          <w:sz-cs w:val="34"/>
          <w:spacing w:val="0"/>
          <w:color w:val="121826"/>
        </w:rPr>
        <w:t xml:space="preserve">An independent three-track audit on 30 July 2026 corrected several factual errors during preparation of this revision, including two where an earlier working copy wrongly withdrew a correct v2.0 statement. Those corrections were included in the exact candidate that passed independent clinical review and pharmacy verification, and in the bytes published on 31 July 2026.</w:t>
      </w:r>
      <w:r>
        <w:rPr>
          <w:rFonts w:ascii="Georgia" w:hAnsi="Georgia" w:cs="Georgia"/>
          <w:sz w:val="34"/>
          <w:sz-cs w:val="34"/>
          <w:spacing w:val="0"/>
          <w:color w:val="121826"/>
        </w:rPr>
        <w:t xml:space="preserve"/>
      </w:r>
    </w:p>
    <w:p>
      <w:pPr>
        <w:spacing w:after="340"/>
      </w:pPr>
      <w:r>
        <w:rPr>
          <w:rFonts w:ascii="Georgia" w:hAnsi="Georgia" w:cs="Georgia"/>
          <w:sz w:val="34"/>
          <w:sz-cs w:val="34"/>
          <w:spacing w:val="0"/>
          <w:color w:val="121826"/>
        </w:rPr>
        <w:t xml:space="preserve">Every statement of marketing authorisation, HTA recommendation and commissioning status below must be re-checked against the official source before you treat, prescribe or promise a route. Where a v2.0 statement could not be reproduced against the live source on 30 July 2026, the change is marked with a </w:t>
      </w:r>
      <w:r>
        <w:rPr>
          <w:rFonts w:ascii="Georgia" w:hAnsi="Georgia" w:cs="Georgia"/>
          <w:sz w:val="34"/>
          <w:sz-cs w:val="34"/>
          <w:b/>
          <w:spacing w:val="0"/>
          <w:color w:val="121826"/>
        </w:rPr>
        <w:t xml:space="preserve">changed since v2.0</w:t>
      </w:r>
      <w:r>
        <w:rPr>
          <w:rFonts w:ascii="Georgia" w:hAnsi="Georgia" w:cs="Georgia"/>
          <w:sz w:val="34"/>
          <w:sz-cs w:val="34"/>
          <w:spacing w:val="0"/>
          <w:color w:val="121826"/>
        </w:rPr>
        <w:t xml:space="preserve"> block giving the reason.</w:t>
      </w:r>
      <w:r>
        <w:rPr>
          <w:rFonts w:ascii="Georgia" w:hAnsi="Georgia" w:cs="Georgia"/>
          <w:sz w:val="34"/>
          <w:sz-cs w:val="34"/>
          <w:spacing w:val="0"/>
          <w:color w:val="121826"/>
        </w:rPr>
        <w:t xml:space="preserve"/>
      </w:r>
    </w:p>
    <w:p>
      <w:pPr>
        <w:spacing w:after="340"/>
      </w:pPr>
      <w:r>
        <w:rPr>
          <w:rFonts w:ascii="Georgia" w:hAnsi="Georgia" w:cs="Georgia"/>
          <w:sz w:val="34"/>
          <w:sz-cs w:val="34"/>
          <w:b/>
          <w:spacing w:val="0"/>
          <w:color w:val="121826"/>
        </w:rPr>
        <w:t xml:space="preserve">Publication model:</w:t>
      </w:r>
      <w:r>
        <w:rPr>
          <w:rFonts w:ascii="Georgia" w:hAnsi="Georgia" w:cs="Georgia"/>
          <w:sz w:val="34"/>
          <w:sz-cs w:val="34"/>
          <w:spacing w:val="0"/>
          <w:color w:val="121826"/>
        </w:rPr>
        <w:t xml:space="preserve"> England access framework with separate devolved-nation notes. United Kingdom and non-United Kingdom positions are demarcated throughout: blocks headed </w:t>
      </w:r>
      <w:r>
        <w:rPr>
          <w:rFonts w:ascii="Georgia" w:hAnsi="Georgia" w:cs="Georgia"/>
          <w:sz w:val="34"/>
          <w:sz-cs w:val="34"/>
          <w:b/>
          <w:spacing w:val="0"/>
          <w:color w:val="121826"/>
        </w:rPr>
        <w:t xml:space="preserve">outside the United Kingdom</w:t>
      </w:r>
      <w:r>
        <w:rPr>
          <w:rFonts w:ascii="Georgia" w:hAnsi="Georgia" w:cs="Georgia"/>
          <w:sz w:val="34"/>
          <w:sz-cs w:val="34"/>
          <w:spacing w:val="0"/>
          <w:color w:val="121826"/>
        </w:rPr>
        <w:t xml:space="preserve"> describe evidence or regulatory status in other jurisdictions and </w:t>
      </w:r>
      <w:r>
        <w:rPr>
          <w:rFonts w:ascii="Georgia" w:hAnsi="Georgia" w:cs="Georgia"/>
          <w:sz w:val="34"/>
          <w:sz-cs w:val="34"/>
          <w:i/>
          <w:spacing w:val="0"/>
          <w:color w:val="121826"/>
        </w:rPr>
        <w:t xml:space="preserve">never</w:t>
      </w:r>
      <w:r>
        <w:rPr>
          <w:rFonts w:ascii="Georgia" w:hAnsi="Georgia" w:cs="Georgia"/>
          <w:sz w:val="34"/>
          <w:sz-cs w:val="34"/>
          <w:spacing w:val="0"/>
          <w:color w:val="121826"/>
        </w:rPr>
        <w:t xml:space="preserve"> establish a route to treatment for a patient in the United Kingdom.</w:t>
      </w:r>
      <w:r>
        <w:rPr>
          <w:rFonts w:ascii="Georgia" w:hAnsi="Georgia" w:cs="Georgia"/>
          <w:sz w:val="34"/>
          <w:sz-cs w:val="34"/>
          <w:spacing w:val="0"/>
          <w:color w:val="121826"/>
        </w:rPr>
        <w:t xml:space="preserve"/>
      </w:r>
    </w:p>
    <w:p>
      <w:pPr>
        <w:spacing w:after="423"/>
      </w:pPr>
      <w:r>
        <w:rPr>
          <w:rFonts w:ascii="Georgia" w:hAnsi="Georgia" w:cs="Georgia"/>
          <w:sz w:val="51"/>
          <w:sz-cs w:val="51"/>
          <w:b/>
          <w:spacing w:val="0"/>
          <w:color w:val="151E39"/>
        </w:rPr>
        <w:t xml:space="preserve">MCL v2.1 quick reference</w:t>
      </w:r>
      <w:r>
        <w:rPr>
          <w:rFonts w:ascii="Georgia" w:hAnsi="Georgia" w:cs="Georgia"/>
          <w:sz w:val="51"/>
          <w:sz-cs w:val="51"/>
          <w:b/>
          <w:spacing w:val="0"/>
          <w:color w:val="151E39"/>
        </w:rPr>
        <w:t xml:space="preserve"/>
      </w:r>
    </w:p>
    <w:p>
      <w:pPr>
        <w:spacing w:after="397"/>
      </w:pPr>
      <w:r>
        <w:rPr>
          <w:rFonts w:ascii="Georgia" w:hAnsi="Georgia" w:cs="Georgia"/>
          <w:sz w:val="39"/>
          <w:sz-cs w:val="39"/>
          <w:b/>
          <w:spacing w:val="0"/>
          <w:color w:val="151E39"/>
        </w:rPr>
        <w:t xml:space="preserve">One-page quick reference</w:t>
      </w:r>
      <w:r>
        <w:rPr>
          <w:rFonts w:ascii="Georgia" w:hAnsi="Georgia" w:cs="Georgia"/>
          <w:sz w:val="39"/>
          <w:sz-cs w:val="39"/>
          <w:b/>
          <w:spacing w:val="0"/>
          <w:color w:val="151E39"/>
        </w:rPr>
        <w:t xml:space="preserve"/>
      </w:r>
    </w:p>
    <w:p>
      <w:pPr>
        <w:spacing w:after="340"/>
      </w:pPr>
      <w:r>
        <w:rPr>
          <w:rFonts w:ascii="Georgia" w:hAnsi="Georgia" w:cs="Georgia"/>
          <w:sz w:val="34"/>
          <w:sz-cs w:val="34"/>
          <w:spacing w:val="0"/>
          <w:color w:val="121826"/>
        </w:rPr>
        <w:t xml:space="preserve">The tables that follow this summary give the reasoning. This one is the compressed form, intended to be printed and taken to clinic or MDT. Certainty and access are recorded separately and deliberately: they answer different questions and they frequently disagree.</w:t>
      </w:r>
      <w:r>
        <w:rPr>
          <w:rFonts w:ascii="Georgia" w:hAnsi="Georgia" w:cs="Georgia"/>
          <w:sz w:val="34"/>
          <w:sz-cs w:val="34"/>
          <w:spacing w:val="0"/>
          <w:color w:val="121826"/>
        </w:rPr>
        <w:t xml:space="preserve"/>
      </w:r>
    </w:p>
    <w:p>
      <w:pPr/>
      <w:r>
        <w:rPr>
          <w:rFonts w:ascii="Georgia" w:hAnsi="Georgia" w:cs="Georgia"/>
          <w:sz w:val="23"/>
          <w:sz-cs w:val="23"/>
          <w:spacing w:val="0"/>
          <w:color w:val="49515F"/>
        </w:rPr>
        <w:t xml:space="preserve">Certainty A to E and access class R1 to R5 are defined immediately below. Priority P1 to P4 is the practical instruction. Access positions change: confirm every access statement against the live source before treating.</w:t>
      </w:r>
      <w:r>
        <w:rPr>
          <w:rFonts w:ascii="Georgia" w:hAnsi="Georgia" w:cs="Georgia"/>
          <w:sz w:val="23"/>
          <w:sz-cs w:val="23"/>
          <w:spacing w:val="0"/>
          <w:color w:val="49515F"/>
        </w:rPr>
        <w:t xml:space="preserve"/>
      </w:r>
    </w:p>
    <w:p>
      <w:pPr/>
      <w:r>
        <w:rPr>
          <w:rFonts w:ascii="Georgia" w:hAnsi="Georgia" w:cs="Georgia"/>
          <w:sz w:val="20"/>
          <w:sz-cs w:val="20"/>
          <w:b/>
          <w:spacing w:val="0"/>
          <w:color w:val="121826"/>
        </w:rPr>
        <w:t xml:space="preserve">Setting</w:t>
      </w:r>
      <w:r>
        <w:rPr>
          <w:rFonts w:ascii="Georgia" w:hAnsi="Georgia" w:cs="Georgia"/>
          <w:sz w:val="20"/>
          <w:sz-cs w:val="20"/>
          <w:b/>
          <w:spacing w:val="0"/>
          <w:color w:val="121826"/>
        </w:rPr>
        <w:t xml:space="preserve"/>
      </w:r>
    </w:p>
    <w:p>
      <w:pPr/>
      <w:r>
        <w:rPr>
          <w:rFonts w:ascii="Georgia" w:hAnsi="Georgia" w:cs="Georgia"/>
          <w:sz w:val="20"/>
          <w:sz-cs w:val="20"/>
          <w:b/>
          <w:spacing w:val="0"/>
          <w:color w:val="121826"/>
        </w:rPr>
        <w:t xml:space="preserve">Option</w:t>
      </w:r>
      <w:r>
        <w:rPr>
          <w:rFonts w:ascii="Georgia" w:hAnsi="Georgia" w:cs="Georgia"/>
          <w:sz w:val="20"/>
          <w:sz-cs w:val="20"/>
          <w:b/>
          <w:spacing w:val="0"/>
          <w:color w:val="121826"/>
        </w:rPr>
        <w:t xml:space="preserve"/>
      </w:r>
    </w:p>
    <w:p>
      <w:pPr/>
      <w:r>
        <w:rPr>
          <w:rFonts w:ascii="Georgia" w:hAnsi="Georgia" w:cs="Georgia"/>
          <w:sz w:val="20"/>
          <w:sz-cs w:val="20"/>
          <w:b/>
          <w:spacing w:val="0"/>
          <w:color w:val="121826"/>
        </w:rPr>
        <w:t xml:space="preserve">Certainty</w:t>
      </w:r>
      <w:r>
        <w:rPr>
          <w:rFonts w:ascii="Georgia" w:hAnsi="Georgia" w:cs="Georgia"/>
          <w:sz w:val="20"/>
          <w:sz-cs w:val="20"/>
          <w:b/>
          <w:spacing w:val="0"/>
          <w:color w:val="121826"/>
        </w:rPr>
        <w:t xml:space="preserve"/>
      </w:r>
    </w:p>
    <w:p>
      <w:pPr/>
      <w:r>
        <w:rPr>
          <w:rFonts w:ascii="Georgia" w:hAnsi="Georgia" w:cs="Georgia"/>
          <w:sz w:val="20"/>
          <w:sz-cs w:val="20"/>
          <w:b/>
          <w:spacing w:val="0"/>
          <w:color w:val="121826"/>
        </w:rPr>
        <w:t xml:space="preserve">England access</w:t>
      </w:r>
      <w:r>
        <w:rPr>
          <w:rFonts w:ascii="Georgia" w:hAnsi="Georgia" w:cs="Georgia"/>
          <w:sz w:val="20"/>
          <w:sz-cs w:val="20"/>
          <w:b/>
          <w:spacing w:val="0"/>
          <w:color w:val="121826"/>
        </w:rPr>
        <w:t xml:space="preserve"/>
      </w:r>
    </w:p>
    <w:p>
      <w:pPr/>
      <w:r>
        <w:rPr>
          <w:rFonts w:ascii="Georgia" w:hAnsi="Georgia" w:cs="Georgia"/>
          <w:sz w:val="20"/>
          <w:sz-cs w:val="20"/>
          <w:b/>
          <w:spacing w:val="0"/>
          <w:color w:val="121826"/>
        </w:rPr>
        <w:t xml:space="preserve">Priority</w:t>
      </w:r>
      <w:r>
        <w:rPr>
          <w:rFonts w:ascii="Georgia" w:hAnsi="Georgia" w:cs="Georgia"/>
          <w:sz w:val="20"/>
          <w:sz-cs w:val="20"/>
          <w:b/>
          <w:spacing w:val="0"/>
          <w:color w:val="121826"/>
        </w:rPr>
        <w:t xml:space="preserve"/>
      </w:r>
    </w:p>
    <w:p>
      <w:pPr/>
      <w:r>
        <w:rPr>
          <w:rFonts w:ascii="Georgia" w:hAnsi="Georgia" w:cs="Georgia"/>
          <w:sz w:val="20"/>
          <w:sz-cs w:val="20"/>
          <w:b/>
          <w:spacing w:val="0"/>
          <w:color w:val="121826"/>
        </w:rPr>
        <w:t xml:space="preserve">First line, transplant-suitable</w:t>
      </w:r>
      <w:r>
        <w:rPr>
          <w:rFonts w:ascii="Georgia" w:hAnsi="Georgia" w:cs="Georgia"/>
          <w:sz w:val="20"/>
          <w:sz-cs w:val="20"/>
          <w:b/>
          <w:spacing w:val="0"/>
          <w:color w:val="121826"/>
        </w:rPr>
        <w:t xml:space="preserve"/>
      </w:r>
    </w:p>
    <w:p>
      <w:pPr/>
      <w:r>
        <w:rPr>
          <w:rFonts w:ascii="Georgia" w:hAnsi="Georgia" w:cs="Georgia"/>
          <w:sz w:val="20"/>
          <w:sz-cs w:val="20"/>
          <w:spacing w:val="0"/>
          <w:color w:val="121826"/>
        </w:rPr>
        <w:t xml:space="preserve">Cytarabine induction, ASCT, rituximab maintenance 3 years</w:t>
      </w:r>
      <w:r>
        <w:rPr>
          <w:rFonts w:ascii="Georgia" w:hAnsi="Georgia" w:cs="Georgia"/>
          <w:sz w:val="20"/>
          <w:sz-cs w:val="20"/>
          <w:spacing w:val="0"/>
          <w:color w:val="121826"/>
        </w:rPr>
        <w:t xml:space="preserve"/>
      </w:r>
    </w:p>
    <w:p>
      <w:pPr/>
      <w:r>
        <w:rPr>
          <w:rFonts w:ascii="Arial" w:hAnsi="Arial" w:cs="Arial"/>
          <w:sz w:val="17"/>
          <w:sz-cs w:val="17"/>
          <w:b/>
          <w:spacing w:val="0"/>
          <w:color w:val="FFFFFF"/>
        </w:rPr>
        <w:t xml:space="preserve">A</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R3 guideline-supported</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P1</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TRIANGLE ibrutinib regimen</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A</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R4 licensed, company scheme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P3</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Rituximab maintenance in a TRIANGLE pathway</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D</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R3</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P2</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Obinutuzumab substituted for rituximab</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D</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R5 no licence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P4</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First line, older or transplant-ineligible</w:t>
      </w:r>
      <w:r>
        <w:rPr>
          <w:rFonts w:ascii="Georgia" w:hAnsi="Georgia" w:cs="Georgia"/>
          <w:sz w:val="20"/>
          <w:sz-cs w:val="20"/>
          <w:b/>
          <w:spacing w:val="0"/>
          <w:color w:val="121826"/>
        </w:rPr>
        <w:t xml:space="preserve"/>
      </w:r>
    </w:p>
    <w:p>
      <w:pPr/>
      <w:r>
        <w:rPr>
          <w:rFonts w:ascii="Georgia" w:hAnsi="Georgia" w:cs="Georgia"/>
          <w:sz w:val="20"/>
          <w:sz-cs w:val="20"/>
          <w:spacing w:val="0"/>
          <w:color w:val="121826"/>
        </w:rPr>
        <w:t xml:space="preserve">Bendamustine–rituximab, then maintenance ≥2 years</w:t>
      </w:r>
      <w:r>
        <w:rPr>
          <w:rFonts w:ascii="Georgia" w:hAnsi="Georgia" w:cs="Georgia"/>
          <w:sz w:val="20"/>
          <w:sz-cs w:val="20"/>
          <w:spacing w:val="0"/>
          <w:color w:val="121826"/>
        </w:rPr>
        <w:t xml:space="preserve"/>
      </w:r>
    </w:p>
    <w:p>
      <w:pPr/>
      <w:r>
        <w:rPr>
          <w:rFonts w:ascii="Arial" w:hAnsi="Arial" w:cs="Arial"/>
          <w:sz w:val="17"/>
          <w:sz-cs w:val="17"/>
          <w:b/>
          <w:spacing w:val="0"/>
          <w:color w:val="FFFFFF"/>
        </w:rPr>
        <w:t xml:space="preserve">B</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R1 routine — policy 17088P, off-label</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P1</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VR-CAP</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A</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R1 routine — TA370</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P2</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R-BAC</w:t>
      </w:r>
      <w:r>
        <w:rPr>
          <w:rFonts w:ascii="Georgia" w:hAnsi="Georgia" w:cs="Georgia"/>
          <w:sz w:val="20"/>
          <w:sz-cs w:val="20"/>
          <w:b/>
          <w:spacing w:val="0"/>
          <w:color w:val="121826"/>
        </w:rPr>
        <w:t xml:space="preserve"/>
      </w:r>
    </w:p>
    <w:p>
      <w:pPr/>
      <w:r>
        <w:rPr>
          <w:rFonts w:ascii="Arial" w:hAnsi="Arial" w:cs="Arial"/>
          <w:sz w:val="17"/>
          <w:sz-cs w:val="17"/>
          <w:b/>
          <w:spacing w:val="0"/>
          <w:color w:val="1B1406"/>
        </w:rPr>
        <w:t xml:space="preserve">C</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R3 guideline-supported</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P2</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Acalabrutinib with bendamustine–rituximab</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A</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R4 licensed, company scheme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P3</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Adding bortezomib to BR, or lenalidomide to maintenance</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A</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P4</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Ibrutinib with BR (SHINE), or ibrutinib–rituximab (ENRICH)</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A</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R5 no route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P4</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TP53-mutated</w:t>
      </w:r>
      <w:r>
        <w:rPr>
          <w:rFonts w:ascii="Georgia" w:hAnsi="Georgia" w:cs="Georgia"/>
          <w:sz w:val="20"/>
          <w:sz-cs w:val="20"/>
          <w:b/>
          <w:spacing w:val="0"/>
          <w:color w:val="121826"/>
        </w:rPr>
        <w:t xml:space="preserve"/>
      </w:r>
    </w:p>
    <w:p>
      <w:pPr/>
      <w:r>
        <w:rPr>
          <w:rFonts w:ascii="Georgia" w:hAnsi="Georgia" w:cs="Georgia"/>
          <w:sz w:val="20"/>
          <w:sz-cs w:val="20"/>
          <w:spacing w:val="0"/>
          <w:color w:val="121826"/>
        </w:rPr>
        <w:t xml:space="preserve">Trial referral</w:t>
      </w:r>
      <w:r>
        <w:rPr>
          <w:rFonts w:ascii="Georgia" w:hAnsi="Georgia" w:cs="Georgia"/>
          <w:sz w:val="20"/>
          <w:sz-cs w:val="20"/>
          <w:spacing w:val="0"/>
          <w:color w:val="121826"/>
        </w:rPr>
        <w:t xml:space="preserve"/>
      </w:r>
    </w:p>
    <w:p>
      <w:pPr/>
      <w:r>
        <w:rPr>
          <w:rFonts w:ascii="Arial" w:hAnsi="Arial" w:cs="Arial"/>
          <w:sz w:val="17"/>
          <w:sz-cs w:val="17"/>
          <w:b/>
          <w:spacing w:val="0"/>
          <w:color w:val="FFFFFF"/>
        </w:rPr>
        <w:t xml:space="preserve">G</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R3</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P1</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Anti-CD20 with BTK and BCL2 inhibition, first line</w:t>
      </w:r>
      <w:r>
        <w:rPr>
          <w:rFonts w:ascii="Georgia" w:hAnsi="Georgia" w:cs="Georgia"/>
          <w:sz w:val="20"/>
          <w:sz-cs w:val="20"/>
          <w:b/>
          <w:spacing w:val="0"/>
          <w:color w:val="121826"/>
        </w:rPr>
        <w:t xml:space="preserve"/>
      </w:r>
    </w:p>
    <w:p>
      <w:pPr/>
      <w:r>
        <w:rPr>
          <w:rFonts w:ascii="Arial" w:hAnsi="Arial" w:cs="Arial"/>
          <w:sz w:val="17"/>
          <w:sz-cs w:val="17"/>
          <w:b/>
          <w:spacing w:val="0"/>
          <w:color w:val="1B1406"/>
        </w:rPr>
        <w:t xml:space="preserve">C</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R5 no licence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P4</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MRD-guided cessation</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B</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R5</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P4</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Relapsed or refractory</w:t>
      </w:r>
      <w:r>
        <w:rPr>
          <w:rFonts w:ascii="Georgia" w:hAnsi="Georgia" w:cs="Georgia"/>
          <w:sz w:val="20"/>
          <w:sz-cs w:val="20"/>
          <w:b/>
          <w:spacing w:val="0"/>
          <w:color w:val="121826"/>
        </w:rPr>
        <w:t xml:space="preserve"/>
      </w:r>
    </w:p>
    <w:p>
      <w:pPr/>
      <w:r>
        <w:rPr>
          <w:rFonts w:ascii="Georgia" w:hAnsi="Georgia" w:cs="Georgia"/>
          <w:sz w:val="20"/>
          <w:sz-cs w:val="20"/>
          <w:spacing w:val="0"/>
          <w:color w:val="121826"/>
        </w:rPr>
        <w:t xml:space="preserve">Ibrutinib or zanubrutinib after exactly one line</w:t>
      </w:r>
      <w:r>
        <w:rPr>
          <w:rFonts w:ascii="Georgia" w:hAnsi="Georgia" w:cs="Georgia"/>
          <w:sz w:val="20"/>
          <w:sz-cs w:val="20"/>
          <w:spacing w:val="0"/>
          <w:color w:val="121826"/>
        </w:rPr>
        <w:t xml:space="preserve"/>
      </w:r>
    </w:p>
    <w:p>
      <w:pPr/>
      <w:r>
        <w:rPr>
          <w:rFonts w:ascii="Arial" w:hAnsi="Arial" w:cs="Arial"/>
          <w:sz w:val="17"/>
          <w:sz-cs w:val="17"/>
          <w:b/>
          <w:spacing w:val="0"/>
          <w:color w:val="FFFFFF"/>
        </w:rPr>
        <w:t xml:space="preserve">B</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R1 routine — TA502, TA1081</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P2</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Brexucabtagene autoleucel after ≥2 lines incl. BTKi</w:t>
      </w:r>
      <w:r>
        <w:rPr>
          <w:rFonts w:ascii="Georgia" w:hAnsi="Georgia" w:cs="Georgia"/>
          <w:sz w:val="20"/>
          <w:sz-cs w:val="20"/>
          <w:b/>
          <w:spacing w:val="0"/>
          <w:color w:val="121826"/>
        </w:rPr>
        <w:t xml:space="preserve"/>
      </w:r>
    </w:p>
    <w:p>
      <w:pPr/>
      <w:r>
        <w:rPr>
          <w:rFonts w:ascii="Arial" w:hAnsi="Arial" w:cs="Arial"/>
          <w:sz w:val="17"/>
          <w:sz-cs w:val="17"/>
          <w:b/>
          <w:spacing w:val="0"/>
          <w:color w:val="1B1406"/>
        </w:rPr>
        <w:t xml:space="preserve">C</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R2 CDF — review remitted after appeal</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P2</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Pirtobrutinib after covalent BTKi</w:t>
      </w:r>
      <w:r>
        <w:rPr>
          <w:rFonts w:ascii="Georgia" w:hAnsi="Georgia" w:cs="Georgia"/>
          <w:sz w:val="20"/>
          <w:sz-cs w:val="20"/>
          <w:b/>
          <w:spacing w:val="0"/>
          <w:color w:val="121826"/>
        </w:rPr>
        <w:t xml:space="preserve"/>
      </w:r>
    </w:p>
    <w:p>
      <w:pPr/>
      <w:r>
        <w:rPr>
          <w:rFonts w:ascii="Arial" w:hAnsi="Arial" w:cs="Arial"/>
          <w:sz w:val="17"/>
          <w:sz-cs w:val="17"/>
          <w:b/>
          <w:spacing w:val="0"/>
          <w:color w:val="1B1406"/>
        </w:rPr>
        <w:t xml:space="preserve">C</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R4 licensed, no route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P3</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Lisocabtagene maraleucel</w:t>
      </w:r>
      <w:r>
        <w:rPr>
          <w:rFonts w:ascii="Georgia" w:hAnsi="Georgia" w:cs="Georgia"/>
          <w:sz w:val="20"/>
          <w:sz-cs w:val="20"/>
          <w:b/>
          <w:spacing w:val="0"/>
          <w:color w:val="121826"/>
        </w:rPr>
        <w:t xml:space="preserve"/>
      </w:r>
    </w:p>
    <w:p>
      <w:pPr/>
      <w:r>
        <w:rPr>
          <w:rFonts w:ascii="Arial" w:hAnsi="Arial" w:cs="Arial"/>
          <w:sz w:val="17"/>
          <w:sz-cs w:val="17"/>
          <w:b/>
          <w:spacing w:val="0"/>
          <w:color w:val="1B1406"/>
        </w:rPr>
        <w:t xml:space="preserve">C</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R4 licensed, no route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P3</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Lenalidomide monotherapy</w:t>
      </w:r>
      <w:r>
        <w:rPr>
          <w:rFonts w:ascii="Georgia" w:hAnsi="Georgia" w:cs="Georgia"/>
          <w:sz w:val="20"/>
          <w:sz-cs w:val="20"/>
          <w:b/>
          <w:spacing w:val="0"/>
          <w:color w:val="121826"/>
        </w:rPr>
        <w:t xml:space="preserve"/>
      </w:r>
    </w:p>
    <w:p>
      <w:pPr/>
      <w:r>
        <w:rPr>
          <w:rFonts w:ascii="Arial" w:hAnsi="Arial" w:cs="Arial"/>
          <w:sz w:val="17"/>
          <w:sz-cs w:val="17"/>
          <w:b/>
          <w:spacing w:val="0"/>
          <w:color w:val="1B1406"/>
        </w:rPr>
        <w:t xml:space="preserve">C</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R4 licensed, no route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P3</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Ibrutinib with venetoclax</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A</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R5 no MCL licence</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P4</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Glofitamab — GLOBRYTE trial</w:t>
      </w:r>
      <w:r>
        <w:rPr>
          <w:rFonts w:ascii="Georgia" w:hAnsi="Georgia" w:cs="Georgia"/>
          <w:sz w:val="20"/>
          <w:sz-cs w:val="20"/>
          <w:b/>
          <w:spacing w:val="0"/>
          <w:color w:val="121826"/>
        </w:rPr>
        <w:t xml:space="preserve"/>
      </w:r>
    </w:p>
    <w:p>
      <w:pPr/>
      <w:r>
        <w:rPr>
          <w:rFonts w:ascii="Arial" w:hAnsi="Arial" w:cs="Arial"/>
          <w:sz w:val="17"/>
          <w:sz-cs w:val="17"/>
          <w:b/>
          <w:spacing w:val="0"/>
          <w:color w:val="1B1406"/>
        </w:rPr>
        <w:t xml:space="preserve">C</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R5 trial only</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P4</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Sonrotoclax — CELESTIAL-RRMCL trial</w:t>
      </w:r>
      <w:r>
        <w:rPr>
          <w:rFonts w:ascii="Georgia" w:hAnsi="Georgia" w:cs="Georgia"/>
          <w:sz w:val="20"/>
          <w:sz-cs w:val="20"/>
          <w:b/>
          <w:spacing w:val="0"/>
          <w:color w:val="121826"/>
        </w:rPr>
        <w:t xml:space="preserve"/>
      </w:r>
    </w:p>
    <w:p>
      <w:pPr/>
      <w:r>
        <w:rPr>
          <w:rFonts w:ascii="Arial" w:hAnsi="Arial" w:cs="Arial"/>
          <w:sz w:val="17"/>
          <w:sz-cs w:val="17"/>
          <w:b/>
          <w:spacing w:val="0"/>
          <w:color w:val="1B1406"/>
        </w:rPr>
        <w:t xml:space="preserve">C</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R5 trial only</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P4</w:t>
      </w:r>
      <w:r>
        <w:rPr>
          <w:rFonts w:ascii="Georgia" w:hAnsi="Georgia" w:cs="Georgia"/>
          <w:sz w:val="20"/>
          <w:sz-cs w:val="20"/>
          <w:spacing w:val="0"/>
          <w:color w:val="121826"/>
        </w:rPr>
        <w:t xml:space="preserve"/>
      </w:r>
    </w:p>
    <w:p>
      <w:pPr/>
      <w:r>
        <w:rPr>
          <w:rFonts w:ascii="Georgia" w:hAnsi="Georgia" w:cs="Georgia"/>
          <w:sz w:val="20"/>
          <w:sz-cs w:val="20"/>
          <w:b/>
          <w:spacing w:val="0"/>
          <w:color w:val="121826"/>
        </w:rPr>
        <w:t xml:space="preserve">Allogeneic HCT after CAR-T failure</w:t>
      </w:r>
      <w:r>
        <w:rPr>
          <w:rFonts w:ascii="Georgia" w:hAnsi="Georgia" w:cs="Georgia"/>
          <w:sz w:val="20"/>
          <w:sz-cs w:val="20"/>
          <w:b/>
          <w:spacing w:val="0"/>
          <w:color w:val="121826"/>
        </w:rPr>
        <w:t xml:space="preserve"/>
      </w:r>
    </w:p>
    <w:p>
      <w:pPr/>
      <w:r>
        <w:rPr>
          <w:rFonts w:ascii="Arial" w:hAnsi="Arial" w:cs="Arial"/>
          <w:sz w:val="17"/>
          <w:sz-cs w:val="17"/>
          <w:b/>
          <w:spacing w:val="0"/>
          <w:color w:val="FFFFFF"/>
        </w:rPr>
        <w:t xml:space="preserve">G</w:t>
      </w:r>
      <w:r>
        <w:rPr>
          <w:rFonts w:ascii="Georgia" w:hAnsi="Georgia" w:cs="Georgia"/>
          <w:sz w:val="20"/>
          <w:sz-cs w:val="20"/>
          <w:spacing w:val="0"/>
          <w:color w:val="121826"/>
        </w:rPr>
        <w:t xml:space="preserve"/>
      </w:r>
    </w:p>
    <w:p>
      <w:pPr/>
      <w:r>
        <w:rPr>
          <w:rFonts w:ascii="Georgia" w:hAnsi="Georgia" w:cs="Georgia"/>
          <w:sz w:val="20"/>
          <w:sz-cs w:val="20"/>
          <w:spacing w:val="0"/>
          <w:color w:val="121826"/>
        </w:rPr>
        <w:t xml:space="preserve">R3 specialist decision</w:t>
      </w:r>
      <w:r>
        <w:rPr>
          <w:rFonts w:ascii="Georgia" w:hAnsi="Georgia" w:cs="Georgia"/>
          <w:sz w:val="20"/>
          <w:sz-cs w:val="20"/>
          <w:spacing w:val="0"/>
          <w:color w:val="121826"/>
        </w:rPr>
        <w:t xml:space="preserve"/>
      </w:r>
    </w:p>
    <w:p>
      <w:pPr/>
      <w:r>
        <w:rPr>
          <w:rFonts w:ascii="Arial" w:hAnsi="Arial" w:cs="Arial"/>
          <w:sz w:val="17"/>
          <w:sz-cs w:val="17"/>
          <w:b/>
          <w:spacing w:val="0"/>
          <w:color w:val="151E39"/>
        </w:rPr>
        <w:t xml:space="preserve">P3</w:t>
      </w:r>
      <w:r>
        <w:rPr>
          <w:rFonts w:ascii="Georgia" w:hAnsi="Georgia" w:cs="Georgia"/>
          <w:sz w:val="20"/>
          <w:sz-cs w:val="20"/>
          <w:spacing w:val="0"/>
          <w:color w:val="121826"/>
        </w:rPr>
        <w:t xml:space="preserve"/>
      </w:r>
    </w:p>
    <w:p>
      <w:pPr/>
      <w:r>
        <w:rPr>
          <w:rFonts w:ascii="Arial" w:hAnsi="Arial" w:cs="Arial"/>
          <w:sz w:val="17"/>
          <w:sz-cs w:val="17"/>
          <w:b/>
          <w:spacing w:val="0"/>
          <w:color w:val="771F23"/>
        </w:rPr>
        <w:t xml:space="preserve">THREE LINES TO CARRY IN YOUR HEAD</w:t>
      </w:r>
      <w:r>
        <w:rPr>
          <w:rFonts w:ascii="Arial" w:hAnsi="Arial" w:cs="Arial"/>
          <w:sz w:val="17"/>
          <w:sz-cs w:val="17"/>
          <w:b/>
          <w:spacing w:val="0"/>
          <w:color w:val="771F23"/>
        </w:rPr>
        <w:t xml:space="preserve"/>
      </w:r>
    </w:p>
    <w:p>
      <w:pPr>
        <w:spacing w:after="340"/>
      </w:pPr>
      <w:r>
        <w:rPr>
          <w:rFonts w:ascii="Georgia" w:hAnsi="Georgia" w:cs="Georgia"/>
          <w:sz w:val="34"/>
          <w:sz-cs w:val="34"/>
          <w:spacing w:val="0"/>
          <w:color w:val="121826"/>
        </w:rPr>
        <w:t xml:space="preserve">Bendamustine–rituximab is routinely commissioned in first line and is </w:t>
      </w:r>
      <w:r>
        <w:rPr>
          <w:rFonts w:ascii="Georgia" w:hAnsi="Georgia" w:cs="Georgia"/>
          <w:sz w:val="34"/>
          <w:sz-cs w:val="34"/>
          <w:i/>
          <w:spacing w:val="0"/>
          <w:color w:val="121826"/>
        </w:rPr>
        <w:t xml:space="preserve">off-label</w:t>
      </w:r>
      <w:r>
        <w:rPr>
          <w:rFonts w:ascii="Georgia" w:hAnsi="Georgia" w:cs="Georgia"/>
          <w:sz w:val="34"/>
          <w:sz-cs w:val="34"/>
          <w:spacing w:val="0"/>
          <w:color w:val="121826"/>
        </w:rPr>
        <w:t xml:space="preserve"> — NHS England policy 17088P says so itself. Commissioning and licensing are not the same thing and can point in opposite directions.</w:t>
      </w:r>
      <w:r>
        <w:rPr>
          <w:rFonts w:ascii="Georgia" w:hAnsi="Georgia" w:cs="Georgia"/>
          <w:sz w:val="34"/>
          <w:sz-cs w:val="34"/>
          <w:spacing w:val="0"/>
          <w:color w:val="121826"/>
        </w:rPr>
        <w:t xml:space="preserve"/>
      </w:r>
    </w:p>
    <w:p>
      <w:pPr>
        <w:spacing w:after="340"/>
      </w:pPr>
      <w:r>
        <w:rPr>
          <w:rFonts w:ascii="Georgia" w:hAnsi="Georgia" w:cs="Georgia"/>
          <w:sz w:val="34"/>
          <w:sz-cs w:val="34"/>
          <w:spacing w:val="0"/>
          <w:color w:val="121826"/>
        </w:rPr>
        <w:t xml:space="preserve">The two first-line company schemes divide on transplant eligibility, in opposite directions: acalabrutinib–bendamustine–rituximab is licensed for patients </w:t>
      </w:r>
      <w:r>
        <w:rPr>
          <w:rFonts w:ascii="Georgia" w:hAnsi="Georgia" w:cs="Georgia"/>
          <w:sz w:val="34"/>
          <w:sz-cs w:val="34"/>
          <w:b/>
          <w:spacing w:val="0"/>
          <w:color w:val="121826"/>
        </w:rPr>
        <w:t xml:space="preserve">not</w:t>
      </w:r>
      <w:r>
        <w:rPr>
          <w:rFonts w:ascii="Georgia" w:hAnsi="Georgia" w:cs="Georgia"/>
          <w:sz w:val="34"/>
          <w:sz-cs w:val="34"/>
          <w:spacing w:val="0"/>
          <w:color w:val="121826"/>
        </w:rPr>
        <w:t xml:space="preserve"> eligible for ASCT, the TRIANGLE regimen for those who </w:t>
      </w:r>
      <w:r>
        <w:rPr>
          <w:rFonts w:ascii="Georgia" w:hAnsi="Georgia" w:cs="Georgia"/>
          <w:sz w:val="34"/>
          <w:sz-cs w:val="34"/>
          <w:b/>
          <w:spacing w:val="0"/>
          <w:color w:val="121826"/>
        </w:rPr>
        <w:t xml:space="preserve">are</w:t>
      </w:r>
      <w:r>
        <w:rPr>
          <w:rFonts w:ascii="Georgia" w:hAnsi="Georgia" w:cs="Georgia"/>
          <w:sz w:val="34"/>
          <w:sz-cs w:val="34"/>
          <w:spacing w:val="0"/>
          <w:color w:val="121826"/>
        </w:rPr>
        <w:t xml:space="preserve">.</w:t>
      </w:r>
      <w:r>
        <w:rPr>
          <w:rFonts w:ascii="Georgia" w:hAnsi="Georgia" w:cs="Georgia"/>
          <w:sz w:val="34"/>
          <w:sz-cs w:val="34"/>
          <w:spacing w:val="0"/>
          <w:color w:val="121826"/>
        </w:rPr>
        <w:t xml:space="preserve"/>
      </w:r>
    </w:p>
    <w:p>
      <w:pPr>
        <w:spacing w:after="340"/>
      </w:pPr>
      <w:r>
        <w:rPr>
          <w:rFonts w:ascii="Georgia" w:hAnsi="Georgia" w:cs="Georgia"/>
          <w:sz w:val="34"/>
          <w:sz-cs w:val="34"/>
          <w:spacing w:val="0"/>
          <w:color w:val="121826"/>
        </w:rPr>
        <w:t xml:space="preserve">Brexucabtagene autoleucel is the only cellular therapy with an England route, TA677 managed access remains live, while the post-managed-access review remains unresolved following remittal. Confirm before you promise.</w:t>
      </w:r>
      <w:r>
        <w:rPr>
          <w:rFonts w:ascii="Georgia" w:hAnsi="Georgia" w:cs="Georgia"/>
          <w:sz w:val="34"/>
          <w:sz-cs w:val="34"/>
          <w:spacing w:val="0"/>
          <w:color w:val="121826"/>
        </w:rPr>
        <w:t xml:space="preserve"/>
      </w:r>
    </w:p>
    <w:p>
      <w:pPr>
        <w:spacing w:after="340"/>
      </w:pPr>
      <w:r>
        <w:rPr>
          <w:rFonts w:ascii="Georgia" w:hAnsi="Georgia" w:cs="Georgia"/>
          <w:sz w:val="34"/>
          <w:sz-cs w:val="34"/>
          <w:spacing w:val="0"/>
          <w:color w:val="121826"/>
        </w:rPr>
        <w:t xml:space="preserve">Discuss allogeneic transplantation </w:t>
      </w:r>
      <w:r>
        <w:rPr>
          <w:rFonts w:ascii="Georgia" w:hAnsi="Georgia" w:cs="Georgia"/>
          <w:sz w:val="34"/>
          <w:sz-cs w:val="34"/>
          <w:i/>
          <w:spacing w:val="0"/>
          <w:color w:val="121826"/>
        </w:rPr>
        <w:t xml:space="preserve">before</w:t>
      </w:r>
      <w:r>
        <w:rPr>
          <w:rFonts w:ascii="Georgia" w:hAnsi="Georgia" w:cs="Georgia"/>
          <w:sz w:val="34"/>
          <w:sz-cs w:val="34"/>
          <w:spacing w:val="0"/>
          <w:color w:val="121826"/>
        </w:rPr>
        <w:t xml:space="preserve"> CAR-T, at covalent BTK-inhibitor progression. Remission status at transplant drives the outcome, and a patient who has already failed CAR-T is usually neither in remission nor fit enough.</w:t>
      </w:r>
      <w:r>
        <w:rPr>
          <w:rFonts w:ascii="Georgia" w:hAnsi="Georgia" w:cs="Georgia"/>
          <w:sz w:val="34"/>
          <w:sz-cs w:val="34"/>
          <w:spacing w:val="0"/>
          <w:color w:val="121826"/>
        </w:rPr>
        <w:t xml:space="preserve"/>
      </w:r>
    </w:p>
    <w:p>
      <w:pPr/>
      <w:r>
        <w:rPr>
          <w:rFonts w:ascii="Georgia" w:hAnsi="Georgia" w:cs="Georgia"/>
          <w:sz w:val="34"/>
          <w:sz-cs w:val="34"/>
          <w:b/>
          <w:spacing w:val="0"/>
          <w:color w:val="FFFFFF"/>
        </w:rPr>
        <w:t xml:space="preserve">Mohsin Haematology Academy</w:t>
      </w:r>
      <w:r>
        <w:rPr>
          <w:rFonts w:ascii="Georgia" w:hAnsi="Georgia" w:cs="Georgia"/>
          <w:sz w:val="34"/>
          <w:sz-cs w:val="34"/>
          <w:spacing w:val="0"/>
          <w:color w:val="FFFFFF"/>
        </w:rPr>
        <w:t xml:space="preserve"> · Accountable owner: Dr Muhammad Mohsin, Consultant Haematologist · MHA-MCL-2026-v2.1 · published specialist guideline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