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9"/>
          <w:sz-cs w:val="19"/>
          <w:b/>
          <w:spacing w:val="0"/>
          <w:color w:val="FFFFFF"/>
        </w:rPr>
        <w:t xml:space="preserve">PUBLISHED 31 JULY 2026</w:t>
      </w:r>
      <w:r>
        <w:rPr>
          <w:rFonts w:ascii="Georgia" w:hAnsi="Georgia" w:cs="Georgia"/>
          <w:sz w:val="81"/>
          <w:sz-cs w:val="81"/>
          <w:b/>
          <w:spacing w:val="0"/>
          <w:color w:val="FFFFFF"/>
        </w:rPr>
        <w:t xml:space="preserve"/>
      </w:r>
    </w:p>
    <w:p>
      <w:pPr>
        <w:spacing w:after="60"/>
      </w:pPr>
      <w:r>
        <w:rPr>
          <w:rFonts w:ascii="Georgia" w:hAnsi="Georgia" w:cs="Georgia"/>
          <w:sz w:val="81"/>
          <w:sz-cs w:val="81"/>
          <w:b/>
          <w:spacing w:val="0"/>
          <w:color w:val="FFFFFF"/>
        </w:rPr>
        <w:t xml:space="preserve">Mantle Cell Lymphoma v2.1</w:t>
      </w:r>
    </w:p>
    <w:p>
      <w:pPr>
        <w:spacing w:after="340"/>
      </w:pPr>
      <w:r>
        <w:rPr>
          <w:rFonts w:ascii="Georgia" w:hAnsi="Georgia" w:cs="Georgia"/>
          <w:sz w:val="34"/>
          <w:sz-cs w:val="34"/>
          <w:spacing w:val="0"/>
          <w:color w:val="FFFFFF"/>
        </w:rPr>
        <w:t xml:space="preserve">MHA-MCL-2026-v2.1 · evidence and access cut-off 2026-07-30 · supersedes v2.0</w:t>
      </w:r>
    </w:p>
    <w:p>
      <w:pPr/>
      <w:r>
        <w:rPr>
          <w:rFonts w:ascii="Georgia" w:hAnsi="Georgia" w:cs="Georgia"/>
          <w:sz w:val="34"/>
          <w:sz-cs w:val="34"/>
          <w:b/>
          <w:spacing w:val="0"/>
          <w:color w:val="121826"/>
        </w:rPr>
        <w:t xml:space="preserve">Published specialist guideline.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guideline passed independent clinical review and pharmacy verification; reviewer identities are retained privately. It is written for specialist healthcare professionals and supersedes v2.0. Access and regulatory positions move: check the current SmPC, the live NICE or SMC position and your local commissioning route before treating. Two literature corrections remain unresolved and are marked at every point their figures are used. Evidence and access cut-off 2026-07-30; published 31 July 2026.</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independent three-track audit on 30 July 2026 corrected several factual errors during preparation of this revision, including two where an earlier working copy wrongly withdrew a correct v2.0 statement. Those corrections were included in the exact candidate that passed independent clinical review and pharmacy verification, and in the bytes published on 31 July 2026.</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Every statement of marketing authorisation, HTA recommendation and commissioning status below must be re-checked against the official source before you treat, prescribe or promise a route. Where a v2.0 statement could not be reproduced against the live source on 30 July 2026, the change is marked with a </w:t>
      </w:r>
      <w:r>
        <w:rPr>
          <w:rFonts w:ascii="Georgia" w:hAnsi="Georgia" w:cs="Georgia"/>
          <w:sz w:val="34"/>
          <w:sz-cs w:val="34"/>
          <w:b/>
          <w:spacing w:val="0"/>
          <w:color w:val="121826"/>
        </w:rPr>
        <w:t xml:space="preserve">changed since v2.0</w:t>
      </w:r>
      <w:r>
        <w:rPr>
          <w:rFonts w:ascii="Georgia" w:hAnsi="Georgia" w:cs="Georgia"/>
          <w:sz w:val="34"/>
          <w:sz-cs w:val="34"/>
          <w:spacing w:val="0"/>
          <w:color w:val="121826"/>
        </w:rPr>
        <w:t xml:space="preserve"> block giving the reason.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Publication model:</w:t>
      </w:r>
      <w:r>
        <w:rPr>
          <w:rFonts w:ascii="Georgia" w:hAnsi="Georgia" w:cs="Georgia"/>
          <w:sz w:val="34"/>
          <w:sz-cs w:val="34"/>
          <w:spacing w:val="0"/>
          <w:color w:val="121826"/>
        </w:rPr>
        <w:t xml:space="preserve"> England access framework with separate devolved-nation notes. United Kingdom and non-United Kingdom positions are demarcated throughout: blocks headed </w:t>
      </w:r>
      <w:r>
        <w:rPr>
          <w:rFonts w:ascii="Georgia" w:hAnsi="Georgia" w:cs="Georgia"/>
          <w:sz w:val="34"/>
          <w:sz-cs w:val="34"/>
          <w:b/>
          <w:spacing w:val="0"/>
          <w:color w:val="121826"/>
        </w:rPr>
        <w:t xml:space="preserve">outside the United Kingdom</w:t>
      </w:r>
      <w:r>
        <w:rPr>
          <w:rFonts w:ascii="Georgia" w:hAnsi="Georgia" w:cs="Georgia"/>
          <w:sz w:val="34"/>
          <w:sz-cs w:val="34"/>
          <w:spacing w:val="0"/>
          <w:color w:val="121826"/>
        </w:rPr>
        <w:t xml:space="preserve"> describe evidence or regulatory status in other jurisdictions and </w:t>
      </w:r>
      <w:r>
        <w:rPr>
          <w:rFonts w:ascii="Georgia" w:hAnsi="Georgia" w:cs="Georgia"/>
          <w:sz w:val="34"/>
          <w:sz-cs w:val="34"/>
          <w:i/>
          <w:spacing w:val="0"/>
          <w:color w:val="121826"/>
        </w:rPr>
        <w:t xml:space="preserve">never</w:t>
      </w:r>
      <w:r>
        <w:rPr>
          <w:rFonts w:ascii="Georgia" w:hAnsi="Georgia" w:cs="Georgia"/>
          <w:sz w:val="34"/>
          <w:sz-cs w:val="34"/>
          <w:spacing w:val="0"/>
          <w:color w:val="121826"/>
        </w:rPr>
        <w:t xml:space="preserve"> establish a route to treatment for a patient in the United Kingdom.</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Guideline downloads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Controlled publication files for specialist healthcare professionals. Every file below was generated from this page’s exact bytes and is listed with its SHA-256 in the release manifest.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Full guideline (PDF)</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Full guideline (Word)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Quick reference (PDF)</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Quick reference (Word)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First-line algorithm (SVG)</w:t>
      </w:r>
      <w:r>
        <w:rPr>
          <w:rFonts w:ascii="Georgia" w:hAnsi="Georgia" w:cs="Georgia"/>
          <w:sz w:val="34"/>
          <w:sz-cs w:val="34"/>
          <w:spacing w:val="0"/>
          <w:color w:val="121826"/>
        </w:rPr>
        <w:t xml:space="preserve"> · </w:t>
      </w:r>
      <w:r>
        <w:rPr>
          <w:rFonts w:ascii="Georgia" w:hAnsi="Georgia" w:cs="Georgia"/>
          <w:sz w:val="34"/>
          <w:sz-cs w:val="34"/>
          <w:u w:val="single"/>
          <w:spacing w:val="0"/>
          <w:color w:val="132E67"/>
        </w:rPr>
        <w:t xml:space="preserve">editable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High-risk algorithm (SVG)</w:t>
      </w:r>
      <w:r>
        <w:rPr>
          <w:rFonts w:ascii="Georgia" w:hAnsi="Georgia" w:cs="Georgia"/>
          <w:sz w:val="34"/>
          <w:sz-cs w:val="34"/>
          <w:spacing w:val="0"/>
          <w:color w:val="121826"/>
        </w:rPr>
        <w:t xml:space="preserve"> · </w:t>
      </w:r>
      <w:r>
        <w:rPr>
          <w:rFonts w:ascii="Georgia" w:hAnsi="Georgia" w:cs="Georgia"/>
          <w:sz w:val="34"/>
          <w:sz-cs w:val="34"/>
          <w:u w:val="single"/>
          <w:spacing w:val="0"/>
          <w:color w:val="132E67"/>
        </w:rPr>
        <w:t xml:space="preserve">editable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Relapsed or refractory algorithm (SVG)</w:t>
      </w:r>
      <w:r>
        <w:rPr>
          <w:rFonts w:ascii="Georgia" w:hAnsi="Georgia" w:cs="Georgia"/>
          <w:sz w:val="34"/>
          <w:sz-cs w:val="34"/>
          <w:spacing w:val="0"/>
          <w:color w:val="121826"/>
        </w:rPr>
        <w:t xml:space="preserve"> · </w:t>
      </w:r>
      <w:r>
        <w:rPr>
          <w:rFonts w:ascii="Georgia" w:hAnsi="Georgia" w:cs="Georgia"/>
          <w:sz w:val="34"/>
          <w:sz-cs w:val="34"/>
          <w:u w:val="single"/>
          <w:spacing w:val="0"/>
          <w:color w:val="132E67"/>
        </w:rPr>
        <w:t xml:space="preserve">editable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Access-route flow (SVG)</w:t>
      </w:r>
      <w:r>
        <w:rPr>
          <w:rFonts w:ascii="Georgia" w:hAnsi="Georgia" w:cs="Georgia"/>
          <w:sz w:val="34"/>
          <w:sz-cs w:val="34"/>
          <w:spacing w:val="0"/>
          <w:color w:val="121826"/>
        </w:rPr>
        <w:t xml:space="preserve"> · </w:t>
      </w:r>
      <w:r>
        <w:rPr>
          <w:rFonts w:ascii="Georgia" w:hAnsi="Georgia" w:cs="Georgia"/>
          <w:sz w:val="34"/>
          <w:sz-cs w:val="34"/>
          <w:u w:val="single"/>
          <w:spacing w:val="0"/>
          <w:color w:val="132E67"/>
        </w:rPr>
        <w:t xml:space="preserve">editable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32E67"/>
        </w:rPr>
        <w:t xml:space="preserve"/>
        <w:tab/>
        <w:t xml:space="preserve">•</w:t>
        <w:tab/>
        <w:t xml:space="preserve"/>
      </w:r>
      <w:r>
        <w:rPr>
          <w:rFonts w:ascii="Georgia" w:hAnsi="Georgia" w:cs="Georgia"/>
          <w:sz w:val="34"/>
          <w:sz-cs w:val="34"/>
          <w:u w:val="single"/>
          <w:spacing w:val="0"/>
          <w:color w:val="132E67"/>
        </w:rPr>
        <w:t xml:space="preserve">Release manifest</w:t>
      </w:r>
      <w:r>
        <w:rPr>
          <w:rFonts w:ascii="Georgia" w:hAnsi="Georgia" w:cs="Georgia"/>
          <w:sz w:val="34"/>
          <w:sz-cs w:val="34"/>
          <w:spacing w:val="0"/>
          <w:color w:val="121826"/>
        </w:rPr>
        <w:t xml:space="preserve"> · </w:t>
      </w:r>
      <w:r>
        <w:rPr>
          <w:rFonts w:ascii="Georgia" w:hAnsi="Georgia" w:cs="Georgia"/>
          <w:sz w:val="34"/>
          <w:sz-cs w:val="34"/>
          <w:u w:val="single"/>
          <w:spacing w:val="0"/>
          <w:color w:val="132E67"/>
        </w:rPr>
        <w:t xml:space="preserve">Release record</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THE FOUR V2.1 DIAGRAMS AND THEIR EDITABLE COPIES COME FROM ONE MODEL</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published v2.0 diagram is not carried forward. It encoded the v2.0 statements on the NICE positions for the TRIANGLE regimen, pirtobrutinib and brexucabtagene autoleucel, three of which v2.1 has corrected or withdrawn.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Four pathway diagrams are embedded in this guideline</w:t>
      </w:r>
      <w:r>
        <w:rPr>
          <w:rFonts w:ascii="Georgia" w:hAnsi="Georgia" w:cs="Georgia"/>
          <w:sz w:val="34"/>
          <w:sz-cs w:val="34"/>
          <w:spacing w:val="0"/>
          <w:color w:val="121826"/>
        </w:rPr>
        <w:t xml:space="preserve"> — first line in section 6, high-risk in section 8, relapsed or refractory in section 9, and the access-route flow in section 17. They are inline SVG generated from a single node model, so the page stays self-contained.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downloadable SVG and the editable Excalidraw scene above are generated from that same node model and are verified against each other before release: each scene is restored and exported through the official Excalidraw library, and the export must carry an identical ordered set of text, with no text outside the drawing bounds and no text overlapping other text. The editable copy therefore cannot drift from the published one — the defect the earlier comparison found in the CLL package.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 Scope and use</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This specialist guideline covers adult mantle cell lymphoma from diagnosis through first-line and relapsed or refractory treatment. It separates clinical evidence, marketing authorisation, HTA recommendation and operational NHS access.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It is not a prescribing instruction, commissioning decision or substitute for the current SmPC, live national criteria, local SACT governance, MDT review and patient-specific judgement.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HOW TO READ THE JURISDICTION MARKERS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This revision records evidence and regulatory positions from outside the United Kingdom because international divergence in mantle cell lymphoma is now large enough to mislead a reader working from an overseas algorithm. Two rules apply without exception.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First, a block headed </w:t>
      </w:r>
      <w:r>
        <w:rPr>
          <w:rFonts w:ascii="Georgia" w:hAnsi="Georgia" w:cs="Georgia"/>
          <w:sz w:val="34"/>
          <w:sz-cs w:val="34"/>
          <w:b/>
          <w:spacing w:val="0"/>
          <w:color w:val="121826"/>
        </w:rPr>
        <w:t xml:space="preserve">outside the United Kingdom</w:t>
      </w:r>
      <w:r>
        <w:rPr>
          <w:rFonts w:ascii="Georgia" w:hAnsi="Georgia" w:cs="Georgia"/>
          <w:sz w:val="34"/>
          <w:sz-cs w:val="34"/>
          <w:spacing w:val="0"/>
          <w:color w:val="121826"/>
        </w:rPr>
        <w:t xml:space="preserve"> is context only. A United States or European Union approval does not create a Great Britain marketing authorisation, a NICE recommendation or an NHS England commissioning route, and must never be used to justify treatment here.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Second, where international practice and United Kingdom practice diverge, the divergence is stated explicitly rather than smoothed over. The three divergences that most affect reading of an overseas source are set out in section 14.</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RELATIONSHIP TO THE CURRENT UNITED KINGDOM SOCIETY GUIDELINE</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British Society for Haematology guideline on the diagnosis and management of mantle cell lymphoma remains the current United Kingdom society document (2023; PMID 37880821; DOI 10.1111/bjh.19131). It predates the mature TRIANGLE analysis, the ECHO readout and acalabrutinib–bendamustine–rituximab licensing, lisocabtagene maraleucel in mantle cell lymphoma and the 2025 EHA–EU guideline. Where this document differs from BSH 2023, the difference reflects evidence published after that guideline and is identified in section 15. This document does not replace, and has no standing against, the BSH guideline. Its relapsed-setting recommendation remains directly applicable: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Offer ibrutinib monotherapy as an approved and reimbursed standard of care option in the United Kingdom at first relapse (1B). Where the choice of ibrutinib, acalabrutinib or zanubrutinib is available, treatment should be individualised based on the specific toxicity profile of each agent (1B). Where a covalent BTKi has been used in first line as continuous therapy, consider clinical trials or immunochemotherapy at first relapse (2B).</w:t>
      </w:r>
      <w:r>
        <w:rPr>
          <w:rFonts w:ascii="Georgia" w:hAnsi="Georgia" w:cs="Georgia"/>
          <w:sz w:val="34"/>
          <w:sz-cs w:val="34"/>
          <w:spacing w:val="0"/>
          <w:color w:val="121826"/>
        </w:rPr>
        <w:t xml:space="preserve">”</w:t>
      </w:r>
    </w:p>
    <w:p>
      <w:pPr>
        <w:spacing w:after="423"/>
      </w:pPr>
      <w:r>
        <w:rPr>
          <w:rFonts w:ascii="Georgia" w:hAnsi="Georgia" w:cs="Georgia"/>
          <w:sz w:val="51"/>
          <w:sz-cs w:val="51"/>
          <w:b/>
          <w:spacing w:val="0"/>
          <w:color w:val="151E39"/>
        </w:rPr>
        <w:t xml:space="preserve">2. Diagnosis and minimum dataset</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Confirm MCL through integrated morphology, immunophenotype and demonstration of cyclin D1 overexpression or an appropriate CCND-family rearrangement. Record nodal versus non-nodal presentation and obtain expert review when morphology, immunophenotype or genetics are discordant.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For uncommon cyclin D1-negative disease, require expert haematopathology review and additional molecular confirmation before assigning the diagnosis.</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Ask for an </w:t>
      </w:r>
      <w:r>
        <w:rPr>
          <w:rFonts w:ascii="Georgia" w:hAnsi="Georgia" w:cs="Georgia"/>
          <w:sz w:val="34"/>
          <w:sz-cs w:val="34"/>
          <w:b/>
          <w:spacing w:val="0"/>
          <w:color w:val="121826"/>
        </w:rPr>
        <w:t xml:space="preserve">excision biopsy</w:t>
      </w:r>
      <w:r>
        <w:rPr>
          <w:rFonts w:ascii="Georgia" w:hAnsi="Georgia" w:cs="Georgia"/>
          <w:sz w:val="34"/>
          <w:sz-cs w:val="34"/>
          <w:spacing w:val="0"/>
          <w:color w:val="121826"/>
        </w:rPr>
        <w:t xml:space="preserve"> wherever a node is accessible. Send </w:t>
      </w:r>
      <w:r>
        <w:rPr>
          <w:rFonts w:ascii="Georgia" w:hAnsi="Georgia" w:cs="Georgia"/>
          <w:sz w:val="34"/>
          <w:sz-cs w:val="34"/>
          <w:b/>
          <w:spacing w:val="0"/>
          <w:color w:val="121826"/>
        </w:rPr>
        <w:t xml:space="preserve">every</w:t>
      </w:r>
      <w:r>
        <w:rPr>
          <w:rFonts w:ascii="Georgia" w:hAnsi="Georgia" w:cs="Georgia"/>
          <w:sz w:val="34"/>
          <w:sz-cs w:val="34"/>
          <w:spacing w:val="0"/>
          <w:color w:val="121826"/>
        </w:rPr>
        <w:t xml:space="preserve"> case for expert haematopathology review, not only the difficult ones. Take </w:t>
      </w:r>
      <w:r>
        <w:rPr>
          <w:rFonts w:ascii="Georgia" w:hAnsi="Georgia" w:cs="Georgia"/>
          <w:sz w:val="34"/>
          <w:sz-cs w:val="34"/>
          <w:b/>
          <w:spacing w:val="0"/>
          <w:color w:val="121826"/>
        </w:rPr>
        <w:t xml:space="preserve">hepatitis B, hepatitis C and HIV serology</w:t>
      </w:r>
      <w:r>
        <w:rPr>
          <w:rFonts w:ascii="Georgia" w:hAnsi="Georgia" w:cs="Georgia"/>
          <w:sz w:val="34"/>
          <w:sz-cs w:val="34"/>
          <w:spacing w:val="0"/>
          <w:color w:val="121826"/>
        </w:rPr>
        <w:t xml:space="preserve"> before any anti-CD20 antibody. Record Ki-67 with a stated method. </w:t>
      </w:r>
      <w:r>
        <w:rPr>
          <w:rFonts w:ascii="Georgia" w:hAnsi="Georgia" w:cs="Georgia"/>
          <w:sz w:val="34"/>
          <w:sz-cs w:val="34"/>
          <w:b/>
          <w:spacing w:val="0"/>
          <w:color w:val="121826"/>
        </w:rPr>
        <w:t xml:space="preserve">Re-biopsy whenever possible when a new line of treatment is required</w:t>
      </w:r>
      <w:r>
        <w:rPr>
          <w:rFonts w:ascii="Georgia" w:hAnsi="Georgia" w:cs="Georgia"/>
          <w:sz w:val="34"/>
          <w:sz-cs w:val="34"/>
          <w:spacing w:val="0"/>
          <w:color w:val="121826"/>
        </w:rPr>
        <w:t xml:space="preserve">, repeating Ki-67 and TP53 assessment on the new sample.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Getting the right tissue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An excision biopsy of a lymph node is the preferred specimen. Use a core biopsy only where no node is readily accessible. A fine-needle aspirate is not adequate to diagnose mantle cell lymphoma and should not be relied 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Send the case for expert haematopathology review. The EHA–EU guideline asks for review of all cases, not only those where the phenotype is unclear (S01, graded V, A). Store additional material fresh-frozen where your service can do so — it is the material that later molecular work depends 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RE-BIOPSY AT EACH NEW LINE — THIS IS HOW TRANSFORMATION GETS FOUND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Repeat the biopsy whenever a new line of treatment is needed, and repeat Ki-67 and TP53 testing on the new sample (S01, graded IV, B). Where mutational analysis is not available, p53 by immunohistochemistry is the fallback.</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Clinical behaviour and imaging can raise the suspicion of transformation; histology is what confirms it. Treating a relapse on the biology of the original diagnostic sample means treating a disease the patient may no longer have.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Cyclin D1-negative disease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the phenotype fits mantle cell lymphoma but cyclin D1 immunohistochemistry is negative, ask for FISH for </w:t>
      </w:r>
      <w:r>
        <w:rPr>
          <w:rFonts w:ascii="Georgia" w:hAnsi="Georgia" w:cs="Georgia"/>
          <w:sz w:val="34"/>
          <w:sz-cs w:val="34"/>
          <w:i/>
          <w:spacing w:val="0"/>
          <w:color w:val="121826"/>
        </w:rPr>
        <w:t xml:space="preserve">CCND1</w:t>
      </w:r>
      <w:r>
        <w:rPr>
          <w:rFonts w:ascii="Georgia" w:hAnsi="Georgia" w:cs="Georgia"/>
          <w:sz w:val="34"/>
          <w:sz-cs w:val="34"/>
          <w:spacing w:val="0"/>
          <w:color w:val="121826"/>
        </w:rPr>
        <w:t xml:space="preserve"> rearrangement. If that is also negative, ask for </w:t>
      </w:r>
      <w:r>
        <w:rPr>
          <w:rFonts w:ascii="Georgia" w:hAnsi="Georgia" w:cs="Georgia"/>
          <w:sz w:val="34"/>
          <w:sz-cs w:val="34"/>
          <w:i/>
          <w:spacing w:val="0"/>
          <w:color w:val="121826"/>
        </w:rPr>
        <w:t xml:space="preserve">CCND2</w:t>
      </w:r>
      <w:r>
        <w:rPr>
          <w:rFonts w:ascii="Georgia" w:hAnsi="Georgia" w:cs="Georgia"/>
          <w:sz w:val="34"/>
          <w:sz-cs w:val="34"/>
          <w:spacing w:val="0"/>
          <w:color w:val="121826"/>
        </w:rPr>
        <w:t xml:space="preserve"> and </w:t>
      </w:r>
      <w:r>
        <w:rPr>
          <w:rFonts w:ascii="Georgia" w:hAnsi="Georgia" w:cs="Georgia"/>
          <w:sz w:val="34"/>
          <w:sz-cs w:val="34"/>
          <w:i/>
          <w:spacing w:val="0"/>
          <w:color w:val="121826"/>
        </w:rPr>
        <w:t xml:space="preserve">CCND3</w:t>
      </w:r>
      <w:r>
        <w:rPr>
          <w:rFonts w:ascii="Georgia" w:hAnsi="Georgia" w:cs="Georgia"/>
          <w:sz w:val="34"/>
          <w:sz-cs w:val="34"/>
          <w:spacing w:val="0"/>
          <w:color w:val="121826"/>
        </w:rPr>
        <w:t xml:space="preserve"> studies. SOX11 supports the diagnosis in this setting. Routine karyotyping adds little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Ki-67 and p53 — state the method, use one cut-off</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Ki-67 only means something if the method and the threshold are stated. Two thresholds are in use: European sources take </w:t>
      </w:r>
      <w:r>
        <w:rPr>
          <w:rFonts w:ascii="Georgia" w:hAnsi="Georgia" w:cs="Georgia"/>
          <w:sz w:val="34"/>
          <w:sz-cs w:val="34"/>
          <w:b/>
          <w:spacing w:val="0"/>
          <w:color w:val="121826"/>
        </w:rPr>
        <w:t xml:space="preserve">30%</w:t>
      </w:r>
      <w:r>
        <w:rPr>
          <w:rFonts w:ascii="Georgia" w:hAnsi="Georgia" w:cs="Georgia"/>
          <w:sz w:val="34"/>
          <w:sz-cs w:val="34"/>
          <w:spacing w:val="0"/>
          <w:color w:val="121826"/>
        </w:rPr>
        <w:t xml:space="preserve"> as conferring inferior prognosis, American sources </w:t>
      </w:r>
      <w:r>
        <w:rPr>
          <w:rFonts w:ascii="Georgia" w:hAnsi="Georgia" w:cs="Georgia"/>
          <w:sz w:val="34"/>
          <w:sz-cs w:val="34"/>
          <w:b/>
          <w:spacing w:val="0"/>
          <w:color w:val="121826"/>
        </w:rPr>
        <w:t xml:space="preserve">50%</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r>
        <w:rPr>
          <w:rFonts w:ascii="Arial" w:hAnsi="Arial" w:cs="Arial"/>
          <w:sz w:val="17"/>
          <w:sz-cs w:val="17"/>
          <w:b/>
          <w:spacing w:val="0"/>
          <w:color w:val="3F2A56"/>
        </w:rPr>
        <w:t xml:space="preserve">DECISION TAKEN FOR THIS GUIDELINE</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This document uses </w:t>
      </w:r>
      <w:r>
        <w:rPr>
          <w:rFonts w:ascii="Georgia" w:hAnsi="Georgia" w:cs="Georgia"/>
          <w:sz w:val="34"/>
          <w:sz-cs w:val="34"/>
          <w:b/>
          <w:spacing w:val="0"/>
          <w:color w:val="121826"/>
        </w:rPr>
        <w:t xml:space="preserve">Ki-67 ≥30%</w:t>
      </w:r>
      <w:r>
        <w:rPr>
          <w:rFonts w:ascii="Georgia" w:hAnsi="Georgia" w:cs="Georgia"/>
          <w:sz w:val="34"/>
          <w:sz-cs w:val="34"/>
          <w:spacing w:val="0"/>
          <w:color w:val="121826"/>
        </w:rPr>
        <w:t xml:space="preserve"> as the high-risk threshold, following European practice, and records that the American threshold is 50%. Where you report or read a Ki-67 result, state which threshold is being applied — a report that says only “high” is not usable.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further points from S01. Ki-67 measured on bone marrow is less reliable and should not be used for prognostication. Where only p53 immunohistochemistry is available rather than mutational analysis, use a cut-off of </w:t>
      </w:r>
      <w:r>
        <w:rPr>
          <w:rFonts w:ascii="Georgia" w:hAnsi="Georgia" w:cs="Georgia"/>
          <w:sz w:val="34"/>
          <w:sz-cs w:val="34"/>
          <w:b/>
          <w:spacing w:val="0"/>
          <w:color w:val="121826"/>
        </w:rPr>
        <w:t xml:space="preserve">50%</w:t>
      </w:r>
      <w:r>
        <w:rPr>
          <w:rFonts w:ascii="Georgia" w:hAnsi="Georgia" w:cs="Georgia"/>
          <w:sz w:val="34"/>
          <w:sz-cs w:val="34"/>
          <w:spacing w:val="0"/>
          <w:color w:val="121826"/>
        </w:rPr>
        <w:t xml:space="preserve"> to call it positive.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Screening before anti-CD20 treatment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Test for hepatitis B, hepatitis C and HIV before starting treatment. Every immunochemotherapy regimen in this guideline contains an anti-CD20 antibody, and screening applies before any of them. It also applies before treatments carrying their own reactivation or immunosuppression risk, including BTK inhibitors and cellular therapy. BSH grades screening 1C (S42) and the EHA–EU guideline makes the same point.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What a positive result means depends on which marker is positive.</w:t>
      </w:r>
      <w:r>
        <w:rPr>
          <w:rFonts w:ascii="Georgia" w:hAnsi="Georgia" w:cs="Georgia"/>
          <w:sz w:val="34"/>
          <w:sz-cs w:val="34"/>
          <w:spacing w:val="0"/>
          <w:color w:val="121826"/>
        </w:rPr>
        <w:t xml:space="preserve"> HBsAg positivity, or evidence of previous exposure including anti-HBc positivity, requires formal reactivation-risk assessment and an antiviral prophylaxis or monitoring plan appropriate to the intended regimen. </w:t>
      </w:r>
      <w:r>
        <w:rPr>
          <w:rFonts w:ascii="Georgia" w:hAnsi="Georgia" w:cs="Georgia"/>
          <w:sz w:val="34"/>
          <w:sz-cs w:val="34"/>
          <w:b/>
          <w:spacing w:val="0"/>
          <w:color w:val="121826"/>
        </w:rPr>
        <w:t xml:space="preserve">Isolated anti-HBs positivity — including vaccine-derived immunity — does not by itself require antiviral treatment.</w:t>
      </w:r>
      <w:r>
        <w:rPr>
          <w:rFonts w:ascii="Georgia" w:hAnsi="Georgia" w:cs="Georgia"/>
          <w:sz w:val="34"/>
          <w:sz-cs w:val="34"/>
          <w:spacing w:val="0"/>
          <w:color w:val="121826"/>
        </w:rPr>
        <w:t xml:space="preserve"> This requires pharmacy and hepatology verification before treatment.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Neither society specifies which antiviral agent or for how long. Follow your local viral hepatitis policy and involve hepatology where the result is positive. Record the result and the action taken.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Minimum dataset</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morphology, including blastoid or pleomorphic features.</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Ki-67 using an agreed reproducible method, and state the threshold applied.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hepatitis B, hepatitis C and HIV serology, and the action taken on any positive result.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Assess TP53 status before treatment planning when technically feasible.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Document a clinical risk score and the limitations of applying newer molecular models outside their validation setting.</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3. Staging and risk</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Baseline assessment should define disease distribution, tempo, symptoms, cytopenias, organ compromise, performance status, comorbidity and treatment fitness. TP53 mutation is a major adverse prognostic feature under intensive chemoimmunotherapy; it is prognostic rather than proof that one specific alternative strategy is superior.</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Use molecular and pathological risk to support trial referral, treatment planning and consent. Do not claim that a novel regimen has neutralised high-risk biology unless comparative evidence demonstrates this.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Endoscopy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PET-CT does not reliably detect gastrointestinal involvement, so imaging alone does not exclude it. Consider upper gastrointestinal endoscopy where the result would change management — most often when disease looks limited and the decision rests on it.</w:t>
      </w:r>
      <w:r>
        <w:rPr>
          <w:rFonts w:ascii="Georgia" w:hAnsi="Georgia" w:cs="Georgia"/>
          <w:sz w:val="34"/>
          <w:sz-cs w:val="34"/>
          <w:spacing w:val="0"/>
          <w:color w:val="121826"/>
        </w:rPr>
        <w:t xml:space="preserve"/>
      </w:r>
    </w:p>
    <w:p>
      <w:pPr/>
      <w:r>
        <w:rPr>
          <w:rFonts w:ascii="Arial" w:hAnsi="Arial" w:cs="Arial"/>
          <w:sz w:val="17"/>
          <w:sz-cs w:val="17"/>
          <w:b/>
          <w:spacing w:val="0"/>
          <w:color w:val="3F2A56"/>
        </w:rPr>
        <w:t xml:space="preserve">WHERE THE SOCIETIES DIFFER</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The EHA–EU guideline asks for gastroscopy </w:t>
      </w:r>
      <w:r>
        <w:rPr>
          <w:rFonts w:ascii="Georgia" w:hAnsi="Georgia" w:cs="Georgia"/>
          <w:sz w:val="34"/>
          <w:sz-cs w:val="34"/>
          <w:i/>
          <w:spacing w:val="0"/>
          <w:color w:val="121826"/>
        </w:rPr>
        <w:t xml:space="preserve">and</w:t>
      </w:r>
      <w:r>
        <w:rPr>
          <w:rFonts w:ascii="Georgia" w:hAnsi="Georgia" w:cs="Georgia"/>
          <w:sz w:val="34"/>
          <w:sz-cs w:val="34"/>
          <w:spacing w:val="0"/>
          <w:color w:val="121826"/>
        </w:rPr>
        <w:t xml:space="preserve"> colonoscopy with biopsies when staging suspected limited-stage disease (S01, graded V, B). BSH advises </w:t>
      </w:r>
      <w:r>
        <w:rPr>
          <w:rFonts w:ascii="Georgia" w:hAnsi="Georgia" w:cs="Georgia"/>
          <w:sz w:val="34"/>
          <w:sz-cs w:val="34"/>
          <w:b/>
          <w:spacing w:val="0"/>
          <w:color w:val="121826"/>
        </w:rPr>
        <w:t xml:space="preserve">upper gastrointestinal endoscopy only</w:t>
      </w:r>
      <w:r>
        <w:rPr>
          <w:rFonts w:ascii="Georgia" w:hAnsi="Georgia" w:cs="Georgia"/>
          <w:sz w:val="34"/>
          <w:sz-cs w:val="34"/>
          <w:spacing w:val="0"/>
          <w:color w:val="121826"/>
        </w:rPr>
        <w:t xml:space="preserve">, on the basis that PET-CT concordance is poor for gastric involvement but good enough for colorectal disease to make colonoscopy unnecessary in an asymptomatic patient (S42).</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guideline follows BSH.</w:t>
      </w:r>
      <w:r>
        <w:rPr>
          <w:rFonts w:ascii="Georgia" w:hAnsi="Georgia" w:cs="Georgia"/>
          <w:sz w:val="34"/>
          <w:sz-cs w:val="34"/>
          <w:spacing w:val="0"/>
          <w:color w:val="121826"/>
        </w:rPr>
        <w:t xml:space="preserve"> Perform upper gastrointestinal endoscopy; reserve colonoscopy for patients with lower gastrointestinal symptoms. Record which position you followed.</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Features that define high risk</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Four things move a patient into the high-risk group, and they are not interchangeable.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TP53 mutation or deletion</w:t>
      </w:r>
      <w:r>
        <w:rPr>
          <w:rFonts w:ascii="Georgia" w:hAnsi="Georgia" w:cs="Georgia"/>
          <w:sz w:val="34"/>
          <w:sz-cs w:val="34"/>
          <w:spacing w:val="0"/>
          <w:color w:val="121826"/>
        </w:rPr>
        <w:t xml:space="preserve"> — the strongest single factor, and the one that should change the conversation. See the high-risk section.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Ki-67 ≥30%</w:t>
      </w:r>
      <w:r>
        <w:rPr>
          <w:rFonts w:ascii="Georgia" w:hAnsi="Georgia" w:cs="Georgia"/>
          <w:sz w:val="34"/>
          <w:sz-cs w:val="34"/>
          <w:spacing w:val="0"/>
          <w:color w:val="121826"/>
        </w:rPr>
        <w:t xml:space="preserve"> — using the threshold set out in the diagnosis section.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Blastoid or pleomorphic morphology</w:t>
      </w:r>
      <w:r>
        <w:rPr>
          <w:rFonts w:ascii="Georgia" w:hAnsi="Georgia" w:cs="Georgia"/>
          <w:sz w:val="34"/>
          <w:sz-cs w:val="34"/>
          <w:spacing w:val="0"/>
          <w:color w:val="121826"/>
        </w:rPr>
        <w:t xml:space="preserve"> — an independent adverse feature recognised by EHA, BSH and EBMT. The EBMT cellular therapy guidance (S46) notes that morphology is used as high-risk defining </w:t>
      </w:r>
      <w:r>
        <w:rPr>
          <w:rFonts w:ascii="Georgia" w:hAnsi="Georgia" w:cs="Georgia"/>
          <w:sz w:val="34"/>
          <w:sz-cs w:val="34"/>
          <w:i/>
          <w:spacing w:val="0"/>
          <w:color w:val="121826"/>
        </w:rPr>
        <w:t xml:space="preserve">where Ki-67 is not available</w:t>
      </w:r>
      <w:r>
        <w:rPr>
          <w:rFonts w:ascii="Georgia" w:hAnsi="Georgia" w:cs="Georgia"/>
          <w:sz w:val="34"/>
          <w:sz-cs w:val="34"/>
          <w:spacing w:val="0"/>
          <w:color w:val="121826"/>
        </w:rPr>
        <w:t xml:space="preserve">, so where you have both, Ki-67 takes precedence.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High clinical risk score</w:t>
      </w:r>
      <w:r>
        <w:rPr>
          <w:rFonts w:ascii="Georgia" w:hAnsi="Georgia" w:cs="Georgia"/>
          <w:sz w:val="34"/>
          <w:sz-cs w:val="34"/>
          <w:spacing w:val="0"/>
          <w:color w:val="121826"/>
        </w:rPr>
        <w:t xml:space="preserve"> — MIPI and its variants. Combined scores incorporating Ki-67 and, more recently, TP53 status (MIPI53, S03) refine this, but each should be applied within the population it was validated in.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4. Observation where treatment is not required</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Selected asymptomatic patients with low-volume, indolent or non-nodal disease may be observed after diagnostic confidence and MDT review. Review clinically and with laboratory assessment every 3–6 months; use imaging when clinically required. Record the reason for observation and objective triggers for reassessment. Rising lymphocyte count or imaging change alone should be interpreted in its clinical context.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5. Limited-stage disease</w:t>
      </w:r>
      <w:r>
        <w:rPr>
          <w:rFonts w:ascii="Georgia" w:hAnsi="Georgia" w:cs="Georgia"/>
          <w:sz w:val="51"/>
          <w:sz-cs w:val="51"/>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Between 5% and 15% of patients present with stage I or II disease. Stage it properly before deciding — PET-CT, bone marrow biopsy and upper gastrointestinal endoscopy. In genuinely low-risk stage I, </w:t>
      </w:r>
      <w:r>
        <w:rPr>
          <w:rFonts w:ascii="Georgia" w:hAnsi="Georgia" w:cs="Georgia"/>
          <w:sz w:val="34"/>
          <w:sz-cs w:val="34"/>
          <w:b/>
          <w:spacing w:val="0"/>
          <w:color w:val="121826"/>
        </w:rPr>
        <w:t xml:space="preserve">observation or involved-site radiotherapy</w:t>
      </w:r>
      <w:r>
        <w:rPr>
          <w:rFonts w:ascii="Georgia" w:hAnsi="Georgia" w:cs="Georgia"/>
          <w:sz w:val="34"/>
          <w:sz-cs w:val="34"/>
          <w:spacing w:val="0"/>
          <w:color w:val="121826"/>
        </w:rPr>
        <w:t xml:space="preserve"> are both reasonable. Where high-risk features are present, treat as advanced disease.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section exists because limited-stage disease is managed differently and the rest of this guideline assumes advanced disease. It rests on the EHA–EU guideline (S01), which gives four graded recommendations, and on BSH (S42). No primary trial evidence has been independently verified for this section — see the note on evidence tier below.</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Staging first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Do not accept a limited stage without confirming it. Stage with PET-CT, bone marrow biopsy and endoscopy with biopsies (S01, graded II, B). Understaging is the main risk here, because the treatment decision that follows is materially less intensive.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Treatment by risk</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Treatment by risk</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Presentation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EHA grade</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Stage I, no risk factors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Observation, or involved-site radiotherapy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II, 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Intermediate risk or tumour load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Shortened systemic therapy followed by radiotherapy may be considered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IV, 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Stage II with high-risk features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Systemic treatment as for advanced disease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IV, B</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The involved-site radiotherapy dose recorded in S01 is </w:t>
      </w:r>
      <w:r>
        <w:rPr>
          <w:rFonts w:ascii="Georgia" w:hAnsi="Georgia" w:cs="Georgia"/>
          <w:sz w:val="34"/>
          <w:sz-cs w:val="34"/>
          <w:b/>
          <w:spacing w:val="0"/>
          <w:color w:val="121826"/>
        </w:rPr>
        <w:t xml:space="preserve">24 to 36 Gy</w:t>
      </w:r>
      <w:r>
        <w:rPr>
          <w:rFonts w:ascii="Georgia" w:hAnsi="Georgia" w:cs="Georgia"/>
          <w:sz w:val="34"/>
          <w:sz-cs w:val="34"/>
          <w:spacing w:val="0"/>
          <w:color w:val="121826"/>
        </w:rPr>
        <w:t xml:space="preserve">. Discuss every case with clinical oncology — this guideline sets the indication, not the plan.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Radiotherapy for symptom control</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Low-dose palliative radiotherapy, </w:t>
      </w:r>
      <w:r>
        <w:rPr>
          <w:rFonts w:ascii="Georgia" w:hAnsi="Georgia" w:cs="Georgia"/>
          <w:sz w:val="34"/>
          <w:sz-cs w:val="34"/>
          <w:b/>
          <w:spacing w:val="0"/>
          <w:color w:val="121826"/>
        </w:rPr>
        <w:t xml:space="preserve">2 Gy given twice</w:t>
      </w:r>
      <w:r>
        <w:rPr>
          <w:rFonts w:ascii="Georgia" w:hAnsi="Georgia" w:cs="Georgia"/>
          <w:sz w:val="34"/>
          <w:sz-cs w:val="34"/>
          <w:spacing w:val="0"/>
          <w:color w:val="121826"/>
        </w:rPr>
        <w:t xml:space="preserve">, can relieve symptoms in very frail patients, at diagnosis or at relapse (S01). It is well tolerated, it is often forgotten, and it does not require the patient to be fit for systemic treatment.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EVIDENCE TIER FOR THIS SECTION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Everything above is </w:t>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 adopted from a society guideline whose underlying trial evidence this document has not independently checked. That is a weaker footing than the randomised evidence cited elsewhere in this guideline, and it is labelled rather than blended in. See the evidence-to-recommendation model.</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6. First-line pathway for younger or treatment-fit adults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Select treatment according to biological risk, treatment requirement, physiological fitness and suitability for dose-intensive treatment or ASCT—not chronological age alone.</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Decision flow from confirmed diagnosis through transplant-eligibility assessment to first-line options, split into transplant-suitable and older or transplant-ineligible branches, each option labelled with its England access class.</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Confirmed mantle cell lymphoma, treatment indicated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Diagnosis integrated on morphology, immunophenotype and cyclin D1</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or a CCND-family rearrangement. Record Ki-67 and TP53 before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planning.</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Is the patient suitable for dose-intensive treatment and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ASCT?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Decide on biological risk, treatment requirement, physiological fitness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transplant suitability — not chronological age alone.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two first-line licensed populations divide at this same point.</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Transplant-suitable · see section 6</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Older or transplant-ineligible · see section 7</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suitable</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not suitable</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Rituximab with high-dose cytarabine induction, ASCT, then</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rituximab maintenance 3 years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Bundled strategy — MCL Younger does not isolate the effect of ASCT. LYMA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improved 4-year EFS, PFS and OS; the long-term OS difference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not significant.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Guideline-supported conventional practice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TRIANGLE regimen — ibrutinib with R-CHOP alternating R-DHAP or</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R-DHAOx, then ibrutinib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 licence covers previously untreated patients who WOULD BE ELIGIBLE for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ASCT.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Adding ASCT gave no failure-free survival gain; ibrutinib arms improved OS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increased grade 3-5 infection. Do not add ASCT merely because the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was eligible.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NICE appraisal in development. Draft guidance of 30 June 2026 says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regimen should not be used. This is draft, not final guidance, and creates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funding mandate. Owner-attested company scheme — see section 17.</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routine route; 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Bendamustine with rituximab, then rituximab maintenance at least</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2 years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Routinely commissioned under NHS England policy 17088P for patients unable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tolerate more intensive treatment, performance status 0-1, up to six cycles.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That policy states plainly that BR is not a licensed medicine for this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indication — commissioned and off-label at the same time.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VR-CAP</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Improved PFS versus R-CHOP with more neutropenia and thrombocytopenia. TA370</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recommends within the marketing authorisation. Do not generalise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transplant-suitable patients.</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R-BAC</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Single-arm long-term data in untreated older patients: complete response 91%,</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7-year PFS 55%. No randomised comparison against BR; greater haematological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toxicity; no maintenance given.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Guideline-supported conventional practice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Acalabrutinib with bendamustine and rituximab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 licence covers previously untreated patients NOT ELIGIBLE for ASCT.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ECHO showed a PFS benefit without a demonstrated OS advantage. NICE draft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guidance of 25 February 2026 did not recommend it; the appraisal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rescheduled.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 NHS network pathway records this as available via an owner-attested early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access programme — see section 17.</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routine route; 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Do not add to a bendamustine–rituximab platform</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E1411 randomised 373 previously untreated patients. Adding bortezomib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induction did not improve PFS (HR 0.90). Adding lenalidomide to rituximab</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did not improve PFS (HR 0.84). Both randomised questions were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negative at 7.5 years.</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TP53 mutation changes the conversation, not just the prognosis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Assess TP53 before treatment planning wherever feasible. If mutated, move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high-risk pathway and discuss trial entry early — see section 8.</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Access is a separate determination from evidence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 regimen with strong randomised evidence may still have no commissioned route, and a routinely commissioned regimen may be off-label. Confirm the marketing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authorisation, the NICE position and the commissioning route separately before treating. Section 17 sets out the non-routine routes, including company early 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schemes and the four-nation funding tests.</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First-line treatment algorithm. The split at transplant suitability governs the clinical pathway, and the two first-line marketing authorisations divide at the same point. It does not by itself determine eligibility for any company scheme — those terms have not been independently verified here.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97"/>
      </w:pPr>
      <w:r>
        <w:rPr>
          <w:rFonts w:ascii="Georgia" w:hAnsi="Georgia" w:cs="Georgia"/>
          <w:sz w:val="39"/>
          <w:sz-cs w:val="39"/>
          <w:b/>
          <w:spacing w:val="0"/>
          <w:color w:val="151E39"/>
        </w:rPr>
        <w:t xml:space="preserve">Current conventional pathway when first-line covalent BTK inhibition is not routinely commissioned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Offer rituximab plus high-dose cytarabine-containing induction followed by ASCT consolidation and 3 years of rituximab maintenance. This is a bundled strategy: the MCL Younger trial does not isolate the independent effect of ASCT. Use the current network SACT/transplant protocol for the exact induction, conditioning, doses, administration and modifications.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After ASCT, the LYMA schedule was rituximab 375 mg/m² every 2 months for 3 years. It improved 4-year EFS, PFS and OS versus observation; prolonged follow-up retained the PFS benefit without a statistically significant OS difference. Confirm the current rituximab SmPC and local protocol before prescribing.</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BEFORE STARTING — FERTILITY</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Offer fertility counselling, and referral for preservation where appropriate, before any patient of reproductive age starts cytarabine-containing induction or proceeds to transplantation. BSH grades this </w:t>
      </w:r>
      <w:r>
        <w:rPr>
          <w:rFonts w:ascii="Georgia" w:hAnsi="Georgia" w:cs="Georgia"/>
          <w:sz w:val="34"/>
          <w:sz-cs w:val="34"/>
          <w:b/>
          <w:spacing w:val="0"/>
          <w:color w:val="121826"/>
        </w:rPr>
        <w:t xml:space="preserve">1B</w:t>
      </w:r>
      <w:r>
        <w:rPr>
          <w:rFonts w:ascii="Georgia" w:hAnsi="Georgia" w:cs="Georgia"/>
          <w:sz w:val="34"/>
          <w:sz-cs w:val="34"/>
          <w:spacing w:val="0"/>
          <w:color w:val="121826"/>
        </w:rPr>
        <w:t xml:space="preserve"> (S42) — a strong recommendation.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These are gonadotoxic regimens. The conversation has to happen before treatment starts, not at the point the patient asks about it afterwards. Record that it took place and what was decided, including where the patient declined.</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EBMT 2026 POSITION ON OMITTING AUTOLOGOUS TRANSPLANTATION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EBMT cellular therapy recommendations (S46) accept that consolidative autologous transplantation may be omitted where minimal residual disease is undetectable at the 10</w:t>
      </w:r>
      <w:r>
        <w:rPr>
          <w:rFonts w:ascii="Georgia" w:hAnsi="Georgia" w:cs="Georgia"/>
          <w:sz w:val="28"/>
          <w:sz-cs w:val="28"/>
          <w:vertAlign w:val="superscript"/>
          <w:spacing w:val="0"/>
          <w:color w:val="121826"/>
        </w:rPr>
        <w:t xml:space="preserve">-6</w:t>
      </w:r>
      <w:r>
        <w:rPr>
          <w:rFonts w:ascii="Georgia" w:hAnsi="Georgia" w:cs="Georgia"/>
          <w:sz w:val="34"/>
          <w:sz-cs w:val="34"/>
          <w:spacing w:val="0"/>
          <w:color w:val="121826"/>
        </w:rPr>
        <w:t xml:space="preserve"> level after induction, and state that in standard-risk disease treated with a BTK inhibitor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omission of auto-HCT should be considered, especially if MRD-negative (10-6) after induction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In high-risk disease treated with a BTK inhibitor,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auto-HCT consolidation should be considered, especially if MRD-positive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in TP53-mutated disease autologous transplantation is recommended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only in trials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cautions before acting on this. It requires MRD assessment at a sensitivity of 10</w:t>
      </w:r>
      <w:r>
        <w:rPr>
          <w:rFonts w:ascii="Georgia" w:hAnsi="Georgia" w:cs="Georgia"/>
          <w:sz w:val="28"/>
          <w:sz-cs w:val="28"/>
          <w:vertAlign w:val="superscript"/>
          <w:spacing w:val="0"/>
          <w:color w:val="121826"/>
        </w:rPr>
        <w:t xml:space="preserve">-6</w:t>
      </w:r>
      <w:r>
        <w:rPr>
          <w:rFonts w:ascii="Georgia" w:hAnsi="Georgia" w:cs="Georgia"/>
          <w:sz w:val="34"/>
          <w:sz-cs w:val="34"/>
          <w:spacing w:val="0"/>
          <w:color w:val="121826"/>
        </w:rPr>
        <w:t xml:space="preserve">, which is not uniformly available, and section 11 of this guideline holds that MRD is not a validated universal surrogate. The same document recommends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rituximab maintenance (for 3 years) … after first-line consolidative auto-HCT for MCL, irrespective of concurrent BTKi maintenance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which is consistent with the LYMA schedule recorded above.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Substitution of obinutuzumab for rituximab in a transplant-eligible pathway has been studied prospectively in LyMa-101 with propensity-matched comparison against LYMA controls (S32). The comparison is not randomised, the matched analysis is susceptible to residual confounding, and obinutuzumab has no mantle cell lymphoma marketing authorisation. Do not substitute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TRIANGLE-derived pathway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mature TRIANGLE analysis applies to adults aged 18–65 who matched that protocol. </w:t>
      </w:r>
      <w:r>
        <w:rPr>
          <w:rFonts w:ascii="Georgia" w:hAnsi="Georgia" w:cs="Georgia"/>
          <w:sz w:val="34"/>
          <w:sz-cs w:val="34"/>
          <w:b/>
          <w:spacing w:val="0"/>
          <w:color w:val="121826"/>
        </w:rPr>
        <w:t xml:space="preserve">In the overall trial population</w:t>
      </w:r>
      <w:r>
        <w:rPr>
          <w:rFonts w:ascii="Georgia" w:hAnsi="Georgia" w:cs="Georgia"/>
          <w:sz w:val="34"/>
          <w:sz-cs w:val="34"/>
          <w:spacing w:val="0"/>
          <w:color w:val="121826"/>
        </w:rPr>
        <w:t xml:space="preserve">, adding ASCT to the studied ibrutinib-containing regimen did not demonstrate an additional failure-free survival advantage, while ibrutinib-containing arms improved reported overall survival versus control and increased infection burden.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Do not apply that overall result categorically to every biologically high-risk patient. An </w:t>
      </w:r>
      <w:r>
        <w:rPr>
          <w:rFonts w:ascii="Georgia" w:hAnsi="Georgia" w:cs="Georgia"/>
          <w:sz w:val="34"/>
          <w:sz-cs w:val="34"/>
          <w:b/>
          <w:spacing w:val="0"/>
          <w:color w:val="121826"/>
        </w:rPr>
        <w:t xml:space="preserve">unplanned subgroup analysis</w:t>
      </w:r>
      <w:r>
        <w:rPr>
          <w:rFonts w:ascii="Georgia" w:hAnsi="Georgia" w:cs="Georgia"/>
          <w:sz w:val="34"/>
          <w:sz-cs w:val="34"/>
          <w:spacing w:val="0"/>
          <w:color w:val="121826"/>
        </w:rPr>
        <w:t xml:space="preserve"> suggested a possible benefit from ASCT in high-risk disease. It is unplanned and hypothesis-generating, so it does not establish a benefit either — but it is a reason to keep individual biological risk in the decision rather than treating the headline result as settling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exact ibrutinib regimen has a GB marketing authorisation. The NICE appraisal remains in development, and draft guidance of 30 June 2026 says the regimen should not be used in this population. No final guidance exists, so there is no funding mandate either way.</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JUNE 2026 DRAFT GUIDANCE DOES EXIST</w:t>
      </w:r>
      <w:r>
        <w:rPr>
          <w:rFonts w:ascii="Arial" w:hAnsi="Arial" w:cs="Arial"/>
          <w:sz w:val="17"/>
          <w:sz-cs w:val="17"/>
          <w:b/>
          <w:spacing w:val="0"/>
          <w:color w:val="771F23"/>
        </w:rPr>
        <w:t xml:space="preserve"/>
      </w:r>
    </w:p>
    <w:p>
      <w:pPr>
        <w:spacing w:after="340"/>
      </w:pPr>
      <w:r>
        <w:rPr>
          <w:rFonts w:ascii="Georgia" w:hAnsi="Georgia" w:cs="Georgia"/>
          <w:sz w:val="34"/>
          <w:sz-cs w:val="34"/>
          <w:b/>
          <w:spacing w:val="0"/>
          <w:color w:val="121826"/>
        </w:rPr>
        <w:t xml:space="preserve">An earlier working copy of this revision withdrew the v2.0 statement that a June 2026 draft recommendation exists. That withdrawal was wrong and has been reversed.</w:t>
      </w:r>
      <w:r>
        <w:rPr>
          <w:rFonts w:ascii="Georgia" w:hAnsi="Georgia" w:cs="Georgia"/>
          <w:sz w:val="34"/>
          <w:sz-cs w:val="34"/>
          <w:spacing w:val="0"/>
          <w:color w:val="121826"/>
        </w:rPr>
        <w:t xml:space="preserve"> The withdrawal rested on the absence of any draft-guidance entry in an automated read of the project page, together with an HTTP 403 on the documents tab. Absence from a partial page render was treated as evidence of absence, and it should not have been.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independent audit on 30 July 2026 retrieved the official document. </w:t>
      </w:r>
      <w:r>
        <w:rPr>
          <w:rFonts w:ascii="Georgia" w:hAnsi="Georgia" w:cs="Georgia"/>
          <w:sz w:val="34"/>
          <w:sz-cs w:val="34"/>
          <w:b/>
          <w:spacing w:val="0"/>
          <w:color w:val="121826"/>
        </w:rPr>
        <w:t xml:space="preserve">NICE published draft guidance on 30 June 2026</w:t>
      </w:r>
      <w:r>
        <w:rPr>
          <w:rFonts w:ascii="Georgia" w:hAnsi="Georgia" w:cs="Georgia"/>
          <w:sz w:val="34"/>
          <w:sz-cs w:val="34"/>
          <w:spacing w:val="0"/>
          <w:color w:val="121826"/>
        </w:rPr>
        <w:t xml:space="preserve"> for GID-TA11802 / ID6596, whose recommendation 1.1 states that the specified ibrutinib-containing regimen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should not be used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for untreated adult mantle cell lymphoma when autologous stem-cell transplantation is 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is draft guidance, not final guidance.</w:t>
      </w:r>
      <w:r>
        <w:rPr>
          <w:rFonts w:ascii="Georgia" w:hAnsi="Georgia" w:cs="Georgia"/>
          <w:sz w:val="34"/>
          <w:sz-cs w:val="34"/>
          <w:spacing w:val="0"/>
          <w:color w:val="121826"/>
        </w:rPr>
        <w:t xml:space="preserve"> It creates no NICE funding mandate and it is not a final negative recommendation. The appraisal remains in development. Check the live project status before relying on it. Source: nice.org.uk/guidance/gid-ta11802/documents/draft-guidance (verified by independent audit on 30 July 2026 from the official NICE document; this document’s own automated retrieval returned HTTP 403 and could not reproduce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Do not present this pathway as routinely commissioned NHS treatment. If it is used through an authorised funding route, follow the exact SmPC regimen and do not add routine ASCT solely because the patient was initially transplant-eligible.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Rituximab maintenance within a TRIANGLE-derived pathway is recommended by the EHA–EU guideline, but the supporting TRIANGLE maintenance analysis was non-randomised and recorded more serious infection. It must not be represented as a risk-free default.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Circulating tumour DNA and circulating tumour cell dynamics were measured prospectively within TRIANGLE (S33). Molecular response was faster in ibrutinib-containing arms and the excess risk carried by TP53 mutation appeared attenuated relative to the control arm. This is an exploratory biomarker substudy in a subset, it does not establish that TP53-associated risk has been removed, and it must not be used to justify withholding trial referral.</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LONG-RUN OUTCOME CONTEXT</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A pooled individual-patient analysis of six randomised phase III trials conducted between 1996 and 2020 (S34) recorded a substantial improvement in survival for patients aged 65 or under with advanced-stage disease: median overall survival 4.9 years in the earliest treatment era, 13.8 years in the middle era, and not reached in the most recent, with 5-year overall survival rising from 49% to 84%. The same analysis recorded a far smaller gain in older and transplant-ineligible patients, from 3.8 to 4.8 years. Use this to frame prognosis honestly at diagnosis, and note that the gain is concentrated in the population this section covers.</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FIRST-LINE IBRUTINIB</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The regulatory position on ibrutinib in mantle cell lymphoma diverges sharply and this is the single most important reason not to read an overseas first-line algorithm directly.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States:</w:t>
      </w:r>
      <w:r>
        <w:rPr>
          <w:rFonts w:ascii="Georgia" w:hAnsi="Georgia" w:cs="Georgia"/>
          <w:sz w:val="34"/>
          <w:sz-cs w:val="34"/>
          <w:spacing w:val="0"/>
          <w:color w:val="121826"/>
        </w:rPr>
        <w:t xml:space="preserve"> the ibrutinib mantle cell lymphoma indication was </w:t>
      </w:r>
      <w:r>
        <w:rPr>
          <w:rFonts w:ascii="Georgia" w:hAnsi="Georgia" w:cs="Georgia"/>
          <w:sz w:val="34"/>
          <w:sz-cs w:val="34"/>
          <w:i/>
          <w:spacing w:val="0"/>
          <w:color w:val="121826"/>
        </w:rPr>
        <w:t xml:space="preserve">withdrawn</w:t>
      </w:r>
      <w:r>
        <w:rPr>
          <w:rFonts w:ascii="Georgia" w:hAnsi="Georgia" w:cs="Georgia"/>
          <w:sz w:val="34"/>
          <w:sz-cs w:val="34"/>
          <w:spacing w:val="0"/>
          <w:color w:val="121826"/>
        </w:rPr>
        <w:t xml:space="preserve">. The manufacturer requested voluntary withdrawal of the accelerated approval on 6 April 2023 and the Federal Register withdrawal was effective 18 December 2023. A current United States algorithm therefore contains no ibrutinib option in mantle cell lymphoma at any line.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European Union:</w:t>
      </w:r>
      <w:r>
        <w:rPr>
          <w:rFonts w:ascii="Georgia" w:hAnsi="Georgia" w:cs="Georgia"/>
          <w:sz w:val="34"/>
          <w:sz-cs w:val="34"/>
          <w:spacing w:val="0"/>
          <w:color w:val="121826"/>
        </w:rPr>
        <w:t xml:space="preserve"> the ibrutinib mantle cell lymphoma indications are retained, including the TRIANGLE-derived first-line regimen for adults who would be eligible for autologous stem-cell transplantation, and relapsed or refractory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Kingdom:</w:t>
      </w:r>
      <w:r>
        <w:rPr>
          <w:rFonts w:ascii="Georgia" w:hAnsi="Georgia" w:cs="Georgia"/>
          <w:sz w:val="34"/>
          <w:sz-cs w:val="34"/>
          <w:spacing w:val="0"/>
          <w:color w:val="121826"/>
        </w:rPr>
        <w:t xml:space="preserve"> a GB marketing authorisation covers the first-line regimen, and ibrutinib remains routinely commissioned in the relapsed setting after exactly one previous line under TA502. A United Kingdom clinician therefore has an option that a United States clinician does not.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7. First-line pathway for older or transplant-ineligible adults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Treatment selection should integrate disease tempo, TP53 status, frailty, renal function, infection risk, cardiac and bleeding risk, drug interactions, treatment duration, patient preference and confirmed access.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Clinically actionable options</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Bendamustine–rituximab:</w:t>
      </w:r>
      <w:r>
        <w:rPr>
          <w:rFonts w:ascii="Georgia" w:hAnsi="Georgia" w:cs="Georgia"/>
          <w:sz w:val="34"/>
          <w:sz-cs w:val="34"/>
          <w:spacing w:val="0"/>
          <w:color w:val="121826"/>
        </w:rPr>
        <w:t xml:space="preserve"> offer as a standard first-line immunochemotherapy option when clinically appropriate, followed in responders by rituximab maintenance for at least 2 years. The BR comparison in StiL was a mixed indolent/MCL population, and maintenance-after-BR evidence includes observational data; retain those limits. Use the current local/network SACT protocol for exact doses and modifications.</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VR-CAP:</w:t>
      </w:r>
      <w:r>
        <w:rPr>
          <w:rFonts w:ascii="Georgia" w:hAnsi="Georgia" w:cs="Georgia"/>
          <w:sz w:val="34"/>
          <w:sz-cs w:val="34"/>
          <w:spacing w:val="0"/>
          <w:color w:val="121826"/>
        </w:rPr>
        <w:t xml:space="preserve"> consider as an alternative for previously untreated adults for whom HSCT is unsuitable. It improved PFS versus R-CHOP but caused more neutropenia and thrombocytopenia. NICE TA370 recommends it within its marketing authorisation. Rituximab maintenance for at least 2 years is an EHA–EU guideline recommendation and was not tested in the original VR-CAP trial.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R-BAC:</w:t>
      </w:r>
      <w:r>
        <w:rPr>
          <w:rFonts w:ascii="Georgia" w:hAnsi="Georgia" w:cs="Georgia"/>
          <w:sz w:val="34"/>
          <w:sz-cs w:val="34"/>
          <w:spacing w:val="0"/>
          <w:color w:val="121826"/>
        </w:rPr>
        <w:t xml:space="preserve"> rituximab, bendamustine and cytarabine has single-arm prospective long-term follow-up in previously untreated older patients, with complete response 91%, 7-year PFS 55% and OS 63% and no maintenance given. It is a recognised option in this population but has no randomised comparison against BR and no regimen-specific technology appraisal; haematological toxicity is greater than with BR and dose attenuation in the frail is essential.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The frail patient is a separate question</w:t>
      </w:r>
      <w:r>
        <w:rPr>
          <w:rFonts w:ascii="Georgia" w:hAnsi="Georgia" w:cs="Georgia"/>
          <w:sz w:val="39"/>
          <w:sz-cs w:val="39"/>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Assess frailty with a </w:t>
      </w:r>
      <w:r>
        <w:rPr>
          <w:rFonts w:ascii="Georgia" w:hAnsi="Georgia" w:cs="Georgia"/>
          <w:sz w:val="34"/>
          <w:sz-cs w:val="34"/>
          <w:b/>
          <w:spacing w:val="0"/>
          <w:color w:val="121826"/>
        </w:rPr>
        <w:t xml:space="preserve">formal tool</w:t>
      </w:r>
      <w:r>
        <w:rPr>
          <w:rFonts w:ascii="Georgia" w:hAnsi="Georgia" w:cs="Georgia"/>
          <w:sz w:val="34"/>
          <w:sz-cs w:val="34"/>
          <w:spacing w:val="0"/>
          <w:color w:val="121826"/>
        </w:rPr>
        <w:t xml:space="preserve">, not an impression. Consider geriatrician review and pre-phase steroids. Where cytotoxic treatment is still appropriate, use an attenuated regimen rather than a full-dose one the patient cannot finish.</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“Older or transplant-ineligible” and “frail” are not the same thing, and treating them as one category is how frail patients end up on regimens designed for fitter ones. Median age at diagnosis is around 70, so this is not a small subgroup.</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BSH advises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formal frailty assessment tools are preferred over informal methods as they are more sensitive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and names three: the </w:t>
      </w:r>
      <w:r>
        <w:rPr>
          <w:rFonts w:ascii="Georgia" w:hAnsi="Georgia" w:cs="Georgia"/>
          <w:sz w:val="34"/>
          <w:sz-cs w:val="34"/>
          <w:b/>
          <w:spacing w:val="0"/>
          <w:color w:val="121826"/>
        </w:rPr>
        <w:t xml:space="preserve">Geriatric 8</w:t>
      </w:r>
      <w:r>
        <w:rPr>
          <w:rFonts w:ascii="Georgia" w:hAnsi="Georgia" w:cs="Georgia"/>
          <w:sz w:val="34"/>
          <w:sz-cs w:val="34"/>
          <w:spacing w:val="0"/>
          <w:color w:val="121826"/>
        </w:rPr>
        <w:t xml:space="preserve">, a three-to-five minute screen; the </w:t>
      </w:r>
      <w:r>
        <w:rPr>
          <w:rFonts w:ascii="Georgia" w:hAnsi="Georgia" w:cs="Georgia"/>
          <w:sz w:val="34"/>
          <w:sz-cs w:val="34"/>
          <w:b/>
          <w:spacing w:val="0"/>
          <w:color w:val="121826"/>
        </w:rPr>
        <w:t xml:space="preserve">Cumulative Illness Rating Scale for Geriatrics</w:t>
      </w:r>
      <w:r>
        <w:rPr>
          <w:rFonts w:ascii="Georgia" w:hAnsi="Georgia" w:cs="Georgia"/>
          <w:sz w:val="34"/>
          <w:sz-cs w:val="34"/>
          <w:spacing w:val="0"/>
          <w:color w:val="121826"/>
        </w:rPr>
        <w:t xml:space="preserve">; and the </w:t>
      </w:r>
      <w:r>
        <w:rPr>
          <w:rFonts w:ascii="Georgia" w:hAnsi="Georgia" w:cs="Georgia"/>
          <w:sz w:val="34"/>
          <w:sz-cs w:val="34"/>
          <w:b/>
          <w:spacing w:val="0"/>
          <w:color w:val="121826"/>
        </w:rPr>
        <w:t xml:space="preserve">Geriatric Assessment in Haematology</w:t>
      </w:r>
      <w:r>
        <w:rPr>
          <w:rFonts w:ascii="Georgia" w:hAnsi="Georgia" w:cs="Georgia"/>
          <w:sz w:val="34"/>
          <w:sz-cs w:val="34"/>
          <w:spacing w:val="0"/>
          <w:color w:val="121826"/>
        </w:rPr>
        <w:t xml:space="preserve">, developed specifically for haematological malignancy and taking ten to fifteen minutes.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graded BSH recommendations follow, both 2B. Consider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review by a geriatrician and pre-phase steroids for frail patients with MCL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where cytotoxic therapy remains appropriate, consider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R-chlorambucil, R-CVP, attenuated R-bendamustine or attenuated R-CHOP</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Frailty is not a reason to withhold treatment, and it is not a reason to give full-dose treatment either. It is a reason to choose differently, and to say why in the notes.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Two additions that the randomised evidence does not support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E1411 randomised 373 previously untreated patients, 87% aged 60 or over, in a two-by-two design (S35). Adding bortezomib to bendamustine–rituximab induction did not improve progression-free survival (median 6.4 versus 5.5 years; hazard ratio 0.90, 90% CI 0.70–1.16). Adding lenalidomide to rituximab maintenance did not improve progression-free survival (median 7.2 versus 5.9 years; hazard ratio 0.84, 90% CI 0.62–1.15). Both randomised questions were negative at 7.5 years of follow-up. Do not add either agent to a bendamustine–rituximab platform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Trial evidence that does not create routine NHS England access</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ENRICH:</w:t>
      </w:r>
      <w:r>
        <w:rPr>
          <w:rFonts w:ascii="Georgia" w:hAnsi="Georgia" w:cs="Georgia"/>
          <w:sz w:val="34"/>
          <w:sz-cs w:val="34"/>
          <w:spacing w:val="0"/>
          <w:color w:val="121826"/>
        </w:rPr>
        <w:t xml:space="preserve"> ibrutinib–rituximab improved PFS over the pooled immunochemotherapy control but did not establish superiority over BR specifically. No first-line NICE or national CDF route was identified.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ECHO:</w:t>
      </w:r>
      <w:r>
        <w:rPr>
          <w:rFonts w:ascii="Georgia" w:hAnsi="Georgia" w:cs="Georgia"/>
          <w:sz w:val="34"/>
          <w:sz-cs w:val="34"/>
          <w:spacing w:val="0"/>
          <w:color w:val="121826"/>
        </w:rPr>
        <w:t xml:space="preserve"> acalabrutinib plus BR improved PFS without a demonstrated OS advantage. It is licensed in Great Britain, but NICE GID-TA11091 / ID6155 remains unfinished. Draft guidance published for consultation on 25 February 2026 did </w:t>
      </w:r>
      <w:r>
        <w:rPr>
          <w:rFonts w:ascii="Georgia" w:hAnsi="Georgia" w:cs="Georgia"/>
          <w:sz w:val="34"/>
          <w:sz-cs w:val="34"/>
          <w:i/>
          <w:spacing w:val="0"/>
          <w:color w:val="121826"/>
        </w:rPr>
        <w:t xml:space="preserve">not</w:t>
      </w:r>
      <w:r>
        <w:rPr>
          <w:rFonts w:ascii="Georgia" w:hAnsi="Georgia" w:cs="Georgia"/>
          <w:sz w:val="34"/>
          <w:sz-cs w:val="34"/>
          <w:spacing w:val="0"/>
          <w:color w:val="121826"/>
        </w:rPr>
        <w:t xml:space="preserve"> recommend the combination, on the stated basis that there is not enough evidence to determine whether it offers value for money in this population; consultation ran to 18 March 2026. The displayed expected publication date of 4 June 2026 has passed, and the project note records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following on from advice received from the company this appraisal will be rescheduled to align with latest regulatory expectations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Draft guidance is not final guidance.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SHINE:</w:t>
      </w:r>
      <w:r>
        <w:rPr>
          <w:rFonts w:ascii="Georgia" w:hAnsi="Georgia" w:cs="Georgia"/>
          <w:sz w:val="34"/>
          <w:sz-cs w:val="34"/>
          <w:spacing w:val="0"/>
          <w:color w:val="121826"/>
        </w:rPr>
        <w:t xml:space="preserve"> ibrutinib plus BR improved PFS without an OS advantage and increased grade 3–4 toxicity. No first-line NICE or national CDF route was identified. A pre-specified secondary analysis reports longer progression-free survival among patients achieving complete response, which is a prognostic association within responders and not evidence of an overall survival gain.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Ibrutinib–venetoclax in an older or TP53-mutated first-line population:</w:t>
      </w:r>
      <w:r>
        <w:rPr>
          <w:rFonts w:ascii="Georgia" w:hAnsi="Georgia" w:cs="Georgia"/>
          <w:sz w:val="34"/>
          <w:sz-cs w:val="34"/>
          <w:spacing w:val="0"/>
          <w:color w:val="121826"/>
        </w:rPr>
        <w:t xml:space="preserve"> the open-label first-line cohort of SYMPATICO treated 78 patients aged 65 or over, or younger with TP53 mutation, with non-blastoid disease (S36). Complete response was 69%, overall response 95%, median progression-free survival 40.2 months and 3-year overall survival 79%. The combination has </w:t>
      </w:r>
      <w:r>
        <w:rPr>
          <w:rFonts w:ascii="Georgia" w:hAnsi="Georgia" w:cs="Georgia"/>
          <w:sz w:val="34"/>
          <w:sz-cs w:val="34"/>
          <w:b/>
          <w:spacing w:val="0"/>
          <w:color w:val="121826"/>
        </w:rPr>
        <w:t xml:space="preserve">no Great Britain mantle cell lymphoma marketing authorisation</w:t>
      </w:r>
      <w:r>
        <w:rPr>
          <w:rFonts w:ascii="Georgia" w:hAnsi="Georgia" w:cs="Georgia"/>
          <w:sz w:val="34"/>
          <w:sz-cs w:val="34"/>
          <w:spacing w:val="0"/>
          <w:color w:val="121826"/>
        </w:rPr>
        <w:t xml:space="preserve">, and the NICE appraisal was suspended on 20 January 2026 because an MHRA application was no longer being pursued. This is an important dataset with no route to the patient in England outside a trial.</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FIRST-LINE ACALABRUTINIB WITH BENDAMUSTINE–RITUXIMAB</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Acalabrutinib with bendamustine and rituximab is approved for previously untreated transplant-ineligible mantle cell lymphoma in the </w:t>
      </w:r>
      <w:r>
        <w:rPr>
          <w:rFonts w:ascii="Georgia" w:hAnsi="Georgia" w:cs="Georgia"/>
          <w:sz w:val="34"/>
          <w:sz-cs w:val="34"/>
          <w:b/>
          <w:spacing w:val="0"/>
          <w:color w:val="121826"/>
        </w:rPr>
        <w:t xml:space="preserve">United States</w:t>
      </w:r>
      <w:r>
        <w:rPr>
          <w:rFonts w:ascii="Georgia" w:hAnsi="Georgia" w:cs="Georgia"/>
          <w:sz w:val="34"/>
          <w:sz-cs w:val="34"/>
          <w:spacing w:val="0"/>
          <w:color w:val="121826"/>
        </w:rPr>
        <w:t xml:space="preserve"> (16 January 2025, full approval on the ECHO trial) and in the </w:t>
      </w:r>
      <w:r>
        <w:rPr>
          <w:rFonts w:ascii="Georgia" w:hAnsi="Georgia" w:cs="Georgia"/>
          <w:sz w:val="34"/>
          <w:sz-cs w:val="34"/>
          <w:b/>
          <w:spacing w:val="0"/>
          <w:color w:val="121826"/>
        </w:rPr>
        <w:t xml:space="preserve">European Union</w:t>
      </w:r>
      <w:r>
        <w:rPr>
          <w:rFonts w:ascii="Georgia" w:hAnsi="Georgia" w:cs="Georgia"/>
          <w:sz w:val="34"/>
          <w:sz-cs w:val="34"/>
          <w:spacing w:val="0"/>
          <w:color w:val="121826"/>
        </w:rPr>
        <w:t xml:space="preserve"> (European Commission approval 6 May 2025). At the same date the United States converted the relapsed or refractory acalabrutinib monotherapy accelerated approval to traditional approval.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In </w:t>
      </w:r>
      <w:r>
        <w:rPr>
          <w:rFonts w:ascii="Georgia" w:hAnsi="Georgia" w:cs="Georgia"/>
          <w:sz w:val="34"/>
          <w:sz-cs w:val="34"/>
          <w:b/>
          <w:spacing w:val="0"/>
          <w:color w:val="121826"/>
        </w:rPr>
        <w:t xml:space="preserve">England</w:t>
      </w:r>
      <w:r>
        <w:rPr>
          <w:rFonts w:ascii="Georgia" w:hAnsi="Georgia" w:cs="Georgia"/>
          <w:sz w:val="34"/>
          <w:sz-cs w:val="34"/>
          <w:spacing w:val="0"/>
          <w:color w:val="121826"/>
        </w:rPr>
        <w:t xml:space="preserve"> the combination is licensed but has no final NICE recommendation and no demonstrated national commissioning route. A clinician reading a United States or European treatment algorithm will find this regimen presented as a first-line standard; it is not routinely available here.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8. TP53-mutated and other high-risk MCL</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TP53-mutated disease should prompt early specialist discussion, explicit communication of uncertainty and consideration of an appropriate clinical trial. BOVen and other response-adapted novel combinations show activity and feasibility, but available single-arm studies do not prove comparative superiority or elimination of TP53-associated risk.</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Three-branch flow from pre-treatment risk assessment covering TP53-mutated disease, other adverse features and standard risk, with the evidence limits and the claim to avoid.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Risk assessment before treatment planning</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Assess TP53 status wherever technically feasible, alongside morphology, Ki-67 by 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agreed reproducible method, and a clinical risk score.</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TP53 mutated</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Other adverse features</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Standard risk</w:t>
      </w:r>
      <w:r>
        <w:rPr>
          <w:rFonts w:ascii="Arial" w:hAnsi="Arial" w:cs="Arial"/>
          <w:sz w:val="24"/>
          <w:sz-cs w:val="24"/>
          <w:b/>
          <w:spacing w:val="0"/>
          <w:color w:val="121826"/>
        </w:rPr>
        <w:t xml:space="preserve"/>
      </w:r>
    </w:p>
    <w:p>
      <w:pPr/>
      <w:r>
        <w:rPr>
          <w:rFonts w:ascii="Arial" w:hAnsi="Arial" w:cs="Arial"/>
          <w:sz w:val="25"/>
          <w:sz-cs w:val="25"/>
          <w:b/>
          <w:spacing w:val="0"/>
          <w:color w:val="121826"/>
        </w:rPr>
        <w:t xml:space="preserve">Treat as a distinct clinical problem</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Early specialist discussion, explicit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communication of uncertainty, and consideration of</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clinical trial as the primary option rather than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fallback.</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What the evidence does and does not show</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Descriptive subgroup outcomes in a small, non-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randomised cohort were poorer with TP53 mutation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despite high response rates, suggesting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regimen may not eliminate TP53-associated risk. It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does not establish an independent prognostic</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effect. In the first-line SYMPATICO cohort,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patients aged 65 or over with TP53 mutation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achieved complete response 44%, median PFS 22.0</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months and 3-year OS 66%, against 76%, 40.2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85% without mutation. Younger patients with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TP53 mutation reached complete response 73% but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median PFS 15.4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high response rate with markedly shorter disease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control is the pattern to expect.</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The guideline recommendation you cannot</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deliver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The 2025 EHA-EU guideline favours first-line anti-</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CD20 with a BTK inhibitor and a BCL2 inhibitor.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such combination holds a GB mantle cell licence,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venetoclax is not authorised for mantle cell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lymphoma in the UK, EU or US. In England this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deliverable only inside a trial.</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Features that should raise concern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Blastoid or pleomorphic morphology. High Ki-67.</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High-risk clinical score. Rapid tempo or early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progression. Central nervous system involvement.</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Molecular risk beyond TP53</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In the FIL V-RBAC biomarker analysis of 132</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evaluable patients, ATM was the most frequently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mutated gene at 41.7%, ahead of TP53 and KMT2D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23.5% each; ATM deletion 24%, CDKN2A loss 22%.</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These are prognostic associations within one trial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population. They do not yet direct treatment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selection and should not be used to withhold 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otherwise indicated regimen.</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Prognostic models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Use molecular and pathological risk to support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trial referral, treatment planning and consent.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State the limitations of applying a newer model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outside its validation setting.</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Proceed on the first-line pathway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Return to section 6 or section 7 according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transplant suitability.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Observation remains appropriate for some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Selected asymptomatic patients with low-volume,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indolent or non-nodal disease may be observed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after diagnostic confidence and MDT review. Review</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every 3 to 6 months with objective triggers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recorded. A rising lymphocyte count alone is not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trigger.</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MRD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May refine prognosis and has guided cessation in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protocols. It is not a validated universal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surrogate and does not justify omitting effective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outside a trial.</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The claim to avoid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Do not state or imply that a novel regimen has neutralised high-risk biology unless comparative evidence demonstrates it. No regimen in current use has done so for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TP53-mutated mantle cell lymphoma. Say this plainly to patients rather than implying that a targeted agent removes the risk.</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High-risk and TP53-mutated pathway, with the evidence limits stated alongside each branch.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40"/>
      </w:pPr>
      <w:r>
        <w:rPr>
          <w:rFonts w:ascii="Georgia" w:hAnsi="Georgia" w:cs="Georgia"/>
          <w:sz w:val="34"/>
          <w:sz-cs w:val="34"/>
          <w:spacing w:val="0"/>
          <w:color w:val="121826"/>
        </w:rPr>
        <w:t xml:space="preserve">Descriptive subgroup outcomes in a small, open-label, non-randomised cohort were poorer in patients with TP53 mutation despite high response rates, which suggests the regimen may not eliminate TP53-associated risk. The analysis does not establish an independent prognostic effect or a comparative treatment benefit, and it should not be read as one. In the first-line SYMPATICO cohort (S36), patients aged 65 or over </w:t>
      </w:r>
      <w:r>
        <w:rPr>
          <w:rFonts w:ascii="Georgia" w:hAnsi="Georgia" w:cs="Georgia"/>
          <w:sz w:val="34"/>
          <w:sz-cs w:val="34"/>
          <w:i/>
          <w:spacing w:val="0"/>
          <w:color w:val="121826"/>
        </w:rPr>
        <w:t xml:space="preserve">without</w:t>
      </w:r>
      <w:r>
        <w:rPr>
          <w:rFonts w:ascii="Georgia" w:hAnsi="Georgia" w:cs="Georgia"/>
          <w:sz w:val="34"/>
          <w:sz-cs w:val="34"/>
          <w:spacing w:val="0"/>
          <w:color w:val="121826"/>
        </w:rPr>
        <w:t xml:space="preserve"> TP53 mutation achieved complete response 76%, median progression-free survival 40.2 months and 3-year overall survival 85%. In the same study, patients aged 65 or over </w:t>
      </w:r>
      <w:r>
        <w:rPr>
          <w:rFonts w:ascii="Georgia" w:hAnsi="Georgia" w:cs="Georgia"/>
          <w:sz w:val="34"/>
          <w:sz-cs w:val="34"/>
          <w:i/>
          <w:spacing w:val="0"/>
          <w:color w:val="121826"/>
        </w:rPr>
        <w:t xml:space="preserve">with</w:t>
      </w:r>
      <w:r>
        <w:rPr>
          <w:rFonts w:ascii="Georgia" w:hAnsi="Georgia" w:cs="Georgia"/>
          <w:sz w:val="34"/>
          <w:sz-cs w:val="34"/>
          <w:spacing w:val="0"/>
          <w:color w:val="121826"/>
        </w:rPr>
        <w:t xml:space="preserve"> TP53 mutation achieved complete response 44%, median progression-free survival 22.0 months and 3-year overall survival 66%; younger patients with TP53 mutation achieved complete response 73% but median progression-free survival of only 15.4 months. A regimen can produce a high response rate in TP53-mutated disease and still deliver markedly shorter disease control.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MRD may refine prognosis and has been used to guide treatment cessation in selected studies. It is not a universal surrogate and does not justify omission of effective maintenance in routine practice.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Molecular risk beyond TP53 continues to be defined. In the FIL V-RBAC biomarker analysis of 132 evaluable patients, </w:t>
      </w:r>
      <w:r>
        <w:rPr>
          <w:rFonts w:ascii="Georgia" w:hAnsi="Georgia" w:cs="Georgia"/>
          <w:sz w:val="34"/>
          <w:sz-cs w:val="34"/>
          <w:i/>
          <w:spacing w:val="0"/>
          <w:color w:val="121826"/>
        </w:rPr>
        <w:t xml:space="preserve">ATM</w:t>
      </w:r>
      <w:r>
        <w:rPr>
          <w:rFonts w:ascii="Georgia" w:hAnsi="Georgia" w:cs="Georgia"/>
          <w:sz w:val="34"/>
          <w:sz-cs w:val="34"/>
          <w:spacing w:val="0"/>
          <w:color w:val="121826"/>
        </w:rPr>
        <w:t xml:space="preserve"> was the most frequently mutated gene at 41.7%, ahead of </w:t>
      </w:r>
      <w:r>
        <w:rPr>
          <w:rFonts w:ascii="Georgia" w:hAnsi="Georgia" w:cs="Georgia"/>
          <w:sz w:val="34"/>
          <w:sz-cs w:val="34"/>
          <w:i/>
          <w:spacing w:val="0"/>
          <w:color w:val="121826"/>
        </w:rPr>
        <w:t xml:space="preserve">TP53</w:t>
      </w:r>
      <w:r>
        <w:rPr>
          <w:rFonts w:ascii="Georgia" w:hAnsi="Georgia" w:cs="Georgia"/>
          <w:sz w:val="34"/>
          <w:sz-cs w:val="34"/>
          <w:spacing w:val="0"/>
          <w:color w:val="121826"/>
        </w:rPr>
        <w:t xml:space="preserve"> and </w:t>
      </w:r>
      <w:r>
        <w:rPr>
          <w:rFonts w:ascii="Georgia" w:hAnsi="Georgia" w:cs="Georgia"/>
          <w:sz w:val="34"/>
          <w:sz-cs w:val="34"/>
          <w:i/>
          <w:spacing w:val="0"/>
          <w:color w:val="121826"/>
        </w:rPr>
        <w:t xml:space="preserve">KMT2D</w:t>
      </w:r>
      <w:r>
        <w:rPr>
          <w:rFonts w:ascii="Georgia" w:hAnsi="Georgia" w:cs="Georgia"/>
          <w:sz w:val="34"/>
          <w:sz-cs w:val="34"/>
          <w:spacing w:val="0"/>
          <w:color w:val="121826"/>
        </w:rPr>
        <w:t xml:space="preserve"> at 23.5% each; </w:t>
      </w:r>
      <w:r>
        <w:rPr>
          <w:rFonts w:ascii="Georgia" w:hAnsi="Georgia" w:cs="Georgia"/>
          <w:sz w:val="34"/>
          <w:sz-cs w:val="34"/>
          <w:i/>
          <w:spacing w:val="0"/>
          <w:color w:val="121826"/>
        </w:rPr>
        <w:t xml:space="preserve">ATM</w:t>
      </w:r>
      <w:r>
        <w:rPr>
          <w:rFonts w:ascii="Georgia" w:hAnsi="Georgia" w:cs="Georgia"/>
          <w:sz w:val="34"/>
          <w:sz-cs w:val="34"/>
          <w:spacing w:val="0"/>
          <w:color w:val="121826"/>
        </w:rPr>
        <w:t xml:space="preserve"> deletion was present in 24% and </w:t>
      </w:r>
      <w:r>
        <w:rPr>
          <w:rFonts w:ascii="Georgia" w:hAnsi="Georgia" w:cs="Georgia"/>
          <w:sz w:val="34"/>
          <w:sz-cs w:val="34"/>
          <w:i/>
          <w:spacing w:val="0"/>
          <w:color w:val="121826"/>
        </w:rPr>
        <w:t xml:space="preserve">CDKN2A</w:t>
      </w:r>
      <w:r>
        <w:rPr>
          <w:rFonts w:ascii="Georgia" w:hAnsi="Georgia" w:cs="Georgia"/>
          <w:sz w:val="34"/>
          <w:sz-cs w:val="34"/>
          <w:spacing w:val="0"/>
          <w:color w:val="121826"/>
        </w:rPr>
        <w:t xml:space="preserve"> loss in 22%. These are prognostic associations within one trial population and do not yet direct treatment selection.</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SOCIETY POSITION ON FIRST-LINE TP53-MUTATED DISEASE</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The 2025 EHA–EU mantle cell lymphoma network guideline recommends that conventional chemoimmunotherapy is inadequate in TP53-mutated disease and favours first-line combinations of an anti-CD20 antibody with a BTK inhibitor and a BCL2 inhibitor, with strong encouragement of trial enrolment. </w:t>
      </w:r>
      <w:r>
        <w:rPr>
          <w:rFonts w:ascii="Georgia" w:hAnsi="Georgia" w:cs="Georgia"/>
          <w:sz w:val="34"/>
          <w:sz-cs w:val="34"/>
          <w:b/>
          <w:spacing w:val="0"/>
          <w:color w:val="121826"/>
        </w:rPr>
        <w:t xml:space="preserve">No such combination holds a Great Britain mantle cell lymphoma marketing authorisation.</w:t>
      </w:r>
      <w:r>
        <w:rPr>
          <w:rFonts w:ascii="Georgia" w:hAnsi="Georgia" w:cs="Georgia"/>
          <w:sz w:val="34"/>
          <w:sz-cs w:val="34"/>
          <w:spacing w:val="0"/>
          <w:color w:val="121826"/>
        </w:rPr>
        <w:t xml:space="preserve"> Venetoclax is not authorised for mantle cell lymphoma in the United Kingdom, the European Union or the United States. In England this recommendation is deliverable only inside a clinical trial, and the guideline recommendation must not be read as evidence that a funding route exists.</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9. Relapsed or refractory pathway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At each relapse, record prior regimens and classes, depth and duration of response, reason for stopping, current disease tempo, performance status, organ function, infection history and access constraints. Distinguish covalent-BTKi intolerance from progression.</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Decision flow from confirmed relapse, branching on prior covalent BTK-inhibitor exposure, through commissioned options, cellular therapy, licensed options without a route, and trial routes, each labelled with its England access class.</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Relapse or progression confirmed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Record prior regimens and classes, depth and duration of response, reason for stopping, disease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tempo, organ function, infection history and access constraints. Re-biopsy where transformation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suspected.</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Has the patient already had a covalent BTK inhibitor?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Distinguish intolerance from progression — the two lead to different places. Intolerance may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permit a within-class switch; progression does not.</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BTK-inhibitor naive</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Progression on a covalent BTK inhibitor</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no</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yes</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After exactly one previous line — ibrutinib or zanubrutinib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TA1081 directs use of the least expensive of the suitable treatments, naming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zanubrutinib and ibrutinib, after discussion of advantages and disadvantages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with the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TA502 covers ibrutinib after one previous line. Both subject to their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commercial arrangements and live Blueteq criteria. Intolerance transfer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requires absence of progression.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Acalabrutinib monotherapy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GB-licensed for relapsed or refractory disease not previously treated with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BTK inhibitor. NICE GID-TA11470 awaiting development, timelines to be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confirmed. No national route.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Plan the next line before you need it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Median survival after stopping first-line ibrutinib in the England COVID-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scheme cohort was 1.4 months — 8.6 months where subsequent treatment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given, 0.6 months where it was not. Identify the next option and assess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cellular-therapy eligibility early.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Assess cellular-therapy eligibility and refer early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Manufacturing time and bridging risk are part of the decision. UK intention-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to-treat data record material attrition between approval and infusion, and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24-month non-relapse mortality of 25%, mainly infection.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Assessment step</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Brexucabtagene autoleucel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ZUMA-2 cohort 1: median duration of response 36.5 months at 67.8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follow-up. Cohort 3 in BTKi-naive disease: response 91%, complete response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73%.</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TA677 managed access remains live, forms KTE01a and KTE01b. The June 2026</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appeal was upheld in part and the appraisal was remitted to committee.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final review guidance has been issued. Confirm live CDF and Blueteq</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eligibility before referral.</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Managed access — CDF; post-review position unresolved</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Pirtobrutinib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BRUIN: response 57.8%, median duration of response 21.6 months. Single-arm.</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Official NICE status is internally inconsistent — see the access matrix.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second appraisal covers a BTKi-untreated population. A registered individual-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patient expanded access programme exists. Do not transpose the CLL route —</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that is a different indication.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Lisocabtagene maraleucel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Phase I: response 83.1% among 88 infused. GB-licensed after at least two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lines including a BTK inhibitor. NICE GID-TA11930 awaiting development.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head-to-head against brexu-cel.</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Trial routes — often the only route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GLOFITAMAB: no GB mantle cell licence. GLOBRYTE phase III recruiting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Glasgow, Lincoln, London, Manchester, Oxford and Plymouth.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SONROTOCLAX: US-approved May 2026, no GB licence. CELESTIAL-RRMCL phase III</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recruiting at Glasgow, Oxford, Wirral, Plymouth, Bournemouth and London.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Both are randomised, so a patient may receive the comparator. Say so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consent.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Clinical trial</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After CAR-T failure — the pathway does not stop here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EBMT 2026 guidance: no role for repeat CD19-directed CAR-T once CAR-T-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exposed.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ALLOGENEIC HCT is a clinical option in salvage-sensitive patients. It is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only remaining modality with curative intent, evidence is limited and largely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extrapolated from large B-cell lymphoma, and outcomes in this heavily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pretreated group are poor. Discuss with a transplant centre before CAR-T,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after it fails.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Bispecific antibody or trial entry are the alternatives — 26% of patients in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mosunetuzumab with polatuzumab study had prior CAR-T.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Trial or specialist transplant decision</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Do not rank these options against one another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No head-to-head randomised comparison exists between pirtobrutinib, cellular therapy, bispecific antibodies and BCL2 inhibition. Unadjusted cross-trial response rates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must not be used to construct a hierarchy.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Ibrutinib with venetoclax has randomised phase III evidence in this setting — median PFS 31.9 versus 22.1 months, hazard ratio 0.65 (CORRECTION_UNRESOLVED: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published correction exists against this report and its content has not been retrieved) — and no GB mantle cell licence and no route. Strong evidence and no 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are not a contradiction; record them separately.</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Relapsed or refractory algorithm. The branch point is prior covalent BTK-inhibitor exposure, and the post-managed-access review for the cellular-therapy route remains unresolved following remittal to committee, and the live position must be confirmed before referral.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97"/>
      </w:pPr>
      <w:r>
        <w:rPr>
          <w:rFonts w:ascii="Georgia" w:hAnsi="Georgia" w:cs="Georgia"/>
          <w:sz w:val="39"/>
          <w:sz-cs w:val="39"/>
          <w:b/>
          <w:spacing w:val="0"/>
          <w:color w:val="151E39"/>
        </w:rPr>
        <w:t xml:space="preserve">Options with a routine England route</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After exactly one previous line in England, ibrutinib and zanubrutinib have separate positive NICE recommendations subject to their exact criteria. TA1081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zanubrutinib can be used as an option to treat relapsed or refractory mantle cell lymphoma in adults who have had 1 line of treatment only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directs clinicians to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use the least expensive option of the suitable treatments (including zanubrutinib and ibrutinib), having discussed the advantages and disadvantages of the available treatments with the person with the condition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Both are subject to their commercial arrangements.</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At covalent-BTKi progression, assess cellular-therapy eligibility and refer early where appropriate. Manufacturing time and bridging risk must be considered. The access position for cellular therapy is changing and is set out immediately below.</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Cellular therapy — a live access question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At 67.8 months median follow-up in ZUMA-2 cohort 1, median duration of response with brexucabtagene autoleucel was 36.5 months and median overall survival 46.5 months. Cohort 3 of the same study subsequently treated 86 BTK-inhibitor-naive patients and reported overall response 91%, complete response 73% and 12-month progression-free survival 75%, with grade 3 or higher treatment-related events in 88% and four grade 5 treatment-related events (S37). United Kingdom intention-to-treat data record material attrition between approval and infusion and 24-month non-relapse mortality of 25%, mainly infection.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APPEAL DECISION IS RETRIEVABLE AND THE OUTCOME IS KNOWN</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earlier revision said the 9 June 2026 appeal decision could not be retrieved and its outcome was unknown. </w:t>
      </w:r>
      <w:r>
        <w:rPr>
          <w:rFonts w:ascii="Georgia" w:hAnsi="Georgia" w:cs="Georgia"/>
          <w:sz w:val="34"/>
          <w:sz-cs w:val="34"/>
          <w:b/>
          <w:spacing w:val="0"/>
          <w:color w:val="121826"/>
        </w:rPr>
        <w:t xml:space="preserve">That is no longer defensible.</w:t>
      </w:r>
      <w:r>
        <w:rPr>
          <w:rFonts w:ascii="Georgia" w:hAnsi="Georgia" w:cs="Georgia"/>
          <w:sz w:val="34"/>
          <w:sz-cs w:val="34"/>
          <w:spacing w:val="0"/>
          <w:color w:val="121826"/>
        </w:rPr>
        <w:t xml:space="preserve"> The decision is published on the NICE project documents page and was downloaded and read during an independent audit on 30 July 2026.</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appeal panel </w:t>
      </w:r>
      <w:r>
        <w:rPr>
          <w:rFonts w:ascii="Georgia" w:hAnsi="Georgia" w:cs="Georgia"/>
          <w:sz w:val="34"/>
          <w:sz-cs w:val="34"/>
          <w:b/>
          <w:spacing w:val="0"/>
          <w:color w:val="121826"/>
        </w:rPr>
        <w:t xml:space="preserve">upheld</w:t>
      </w:r>
      <w:r>
        <w:rPr>
          <w:rFonts w:ascii="Georgia" w:hAnsi="Georgia" w:cs="Georgia"/>
          <w:sz w:val="34"/>
          <w:sz-cs w:val="34"/>
          <w:spacing w:val="0"/>
          <w:color w:val="121826"/>
        </w:rPr>
        <w:t xml:space="preserve"> the appeal point concerning transparency and scrutiny of the NHS England CAR-T delivery tariff, raised by both the company and the patient organisations, and </w:t>
      </w:r>
      <w:r>
        <w:rPr>
          <w:rFonts w:ascii="Georgia" w:hAnsi="Georgia" w:cs="Georgia"/>
          <w:sz w:val="34"/>
          <w:sz-cs w:val="34"/>
          <w:b/>
          <w:spacing w:val="0"/>
          <w:color w:val="121826"/>
        </w:rPr>
        <w:t xml:space="preserve">upheld</w:t>
      </w:r>
      <w:r>
        <w:rPr>
          <w:rFonts w:ascii="Georgia" w:hAnsi="Georgia" w:cs="Georgia"/>
          <w:sz w:val="34"/>
          <w:sz-cs w:val="34"/>
          <w:spacing w:val="0"/>
          <w:color w:val="121826"/>
        </w:rPr>
        <w:t xml:space="preserve"> the point that use of the McCulloch comparator data was unreasonable in the analysis performed. The remaining appeal points were </w:t>
      </w:r>
      <w:r>
        <w:rPr>
          <w:rFonts w:ascii="Georgia" w:hAnsi="Georgia" w:cs="Georgia"/>
          <w:sz w:val="34"/>
          <w:sz-cs w:val="34"/>
          <w:b/>
          <w:spacing w:val="0"/>
          <w:color w:val="121826"/>
        </w:rPr>
        <w:t xml:space="preserve">dismissed</w:t>
      </w:r>
      <w:r>
        <w:rPr>
          <w:rFonts w:ascii="Georgia" w:hAnsi="Georgia" w:cs="Georgia"/>
          <w:sz w:val="34"/>
          <w:sz-cs w:val="34"/>
          <w:spacing w:val="0"/>
          <w:color w:val="121826"/>
        </w:rPr>
        <w:t xml:space="preserve">. The appraisal was </w:t>
      </w:r>
      <w:r>
        <w:rPr>
          <w:rFonts w:ascii="Georgia" w:hAnsi="Georgia" w:cs="Georgia"/>
          <w:sz w:val="34"/>
          <w:sz-cs w:val="34"/>
          <w:b/>
          <w:spacing w:val="0"/>
          <w:color w:val="121826"/>
        </w:rPr>
        <w:t xml:space="preserve">remitted to the appraisal committee</w:t>
      </w:r>
      <w:r>
        <w:rPr>
          <w:rFonts w:ascii="Georgia" w:hAnsi="Georgia" w:cs="Georgia"/>
          <w:sz w:val="34"/>
          <w:sz-cs w:val="34"/>
          <w:spacing w:val="0"/>
          <w:color w:val="121826"/>
        </w:rPr>
        <w:t xml:space="preserve"> for further consideration.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What this does and does not mean.</w:t>
      </w:r>
      <w:r>
        <w:rPr>
          <w:rFonts w:ascii="Georgia" w:hAnsi="Georgia" w:cs="Georgia"/>
          <w:sz w:val="34"/>
          <w:sz-cs w:val="34"/>
          <w:spacing w:val="0"/>
          <w:color w:val="121826"/>
        </w:rPr>
        <w:t xml:space="preserve"> It does not mean brexucabtagene autoleucel has received a positive final NICE recommendation. It does not mean routine access has ceased. It does mean the previous final-draft conclusion cannot be treated as the final outcome, that the appraisal is in progress following remittal, and that no final guidance has been issued. TA677 remains live. Confirm the current Cancer Drugs Fund and Blueteq position before referral. Source: nice.org.uk/guidance/gid-ta11545/documents/appeal-decision.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Lisocabtagene maraleucel has phase I activity after BTKi exposure with overall response 83.1% among 88 infused patients, but no demonstrated routine MCL route in England at the access cut-off; NICE GID-TA11930 is awaiting development.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Getting a patient to cellular therapy</w:t>
      </w:r>
      <w:r>
        <w:rPr>
          <w:rFonts w:ascii="Georgia" w:hAnsi="Georgia" w:cs="Georgia"/>
          <w:sz w:val="39"/>
          <w:sz-cs w:val="39"/>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Discuss high-risk patients with a CAR-T centre at </w:t>
      </w:r>
      <w:r>
        <w:rPr>
          <w:rFonts w:ascii="Georgia" w:hAnsi="Georgia" w:cs="Georgia"/>
          <w:sz w:val="34"/>
          <w:sz-cs w:val="34"/>
          <w:b/>
          <w:spacing w:val="0"/>
          <w:color w:val="121826"/>
        </w:rPr>
        <w:t xml:space="preserve">first relapse</w:t>
      </w:r>
      <w:r>
        <w:rPr>
          <w:rFonts w:ascii="Georgia" w:hAnsi="Georgia" w:cs="Georgia"/>
          <w:sz w:val="34"/>
          <w:sz-cs w:val="34"/>
          <w:spacing w:val="0"/>
          <w:color w:val="121826"/>
        </w:rPr>
        <w:t xml:space="preserve">, not later. Review them at least </w:t>
      </w:r>
      <w:r>
        <w:rPr>
          <w:rFonts w:ascii="Georgia" w:hAnsi="Georgia" w:cs="Georgia"/>
          <w:sz w:val="34"/>
          <w:sz-cs w:val="34"/>
          <w:b/>
          <w:spacing w:val="0"/>
          <w:color w:val="121826"/>
        </w:rPr>
        <w:t xml:space="preserve">four-weekly, face to face, for the first three months</w:t>
      </w:r>
      <w:r>
        <w:rPr>
          <w:rFonts w:ascii="Georgia" w:hAnsi="Georgia" w:cs="Georgia"/>
          <w:sz w:val="34"/>
          <w:sz-cs w:val="34"/>
          <w:spacing w:val="0"/>
          <w:color w:val="121826"/>
        </w:rPr>
        <w:t xml:space="preserve">. Image at </w:t>
      </w:r>
      <w:r>
        <w:rPr>
          <w:rFonts w:ascii="Georgia" w:hAnsi="Georgia" w:cs="Georgia"/>
          <w:sz w:val="34"/>
          <w:sz-cs w:val="34"/>
          <w:b/>
          <w:spacing w:val="0"/>
          <w:color w:val="121826"/>
        </w:rPr>
        <w:t xml:space="preserve">8 to 12 weeks</w:t>
      </w:r>
      <w:r>
        <w:rPr>
          <w:rFonts w:ascii="Georgia" w:hAnsi="Georgia" w:cs="Georgia"/>
          <w:sz w:val="34"/>
          <w:sz-cs w:val="34"/>
          <w:spacing w:val="0"/>
          <w:color w:val="121826"/>
        </w:rPr>
        <w:t xml:space="preserve">. Do not stop a covalent BTK inhibitor abruptly. Avoid bendamustine if cellular therapy is a realistic plan.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commonest reason a patient does not receive CAR-T is that the disease progresses while arrangements are being made. The operational steps below are the ones that change that, and they come from BSH (S42) and the EBMT cellular therapy guidance (S46).</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Referral and review.</w:t>
      </w:r>
      <w:r>
        <w:rPr>
          <w:rFonts w:ascii="Georgia" w:hAnsi="Georgia" w:cs="Georgia"/>
          <w:sz w:val="34"/>
          <w:sz-cs w:val="34"/>
          <w:spacing w:val="0"/>
          <w:color w:val="121826"/>
        </w:rPr>
        <w:t xml:space="preserve"> BSH advises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high-risk patients should be discussed with a CAR T-cell centre at first relapse and followed closely: at least 4-weekly face-to-face appointments in the first 3 months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Patients with significant constitutional symptoms not improving after four weeks of a BTK inhibitor should have early re-imaging. All high-risk patients should have a first imaging response assessment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as early as 8 weeks but no later than 12 weeks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 not stop a BTK inhibitor abruptly.</w:t>
      </w:r>
      <w:r>
        <w:rPr>
          <w:rFonts w:ascii="Georgia" w:hAnsi="Georgia" w:cs="Georgia"/>
          <w:sz w:val="34"/>
          <w:sz-cs w:val="34"/>
          <w:spacing w:val="0"/>
          <w:color w:val="121826"/>
        </w:rPr>
        <w:t xml:space="preserve"> BSH warns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abrupt cessation of ibrutinib at this stage should be avoided due to risk of tumour flare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EBMT advises maintaining BTK inhibition through leukapheresis where the patient is still responding. If you are planning to switch, plan the overlap.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Choose bridging with the right goal.</w:t>
      </w:r>
      <w:r>
        <w:rPr>
          <w:rFonts w:ascii="Georgia" w:hAnsi="Georgia" w:cs="Georgia"/>
          <w:sz w:val="34"/>
          <w:sz-cs w:val="34"/>
          <w:spacing w:val="0"/>
          <w:color w:val="121826"/>
        </w:rPr>
        <w:t xml:space="preserve"> EBMT states the aim plainly: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treatment goal of holding/bridging is symptom control and keeping the patient stable rather than achieving minimal tumour load prior to CART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Trying to debulk aggressively before infusion is not the objective and may cost more than it gains.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Avoid bendamustine where you can.</w:t>
      </w:r>
      <w:r>
        <w:rPr>
          <w:rFonts w:ascii="Georgia" w:hAnsi="Georgia" w:cs="Georgia"/>
          <w:sz w:val="34"/>
          <w:sz-cs w:val="34"/>
          <w:spacing w:val="0"/>
          <w:color w:val="121826"/>
        </w:rPr>
        <w:t xml:space="preserve"> BSH notes it should be avoided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due to its potential impact on T-cell fitness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This matters at the point you are choosing a bridging regimen, and it is a reason to think about the eventual CAR-T plan earlier in the disease course than feels necessary.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PREDICTING HOW LONG A SECOND-LINE BTK INHIBITOR WILL LAST</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EHA–EU guideline describes a </w:t>
      </w:r>
      <w:r>
        <w:rPr>
          <w:rFonts w:ascii="Georgia" w:hAnsi="Georgia" w:cs="Georgia"/>
          <w:sz w:val="34"/>
          <w:sz-cs w:val="34"/>
          <w:b/>
          <w:spacing w:val="0"/>
          <w:color w:val="121826"/>
        </w:rPr>
        <w:t xml:space="preserve">BTKi-MIPI</w:t>
      </w:r>
      <w:r>
        <w:rPr>
          <w:rFonts w:ascii="Georgia" w:hAnsi="Georgia" w:cs="Georgia"/>
          <w:sz w:val="34"/>
          <w:sz-cs w:val="34"/>
          <w:spacing w:val="0"/>
          <w:color w:val="121826"/>
        </w:rPr>
        <w:t xml:space="preserve"> to estimate treatment duration on a second-line covalent BTK inhibitor (S01). Its purpose is practical: identify in advance the patients likely to need something else within a short period, so that the next step can be arranged rather than improvised, and so that the BTK inhibitor is not stopped abruptly with the flare risk that carries.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Autologous transplantation at relapse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Autologous transplantation is not only a first-line consolidation question. The EHA–EU guideline records that 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may be considered among standard-risk MCL patients (e.g., those lacking a TP53 mutation or biallelic deletion) who have not undergone ASCT in first remission, and in patients with a chemosensitive lymphoma</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(S01).</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conditions do the work in that sentence: standard risk, and chemosensitive disease. The recommendation is directed at standard-risk, chemosensitive disease and should not be extrapolated into a routine recommendation for TP53-mutated or otherwise high-risk disease. It is not a stated contraindication either — such cases need individual expert review and, wherever possible, trial consideration. Chemosensitivity remains a separate requirement in its own right.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Sequencing cellular therapy, and what happens when it fails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EBMT practice harmonisation and guidelines committee published dedicated cellular therapy recommendations for mantle cell lymphoma on 9 July 2026 (S46), developed from an international expert meeting held in Berlin in September 2025 and covering autologous transplantation, allogeneic transplantation and CAR-T together. It is the most specific guidance available on sequencing these modalities and it fills a gap this guideline previously left open.</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Sequencing cellular therapy, and what happens when it fails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Setting</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CAR-T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Allogeneic HCT</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First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High-risk disease,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only in trials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Standard risk,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outside of clinical trials.</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Second line, BTK-inhibitor exposed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Clinical option, especially in those patients who progressed while still on BTKi, or within a clinical trial.</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Consider as consolidation in salvage-sensitive patients who progressed on BTK-inhibitor-based first-line therapy, where CAR-T is unavailable.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Beyond second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CAR-T-naive: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standard of care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CAR-T-exposed: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for repeat CD19 CART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Clinical option in salvage-sensitive patients.</w:t>
      </w:r>
      <w:r>
        <w:rPr>
          <w:rFonts w:ascii="Georgia" w:hAnsi="Georgia" w:cs="Georgia"/>
          <w:sz w:val="21"/>
          <w:sz-cs w:val="21"/>
          <w:spacing w:val="0"/>
          <w:color w:val="121826"/>
        </w:rPr>
        <w:t xml:space="preserve">”</w:t>
      </w:r>
    </w:p>
    <w:p>
      <w:pPr/>
      <w:r>
        <w:rPr>
          <w:rFonts w:ascii="Arial" w:hAnsi="Arial" w:cs="Arial"/>
          <w:sz w:val="17"/>
          <w:sz-cs w:val="17"/>
          <w:b/>
          <w:spacing w:val="0"/>
          <w:color w:val="771F23"/>
        </w:rPr>
        <w:t xml:space="preserve">ALLOGENEIC TRANSPLANTATION — THE PATHWAY HAS A TERMINUS</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Earlier revisions of this guideline stopped after cellular therapy and said nothing about what to do when it fails. That was an omission, and it matters, because allogeneic transplantation is the only remaining modality with curative intent.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evidence is thin and much of it is extrapolated. The largest series of allogeneic transplantation after CAR-T failure is in large B-cell lymphoma, not mantle cell lymphoma, and reports 1-year overall survival of 59%, progression-free survival 45% and non-relapse mortality 22% in 88 patients. A Japanese registry analysis of 155 patients transplanted for relapsed or refractory mantle cell lymphoma in the post-ibrutinib era (S51) found autologous and allogeneic transplantation gave comparable median overall survival at 28 and 27 months, with disease status at transplant the dominant predictor for the allogeneic group — relapsed or refractory status carried a hazard ratio of 4.10 and failure to achieve complete remission 3.53.</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The practical instruction is about timing.</w:t>
      </w:r>
      <w:r>
        <w:rPr>
          <w:rFonts w:ascii="Georgia" w:hAnsi="Georgia" w:cs="Georgia"/>
          <w:sz w:val="34"/>
          <w:sz-cs w:val="34"/>
          <w:spacing w:val="0"/>
          <w:color w:val="121826"/>
        </w:rPr>
        <w:t xml:space="preserve"> Salvage sensitivity and remission status at transplant drive the outcome, so a transplant discussion belongs </w:t>
      </w:r>
      <w:r>
        <w:rPr>
          <w:rFonts w:ascii="Georgia" w:hAnsi="Georgia" w:cs="Georgia"/>
          <w:sz w:val="34"/>
          <w:sz-cs w:val="34"/>
          <w:i/>
          <w:spacing w:val="0"/>
          <w:color w:val="121826"/>
        </w:rPr>
        <w:t xml:space="preserve">before</w:t>
      </w:r>
      <w:r>
        <w:rPr>
          <w:rFonts w:ascii="Georgia" w:hAnsi="Georgia" w:cs="Georgia"/>
          <w:sz w:val="34"/>
          <w:sz-cs w:val="34"/>
          <w:spacing w:val="0"/>
          <w:color w:val="121826"/>
        </w:rPr>
        <w:t xml:space="preserve"> CAR-T, at the point of covalent BTK-inhibitor progression, rather than as an afterthought once CAR-T has failed and the patient is out of options and out of fitness. Involve the transplant centre early.</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Other options after CAR-T failure are limited. Repeat CD19-directed CAR-T is not recommended. Bispecific antibody therapy has been studied in a population that included prior CAR-T exposure — 26% of the 42 patients in the mosunetuzumab with polatuzumab vedotin study (S40) had received it — but that agent combination is not licensed for mantle cell lymphoma anywhere. Trial entry is frequently the most realistic route.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Cellular therapy toxicity and the attrition problem</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Two toxicity syndromes define the early post-infusion period and both need naming explicitly. </w:t>
      </w:r>
      <w:r>
        <w:rPr>
          <w:rFonts w:ascii="Georgia" w:hAnsi="Georgia" w:cs="Georgia"/>
          <w:sz w:val="34"/>
          <w:sz-cs w:val="34"/>
          <w:b/>
          <w:spacing w:val="0"/>
          <w:color w:val="121826"/>
        </w:rPr>
        <w:t xml:space="preserve">Cytokine release syndrome</w:t>
      </w:r>
      <w:r>
        <w:rPr>
          <w:rFonts w:ascii="Georgia" w:hAnsi="Georgia" w:cs="Georgia"/>
          <w:sz w:val="34"/>
          <w:sz-cs w:val="34"/>
          <w:spacing w:val="0"/>
          <w:color w:val="121826"/>
        </w:rPr>
        <w:t xml:space="preserve"> and </w:t>
      </w:r>
      <w:r>
        <w:rPr>
          <w:rFonts w:ascii="Georgia" w:hAnsi="Georgia" w:cs="Georgia"/>
          <w:sz w:val="34"/>
          <w:sz-cs w:val="34"/>
          <w:b/>
          <w:spacing w:val="0"/>
          <w:color w:val="121826"/>
        </w:rPr>
        <w:t xml:space="preserve">immune effector cell-associated neurotoxicity syndrome (ICANS)</w:t>
      </w:r>
      <w:r>
        <w:rPr>
          <w:rFonts w:ascii="Georgia" w:hAnsi="Georgia" w:cs="Georgia"/>
          <w:sz w:val="34"/>
          <w:sz-cs w:val="34"/>
          <w:spacing w:val="0"/>
          <w:color w:val="121826"/>
        </w:rPr>
        <w:t xml:space="preserve"> are graded and managed under the treating centre's own protocols; this guideline does not reproduce them and is not a substitute for them.</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Their frequency in an older population is not trivial. In an EBMT registry analysis of 233 patients aged 70 or over treated with brexucabtagene autoleucel across 96 centres in 13 countries (S47), the 30-day cumulative incidence of any-grade cytokine release syndrome was 80%, grade 3 or higher 9%; for neurotoxicity the figures were 57% and 22%. One-year overall survival was 74%, progression-free survival 62% and non-relapse mortality 13%. Complete remission at day 100 was 78%.</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findings from that analysis are useful at referral, with an important limit on both. Patients over 75 had outcomes comparable to those aged 70 to 75. On multivariable analysis, ECOG performance status of 2 or worse carried a hazard ratio of 4.50 for overall survival, while chronological age within the studied range was not independently associated with outcome.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That does not make age irrelevant to eligibility.</w:t>
      </w:r>
      <w:r>
        <w:rPr>
          <w:rFonts w:ascii="Georgia" w:hAnsi="Georgia" w:cs="Georgia"/>
          <w:sz w:val="34"/>
          <w:sz-cs w:val="34"/>
          <w:spacing w:val="0"/>
          <w:color w:val="121826"/>
        </w:rPr>
        <w:t xml:space="preserve"> This was a selected cohort of patients aged 70 or over who had already been chosen for brexucabtagene autoleucel, so it cannot answer whether age should influence selection in the first place. Assess age, performance status, comorbidity, disease status and patient preference together, without applying a rigid age cut-off in either direction.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Attrition between decision and infusion remains the practical constraint. United Kingdom intention-to-treat data record substantial loss between approval and infusion, most often from progressive disease. That is the argument for referring at progression rather than after a further line of therapy, and for planning bridging with the goal, in the EBMT formulation, of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symptom control and keeping the patient stable rather than achieving minimal tumour load prior to CART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Options with evidence but no routine England route</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has single-arm activity after covalent BTKi exposure, with overall response 57.8% and median duration of response 21.6 months in BRUIN. There is no demonstrated national MCL commissioning route.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 with venetoclax</w:t>
      </w:r>
      <w:r>
        <w:rPr>
          <w:rFonts w:ascii="Georgia" w:hAnsi="Georgia" w:cs="Georgia"/>
          <w:sz w:val="34"/>
          <w:sz-cs w:val="34"/>
          <w:spacing w:val="0"/>
          <w:color w:val="121826"/>
        </w:rPr>
        <w:t xml:space="preserve"> now has randomised evidence in the relapsed setting. SYMPATICO was a double-blind placebo-controlled phase III trial in 267 patients with one to five prior lines (S38); median progression-free survival was 31.9 months versus 22.1 months, hazard ratio 0.65 (95% CI 0.47–0.88), p=0.0052, with grade 3–4 neutropenia in 31% versus 11%. </w:t>
      </w:r>
      <w:r>
        <w:rPr>
          <w:rFonts w:ascii="Georgia" w:hAnsi="Georgia" w:cs="Georgia"/>
          <w:sz w:val="34"/>
          <w:sz-cs w:val="34"/>
          <w:b/>
          <w:spacing w:val="0"/>
          <w:color w:val="121826"/>
        </w:rPr>
        <w:t xml:space="preserve">CORRECTION_UNRESOLVED — a published correction exists against this report and its content has not been retrieved, so these figures are not finally verified.</w:t>
      </w:r>
      <w:r>
        <w:rPr>
          <w:rFonts w:ascii="Georgia" w:hAnsi="Georgia" w:cs="Georgia"/>
          <w:sz w:val="34"/>
          <w:sz-cs w:val="34"/>
          <w:spacing w:val="0"/>
          <w:color w:val="121826"/>
        </w:rPr>
        <w:t xml:space="preserve"> Seven-year follow-up of the AIM study additionally documents durable remission and elective treatment interruption in a small MRD-negative subgroup (S39). </w:t>
      </w:r>
      <w:r>
        <w:rPr>
          <w:rFonts w:ascii="Georgia" w:hAnsi="Georgia" w:cs="Georgia"/>
          <w:sz w:val="34"/>
          <w:sz-cs w:val="34"/>
          <w:b/>
          <w:spacing w:val="0"/>
          <w:color w:val="121826"/>
        </w:rPr>
        <w:t xml:space="preserve">None of this creates access:</w:t>
      </w:r>
      <w:r>
        <w:rPr>
          <w:rFonts w:ascii="Georgia" w:hAnsi="Georgia" w:cs="Georgia"/>
          <w:sz w:val="34"/>
          <w:sz-cs w:val="34"/>
          <w:spacing w:val="0"/>
          <w:color w:val="121826"/>
        </w:rPr>
        <w:t xml:space="preserve"> there is no Great Britain mantle cell lymphoma marketing authorisation for the combination and the NICE appraisal was suspended on 20 January 2026 because an MHRA application was no longer being pursued.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Glofitamab</w:t>
      </w:r>
      <w:r>
        <w:rPr>
          <w:rFonts w:ascii="Georgia" w:hAnsi="Georgia" w:cs="Georgia"/>
          <w:sz w:val="34"/>
          <w:sz-cs w:val="34"/>
          <w:spacing w:val="0"/>
          <w:color w:val="121826"/>
        </w:rPr>
        <w:t xml:space="preserve"> has fixed-duration phase I/II activity after prior BTKi, with overall response 85% and 74.2% among BTKi-exposed patients, but no current MCL marketing authorisation or routine commissioning route. The referable route in the United Kingdom is the GLOBRYTE randomised phase III trial — see section 16.</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Sonrotoclax</w:t>
      </w:r>
      <w:r>
        <w:rPr>
          <w:rFonts w:ascii="Georgia" w:hAnsi="Georgia" w:cs="Georgia"/>
          <w:sz w:val="34"/>
          <w:sz-cs w:val="34"/>
          <w:spacing w:val="0"/>
          <w:color w:val="121826"/>
        </w:rPr>
        <w:t xml:space="preserve"> has phase I/II monotherapy activity after anti-CD20 and covalent BTKi exposure, with overall response 52.4% and median progression-free survival 6.5 months. </w:t>
      </w:r>
      <w:r>
        <w:rPr>
          <w:rFonts w:ascii="Georgia" w:hAnsi="Georgia" w:cs="Georgia"/>
          <w:sz w:val="34"/>
          <w:sz-cs w:val="34"/>
          <w:b/>
          <w:spacing w:val="0"/>
          <w:color w:val="121826"/>
        </w:rPr>
        <w:t xml:space="preserve">An erratum has been published against that report and the corrected field could not be established from accessible metadata, so these figures are not finally verified.</w:t>
      </w:r>
      <w:r>
        <w:rPr>
          <w:rFonts w:ascii="Georgia" w:hAnsi="Georgia" w:cs="Georgia"/>
          <w:sz w:val="34"/>
          <w:sz-cs w:val="34"/>
          <w:spacing w:val="0"/>
          <w:color w:val="121826"/>
        </w:rPr>
        <w:t xml:space="preserve"> There is no Great Britain licence. The referable route in the United Kingdom is the CELESTIAL-RRMCL randomised phase III trial — see section 16.</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Mosunetuzumab with polatuzumab vedotin</w:t>
      </w:r>
      <w:r>
        <w:rPr>
          <w:rFonts w:ascii="Georgia" w:hAnsi="Georgia" w:cs="Georgia"/>
          <w:sz w:val="34"/>
          <w:sz-cs w:val="34"/>
          <w:spacing w:val="0"/>
          <w:color w:val="121826"/>
        </w:rPr>
        <w:t xml:space="preserve"> reported a phase II study in 42 patients after BTK-inhibitor therapy, 26% of whom had prior CAR-T and 48% of whom had TP53 aberration (S40): overall response 88.1%, complete response 78.6% and median progression-free survival 18.6 months, with cytokine release syndrome in 42.9%, all grade 1–2. This is a small single-arm study and neither agent is licensed for mantle cell lymphoma in any jurisdiction surveyed.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Bortezomib added to rituximab, high-dose cytarabine and dexamethasone</w:t>
      </w:r>
      <w:r>
        <w:rPr>
          <w:rFonts w:ascii="Georgia" w:hAnsi="Georgia" w:cs="Georgia"/>
          <w:sz w:val="34"/>
          <w:sz-cs w:val="34"/>
          <w:spacing w:val="0"/>
          <w:color w:val="121826"/>
        </w:rPr>
        <w:t xml:space="preserve"> was tested in a randomised open-label phase III trial of the European MCL Network in 128 patients. Median time to treatment failure was 12 versus 2.6 months with a nominal p=0.045, but the MIPI-adjusted hazard ratio was 0.69 (95% CI 0.47–1.02), crossing the null. </w:t>
      </w:r>
      <w:r>
        <w:rPr>
          <w:rFonts w:ascii="Georgia" w:hAnsi="Georgia" w:cs="Georgia"/>
          <w:sz w:val="34"/>
          <w:sz-cs w:val="34"/>
          <w:b/>
          <w:spacing w:val="0"/>
          <w:color w:val="121826"/>
        </w:rPr>
        <w:t xml:space="preserve">The trial was under-recruited: it suggests activity but retains material statistical uncertainty.</w:t>
      </w:r>
      <w:r>
        <w:rPr>
          <w:rFonts w:ascii="Georgia" w:hAnsi="Georgia" w:cs="Georgia"/>
          <w:sz w:val="34"/>
          <w:sz-cs w:val="34"/>
          <w:spacing w:val="0"/>
          <w:color w:val="121826"/>
        </w:rPr>
        <w:t xml:space="preserve"> Greater grade 3 or higher haematological toxicity. No regimen-specific technology appraisal in this setting.</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Do not use unadjusted cross-trial response rates to rank pirtobrutinib, cellular therapy, bispecific antibodies or investigational BCL2 inhibition.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V2.0 STATEMENT WAS SUBSTANTIALLY RIGHT</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earlier working copy of this revision said the v2.0 claim that GID-TA10858 / ID3975 returned to the NICE work programme on 14 July 2026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could not be reproduced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withdrew it. </w:t>
      </w:r>
      <w:r>
        <w:rPr>
          <w:rFonts w:ascii="Georgia" w:hAnsi="Georgia" w:cs="Georgia"/>
          <w:sz w:val="34"/>
          <w:sz-cs w:val="34"/>
          <w:b/>
          <w:spacing w:val="0"/>
          <w:color w:val="121826"/>
        </w:rPr>
        <w:t xml:space="preserve">That withdrawal was wrong.</w:t>
      </w:r>
      <w:r>
        <w:rPr>
          <w:rFonts w:ascii="Georgia" w:hAnsi="Georgia" w:cs="Georgia"/>
          <w:sz w:val="34"/>
          <w:sz-cs w:val="34"/>
          <w:spacing w:val="0"/>
          <w:color w:val="121826"/>
        </w:rPr>
        <w:t xml:space="preserve"> An independent audit on 30 July 2026 read the live project page and found a timeline entry dated </w:t>
      </w:r>
      <w:r>
        <w:rPr>
          <w:rFonts w:ascii="Georgia" w:hAnsi="Georgia" w:cs="Georgia"/>
          <w:sz w:val="34"/>
          <w:sz-cs w:val="34"/>
          <w:b/>
          <w:spacing w:val="0"/>
          <w:color w:val="121826"/>
        </w:rPr>
        <w:t xml:space="preserve">14 July 2026</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progress. Appraisal scheduled back into the work programme, anticipated to begin in late September 2026.</w:t>
      </w:r>
      <w:r>
        <w:rPr>
          <w:rFonts w:ascii="Georgia" w:hAnsi="Georgia" w:cs="Georgia"/>
          <w:sz w:val="34"/>
          <w:sz-cs w:val="34"/>
          <w:spacing w:val="0"/>
          <w:color w:val="121826"/>
        </w:rPr>
        <w:t xml:space="preserve">”</w:t>
      </w:r>
    </w:p>
    <w:p>
      <w:pPr>
        <w:spacing w:after="340"/>
      </w:pPr>
      <w:r>
        <w:rPr>
          <w:rFonts w:ascii="Georgia" w:hAnsi="Georgia" w:cs="Georgia"/>
          <w:sz w:val="34"/>
          <w:sz-cs w:val="34"/>
          <w:b/>
          <w:spacing w:val="0"/>
          <w:color w:val="121826"/>
        </w:rPr>
        <w:t xml:space="preserve">The official page is internally inconsistent, and both facts should be recorded.</w:t>
      </w:r>
      <w:r>
        <w:rPr>
          <w:rFonts w:ascii="Georgia" w:hAnsi="Georgia" w:cs="Georgia"/>
          <w:sz w:val="34"/>
          <w:sz-cs w:val="34"/>
          <w:spacing w:val="0"/>
          <w:color w:val="121826"/>
        </w:rPr>
        <w:t xml:space="preserve"> Its headline status reads </w:t>
      </w:r>
      <w:r>
        <w:rPr>
          <w:rFonts w:ascii="Georgia" w:hAnsi="Georgia" w:cs="Georgia"/>
          <w:sz w:val="34"/>
          <w:sz-cs w:val="34"/>
          <w:i/>
          <w:spacing w:val="0"/>
          <w:color w:val="121826"/>
        </w:rPr>
        <w:t xml:space="preserve">In progress</w:t>
      </w:r>
      <w:r>
        <w:rPr>
          <w:rFonts w:ascii="Georgia" w:hAnsi="Georgia" w:cs="Georgia"/>
          <w:sz w:val="34"/>
          <w:sz-cs w:val="34"/>
          <w:spacing w:val="0"/>
          <w:color w:val="121826"/>
        </w:rPr>
        <w:t xml:space="preserve">, while its timeline still carries the entry of 29 March 2024 stating that the company would not provide an evidence submission and that the appraisal was suspended. Describing the appraisal simply as “suspended” is therefore incomplete, and so is describing it simply as active.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document’s own automated retrieval continued to return a page showing status </w:t>
      </w:r>
      <w:r>
        <w:rPr>
          <w:rFonts w:ascii="Georgia" w:hAnsi="Georgia" w:cs="Georgia"/>
          <w:sz w:val="34"/>
          <w:sz-cs w:val="34"/>
          <w:i/>
          <w:spacing w:val="0"/>
          <w:color w:val="121826"/>
        </w:rPr>
        <w:t xml:space="preserve">Suspended</w:t>
      </w:r>
      <w:r>
        <w:rPr>
          <w:rFonts w:ascii="Georgia" w:hAnsi="Georgia" w:cs="Georgia"/>
          <w:sz w:val="34"/>
          <w:sz-cs w:val="34"/>
          <w:spacing w:val="0"/>
          <w:color w:val="121826"/>
        </w:rPr>
        <w:t xml:space="preserve"> with no entry later than 29 March 2024, on repeated attempts. That is recorded here so the discrepancy is visible rather than silently resolved. </w:t>
      </w:r>
      <w:r>
        <w:rPr>
          <w:rFonts w:ascii="Georgia" w:hAnsi="Georgia" w:cs="Georgia"/>
          <w:sz w:val="34"/>
          <w:sz-cs w:val="34"/>
          <w:b/>
          <w:spacing w:val="0"/>
          <w:color w:val="121826"/>
        </w:rPr>
        <w:t xml:space="preserve">Open the page directly before relying on either reading.</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Separately, a </w:t>
      </w:r>
      <w:r>
        <w:rPr>
          <w:rFonts w:ascii="Georgia" w:hAnsi="Georgia" w:cs="Georgia"/>
          <w:sz w:val="34"/>
          <w:sz-cs w:val="34"/>
          <w:b/>
          <w:spacing w:val="0"/>
          <w:color w:val="121826"/>
        </w:rPr>
        <w:t xml:space="preserve">second and distinct</w:t>
      </w:r>
      <w:r>
        <w:rPr>
          <w:rFonts w:ascii="Georgia" w:hAnsi="Georgia" w:cs="Georgia"/>
          <w:sz w:val="34"/>
          <w:sz-cs w:val="34"/>
          <w:spacing w:val="0"/>
          <w:color w:val="121826"/>
        </w:rPr>
        <w:t xml:space="preserve"> appraisal exists that v2.0 does not record: </w:t>
      </w:r>
      <w:r>
        <w:rPr>
          <w:rFonts w:ascii="Georgia" w:hAnsi="Georgia" w:cs="Georgia"/>
          <w:sz w:val="34"/>
          <w:sz-cs w:val="34"/>
          <w:b/>
          <w:spacing w:val="0"/>
          <w:color w:val="121826"/>
        </w:rPr>
        <w:t xml:space="preserve">GID-TA11639 / ID6493, pirtobrutinib for relapsed or refractory mantle cell lymphoma untreated with a BTK inhibitor</w:t>
      </w:r>
      <w:r>
        <w:rPr>
          <w:rFonts w:ascii="Georgia" w:hAnsi="Georgia" w:cs="Georgia"/>
          <w:sz w:val="34"/>
          <w:sz-cs w:val="34"/>
          <w:spacing w:val="0"/>
          <w:color w:val="121826"/>
        </w:rPr>
        <w:t xml:space="preserve">, status </w:t>
      </w:r>
      <w:r>
        <w:rPr>
          <w:rFonts w:ascii="Georgia" w:hAnsi="Georgia" w:cs="Georgia"/>
          <w:sz w:val="34"/>
          <w:sz-cs w:val="34"/>
          <w:i/>
          <w:spacing w:val="0"/>
          <w:color w:val="121826"/>
        </w:rPr>
        <w:t xml:space="preserve">awaiting development</w:t>
      </w:r>
      <w:r>
        <w:rPr>
          <w:rFonts w:ascii="Georgia" w:hAnsi="Georgia" w:cs="Georgia"/>
          <w:sz w:val="34"/>
          <w:sz-cs w:val="34"/>
          <w:spacing w:val="0"/>
          <w:color w:val="121826"/>
        </w:rPr>
        <w:t xml:space="preserve">. Its timeline carries entries dated 26 March 2026 and 1 July 2026, and the 26 March entry anticipates the appraisal beginning in </w:t>
      </w:r>
      <w:r>
        <w:rPr>
          <w:rFonts w:ascii="Georgia" w:hAnsi="Georgia" w:cs="Georgia"/>
          <w:sz w:val="34"/>
          <w:sz-cs w:val="34"/>
          <w:b/>
          <w:spacing w:val="0"/>
          <w:color w:val="121826"/>
        </w:rPr>
        <w:t xml:space="preserve">late October 2026</w:t>
      </w:r>
      <w:r>
        <w:rPr>
          <w:rFonts w:ascii="Georgia" w:hAnsi="Georgia" w:cs="Georgia"/>
          <w:sz w:val="34"/>
          <w:sz-cs w:val="34"/>
          <w:spacing w:val="0"/>
          <w:color w:val="121826"/>
        </w:rPr>
        <w:t xml:space="preserve">. Note the population: that appraisal covers patients who have </w:t>
      </w:r>
      <w:r>
        <w:rPr>
          <w:rFonts w:ascii="Georgia" w:hAnsi="Georgia" w:cs="Georgia"/>
          <w:sz w:val="34"/>
          <w:sz-cs w:val="34"/>
          <w:i/>
          <w:spacing w:val="0"/>
          <w:color w:val="121826"/>
        </w:rPr>
        <w:t xml:space="preserve">not</w:t>
      </w:r>
      <w:r>
        <w:rPr>
          <w:rFonts w:ascii="Georgia" w:hAnsi="Georgia" w:cs="Georgia"/>
          <w:sz w:val="34"/>
          <w:sz-cs w:val="34"/>
          <w:spacing w:val="0"/>
          <w:color w:val="121826"/>
        </w:rPr>
        <w:t xml:space="preserve"> had a BTK inhibitor, which is not the licensed post-BTKi indication.</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RELAPSED AND REFRACTORY DIVERGENCE</w:t>
      </w:r>
      <w:r>
        <w:rPr>
          <w:rFonts w:ascii="Arial" w:hAnsi="Arial" w:cs="Arial"/>
          <w:sz w:val="17"/>
          <w:sz-cs w:val="17"/>
          <w:b/>
          <w:spacing w:val="0"/>
          <w:color w:val="664811"/>
        </w:rPr>
        <w:t xml:space="preserve"/>
      </w:r>
    </w:p>
    <w:p>
      <w:pPr>
        <w:spacing w:after="340"/>
      </w:pPr>
      <w:r>
        <w:rPr>
          <w:rFonts w:ascii="Georgia" w:hAnsi="Georgia" w:cs="Georgia"/>
          <w:sz w:val="34"/>
          <w:sz-cs w:val="34"/>
          <w:b/>
          <w:spacing w:val="0"/>
          <w:color w:val="121826"/>
        </w:rPr>
        <w:t xml:space="preserve">Ibrutinib:</w:t>
      </w:r>
      <w:r>
        <w:rPr>
          <w:rFonts w:ascii="Georgia" w:hAnsi="Georgia" w:cs="Georgia"/>
          <w:sz w:val="34"/>
          <w:sz-cs w:val="34"/>
          <w:spacing w:val="0"/>
          <w:color w:val="121826"/>
        </w:rPr>
        <w:t xml:space="preserve"> withdrawn for mantle cell lymphoma in the United States; retained in the European Union; routinely commissioned in England after exactly one line under TA502.</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Zanubrutinib:</w:t>
      </w:r>
      <w:r>
        <w:rPr>
          <w:rFonts w:ascii="Georgia" w:hAnsi="Georgia" w:cs="Georgia"/>
          <w:sz w:val="34"/>
          <w:sz-cs w:val="34"/>
          <w:spacing w:val="0"/>
          <w:color w:val="121826"/>
        </w:rPr>
        <w:t xml:space="preserve"> approved in the United States under accelerated approval for relapsed or refractory disease after at least one prior therapy, and recommended by NICE under TA1081 in England. </w:t>
      </w:r>
      <w:r>
        <w:rPr>
          <w:rFonts w:ascii="Georgia" w:hAnsi="Georgia" w:cs="Georgia"/>
          <w:sz w:val="34"/>
          <w:sz-cs w:val="34"/>
          <w:b/>
          <w:spacing w:val="0"/>
          <w:color w:val="121826"/>
        </w:rPr>
        <w:t xml:space="preserve">Not authorised for mantle cell lymphoma in the European Union at all.</w:t>
      </w:r>
      <w:r>
        <w:rPr>
          <w:rFonts w:ascii="Georgia" w:hAnsi="Georgia" w:cs="Georgia"/>
          <w:sz w:val="34"/>
          <w:sz-cs w:val="34"/>
          <w:spacing w:val="0"/>
          <w:color w:val="121826"/>
        </w:rPr>
        <w:t xml:space="preserve"> A European algorithm will not contain 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United States accelerated approval 27 January 2023 after at least two lines including a BTK inhibitor; European Union conditional marketing authorisation 30 October 2023 after previous BTK-inhibitor treatment. Great Britain authorisation exists; no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Brexucabtagene autoleucel:</w:t>
      </w:r>
      <w:r>
        <w:rPr>
          <w:rFonts w:ascii="Georgia" w:hAnsi="Georgia" w:cs="Georgia"/>
          <w:sz w:val="34"/>
          <w:sz-cs w:val="34"/>
          <w:spacing w:val="0"/>
          <w:color w:val="121826"/>
        </w:rPr>
        <w:t xml:space="preserve"> converted to </w:t>
      </w:r>
      <w:r>
        <w:rPr>
          <w:rFonts w:ascii="Georgia" w:hAnsi="Georgia" w:cs="Georgia"/>
          <w:sz w:val="34"/>
          <w:sz-cs w:val="34"/>
          <w:i/>
          <w:spacing w:val="0"/>
          <w:color w:val="121826"/>
        </w:rPr>
        <w:t xml:space="preserve">full</w:t>
      </w:r>
      <w:r>
        <w:rPr>
          <w:rFonts w:ascii="Georgia" w:hAnsi="Georgia" w:cs="Georgia"/>
          <w:sz w:val="34"/>
          <w:sz-cs w:val="34"/>
          <w:spacing w:val="0"/>
          <w:color w:val="121826"/>
        </w:rPr>
        <w:t xml:space="preserve"> United States approval on 2 April 2026 on the strength of ZUMA-2 cohort 3; conditional European Union authorisation. In England, TA677 managed access remains live while the post-managed-access review remains unresolved following a partly upheld appeal and remittal to committee, as described above — an unusual divergence in which the evidence base strengthened internationally while the domestic funding route came under challenge.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Lisocabtagene maraleucel:</w:t>
      </w:r>
      <w:r>
        <w:rPr>
          <w:rFonts w:ascii="Georgia" w:hAnsi="Georgia" w:cs="Georgia"/>
          <w:sz w:val="34"/>
          <w:sz-cs w:val="34"/>
          <w:spacing w:val="0"/>
          <w:color w:val="121826"/>
        </w:rPr>
        <w:t xml:space="preserve"> United States accelerated approval 30 May 2024; European Commission approval of the mantle cell lymphoma extension 24 November 2025.</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Sonrotoclax:</w:t>
      </w:r>
      <w:r>
        <w:rPr>
          <w:rFonts w:ascii="Georgia" w:hAnsi="Georgia" w:cs="Georgia"/>
          <w:sz w:val="34"/>
          <w:sz-cs w:val="34"/>
          <w:spacing w:val="0"/>
          <w:color w:val="121826"/>
        </w:rPr>
        <w:t xml:space="preserve"> United States accelerated approval </w:t>
      </w:r>
      <w:r>
        <w:rPr>
          <w:rFonts w:ascii="Georgia" w:hAnsi="Georgia" w:cs="Georgia"/>
          <w:sz w:val="34"/>
          <w:sz-cs w:val="34"/>
          <w:b/>
          <w:spacing w:val="0"/>
          <w:color w:val="121826"/>
        </w:rPr>
        <w:t xml:space="preserve">13 May 2026</w:t>
      </w:r>
      <w:r>
        <w:rPr>
          <w:rFonts w:ascii="Georgia" w:hAnsi="Georgia" w:cs="Georgia"/>
          <w:sz w:val="34"/>
          <w:sz-cs w:val="34"/>
          <w:spacing w:val="0"/>
          <w:color w:val="121826"/>
        </w:rPr>
        <w:t xml:space="preserve"> for adults with relapsed or refractory mantle cell lymphoma after at least two lines of systemic therapy including a BTK inhibitor — the first BCL2 inhibitor approved in mantle cell lymphoma in any jurisdiction. No European Union authorisation and no Great Britain licence were identified. United Kingdom access is through trial entry only.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Glofitamab and epcoritamab:</w:t>
      </w:r>
      <w:r>
        <w:rPr>
          <w:rFonts w:ascii="Georgia" w:hAnsi="Georgia" w:cs="Georgia"/>
          <w:sz w:val="34"/>
          <w:sz-cs w:val="34"/>
          <w:spacing w:val="0"/>
          <w:color w:val="121826"/>
        </w:rPr>
        <w:t xml:space="preserve"> neither holds a mantle cell lymphoma indication in the United States or the European Union. Use in mantle cell lymphoma is investigational everywhere; a diffuse large B-cell lymphoma licence must never be extrapolated.</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10. Central nervous system involvement</w:t>
      </w:r>
      <w:r>
        <w:rPr>
          <w:rFonts w:ascii="Georgia" w:hAnsi="Georgia" w:cs="Georgia"/>
          <w:sz w:val="51"/>
          <w:sz-cs w:val="51"/>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b/>
          <w:spacing w:val="0"/>
          <w:color w:val="121826"/>
        </w:rPr>
        <w:t xml:space="preserve">Do not give routine CNS prophylaxis.</w:t>
      </w:r>
      <w:r>
        <w:rPr>
          <w:rFonts w:ascii="Georgia" w:hAnsi="Georgia" w:cs="Georgia"/>
          <w:sz w:val="34"/>
          <w:sz-cs w:val="34"/>
          <w:spacing w:val="0"/>
          <w:color w:val="121826"/>
        </w:rPr>
        <w:t xml:space="preserve"> Do not perform a lumbar puncture or craniospinal MRI unless there are neurological signs or symptoms. If CNS disease appears and the patient has never had a covalent BTK inhibitor, ibrutinib is the suggested option.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CNS involvement is uncommon — under 1% of asymptomatic patients at diagnosis (S01) — but it is asked about at almost every MDT where a patient has blastoid disease or a high Ki-67. A guideline that says nothing invites high-dose methotrexate being given without a basis.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Investigation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Lumbar puncture with cytospin and immunophenotyping, together with craniospinal MRI, is indicated </w:t>
      </w:r>
      <w:r>
        <w:rPr>
          <w:rFonts w:ascii="Georgia" w:hAnsi="Georgia" w:cs="Georgia"/>
          <w:sz w:val="34"/>
          <w:sz-cs w:val="34"/>
          <w:b/>
          <w:spacing w:val="0"/>
          <w:color w:val="121826"/>
        </w:rPr>
        <w:t xml:space="preserve">only where there are concerning neurological signs or symptoms</w:t>
      </w:r>
      <w:r>
        <w:rPr>
          <w:rFonts w:ascii="Georgia" w:hAnsi="Georgia" w:cs="Georgia"/>
          <w:sz w:val="34"/>
          <w:sz-cs w:val="34"/>
          <w:spacing w:val="0"/>
          <w:color w:val="121826"/>
        </w:rPr>
        <w:t xml:space="preserve"> (S42). A routine lumbar puncture at diagnosis in a neurologically well patient is not advised (S01).</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Risk of CNS involvement is higher with high Ki-67, blastoid histology, raised LDH, worse performance status and a high clinical risk score (S42). Higher risk raises your index of suspicion; it does not by itself justify investigating an asymptomatic patient.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Prophylaxis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BSH is explicit: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Primary CNS prophylaxis with CNS penetrating agents in front line MCL treatment algorithms is not recommended (2C)</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w:t>
      </w:r>
      <w:r>
        <w:rPr>
          <w:rFonts w:ascii="Georgia" w:hAnsi="Georgia" w:cs="Georgia"/>
          <w:sz w:val="34"/>
          <w:sz-cs w:val="34"/>
          <w:b/>
          <w:spacing w:val="0"/>
          <w:color w:val="121826"/>
        </w:rPr>
        <w:t xml:space="preserve">This guideline adopts that position as written.</w:t>
      </w:r>
      <w:r>
        <w:rPr>
          <w:rFonts w:ascii="Georgia" w:hAnsi="Georgia" w:cs="Georgia"/>
          <w:sz w:val="34"/>
          <w:sz-cs w:val="34"/>
          <w:spacing w:val="0"/>
          <w:color w:val="121826"/>
        </w:rPr>
        <w:t xml:space="preserve"> It applies to high-risk patients too — the elevated risk in blastoid or high-Ki-67 disease has not been shown to be modifiable by prophylaxis.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Treating CNS disease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CNS disease occurs and the patient has not previously had a covalent BTK inhibitor, BSH suggests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ibrutinib for CNS relapse in patients who are previously cBTKi naïve (2C)</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The EHA–EU guideline records a covalent BTK inhibitor with venetoclax as an option in the same population (S01, graded IV, B); note that the combination has no Great Britain mantle cell lymphoma licence.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CAR-T has been given to patients with CNS disease. The EBMT guidance (S46) records that response rates appear comparable to patients without CNS involvement, but that response duration is short, particularly where CNS disease is active at lymphodepletion. Discuss with the cellular therapy centre rather than assuming eligibility either way.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EVIDENCE TIER FOR THIS SECTION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These recommendations are </w:t>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 adopted from society guidelines without independent verification of the underlying evidence. Both BSH recommendations are themselves graded 2C, which is weak. Treat them as the best available position rather than a settled one.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11. Response assessment, MRD and maintenance</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Assess response using the Lugano criteria unless a trial protocol specifies otherwise, and record which criteria were applied. Use a pre-specified response-assessment plan appropriate to the regimen and disease sites. Record whether MRD is being used for prognosis, trial-defined response adaptation or research. Do not use MRD negativity alone to omit maintenance outside a validated protocol.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Maintenance decisions must retain the exact induction population, evidence design, duration and infection burden. Evidence from one induction platform must not be silently transferred to another.</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12. Supportive care and treatment safety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Before treatment, complete regimen-specific infection, vaccination, viral screening, drug-interaction, bleeding, cardiac, renal and tumour-lysis assessment. Use current local and national supportive-care policies for antimicrobial prophylaxis, immunoglobulin replacement, growth-factor support and vaccination.</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BEFORE A BTK INHIBITOR OR AN ANTHRACYCLINE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Arrange </w:t>
      </w:r>
      <w:r>
        <w:rPr>
          <w:rFonts w:ascii="Georgia" w:hAnsi="Georgia" w:cs="Georgia"/>
          <w:sz w:val="34"/>
          <w:sz-cs w:val="34"/>
          <w:b/>
          <w:spacing w:val="0"/>
          <w:color w:val="121826"/>
        </w:rPr>
        <w:t xml:space="preserve">cardiac evaluation</w:t>
      </w:r>
      <w:r>
        <w:rPr>
          <w:rFonts w:ascii="Georgia" w:hAnsi="Georgia" w:cs="Georgia"/>
          <w:sz w:val="34"/>
          <w:sz-cs w:val="34"/>
          <w:spacing w:val="0"/>
          <w:color w:val="121826"/>
        </w:rPr>
        <w:t xml:space="preserve"> before starting either (S01). Check renal function. Review anticoagulation and antiplatelet therapy, and review interacting medicines — the BTK-inhibitor SmPCs carry specific dose reductions for concomitant CYP3A4 inhibitors, and those are in the treatment cards.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After cellular therapy — what the societies specify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Your treating centre's protocol governs. The figures below are recorded so that a referring team knows what to expect and can check nothing has been missed at handover. They come from the EHA–EU guideline (S01) unless stated.</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After cellular therapy — what the societies specify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Measure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What is specified</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Immunoglobulin replacement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For patients with IgG below 400 mg/dL </w:t>
      </w:r>
      <w:r>
        <w:rPr>
          <w:rFonts w:ascii="Georgia" w:hAnsi="Georgia" w:cs="Georgia"/>
          <w:sz w:val="21"/>
          <w:sz-cs w:val="21"/>
          <w:b/>
          <w:spacing w:val="0"/>
          <w:color w:val="121826"/>
        </w:rPr>
        <w:t xml:space="preserve">and severe or recurrent infections, particularly sinopulmonary infections</w:t>
      </w:r>
      <w:r>
        <w:rPr>
          <w:rFonts w:ascii="Georgia" w:hAnsi="Georgia" w:cs="Georgia"/>
          <w:sz w:val="21"/>
          <w:sz-cs w:val="21"/>
          <w:spacing w:val="0"/>
          <w:color w:val="121826"/>
        </w:rPr>
        <w:t xml:space="preserve"> — a low IgG alone is not the trigger: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400–500 mg/kg IVIG q 3–4 weeks or 100–200 mg/kg q 1–2 weeks subcutaneous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following local immunology and pharmacy protocols. Note EBMT (S46) is more cautious, holding that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current evidence is still insufficient to support prophylactic immunoglobulin administration policies</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Antiviral prophylaxis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acyclovir 200–400 mg orally twice a day or valaciclovir 500 mg orally twice a day</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Pneumocystis prophylaxis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Co-trimoxazole two to three times weekly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Duration of antiviral and PJP cover</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See the note below — the societies differ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Vaccination restart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COVID-19 and influenza at 3 months; other inactivated vaccines at 6 months; live vaccines not before 1 year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Viral monitoring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 patients </w:t>
      </w:r>
      <w:r>
        <w:rPr>
          <w:rFonts w:ascii="Georgia" w:hAnsi="Georgia" w:cs="Georgia"/>
          <w:sz w:val="21"/>
          <w:sz-cs w:val="21"/>
          <w:b/>
          <w:spacing w:val="0"/>
          <w:color w:val="121826"/>
        </w:rPr>
        <w:t xml:space="preserve">known to be seropositive</w:t>
      </w:r>
      <w:r>
        <w:rPr>
          <w:rFonts w:ascii="Georgia" w:hAnsi="Georgia" w:cs="Georgia"/>
          <w:sz w:val="21"/>
          <w:sz-cs w:val="21"/>
          <w:spacing w:val="0"/>
          <w:color w:val="121826"/>
        </w:rPr>
        <w:t xml:space="preserve">, monitor the relevant CMV, EBV or hepatitis B marker every 3 months for the first 24 months. Increase monitoring per the treating centre’s protocol if viral levels become detectable. This is not a blanket schedule for every recipient.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Growth factor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G-CSF until neutrophils exceed 0.5 × 10⁹/L; GM-CSF is not recommended early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Antibacterial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For prolonged neutropenia, particularly beyond 30 days, and/or long-term corticosteroid treatment, consider antibacterial prophylaxis according to local policy.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Antifungal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Consider fluconazole or a mould-active azole </w:t>
      </w:r>
      <w:r>
        <w:rPr>
          <w:rFonts w:ascii="Georgia" w:hAnsi="Georgia" w:cs="Georgia"/>
          <w:sz w:val="21"/>
          <w:sz-cs w:val="21"/>
          <w:b/>
          <w:spacing w:val="0"/>
          <w:color w:val="121826"/>
        </w:rPr>
        <w:t xml:space="preserve">only where fungal risk is high</w:t>
      </w:r>
      <w:r>
        <w:rPr>
          <w:rFonts w:ascii="Georgia" w:hAnsi="Georgia" w:cs="Georgia"/>
          <w:sz w:val="21"/>
          <w:sz-cs w:val="21"/>
          <w:spacing w:val="0"/>
          <w:color w:val="121826"/>
        </w:rPr>
        <w:t xml:space="preserve">, taking account of severe or prolonged neutropenia, recent transplantation, prolonged corticosteroid exposure and BTK-inhibitor treatment. BTK-inhibitor exposure alone does not trigger prophylaxis. Check drug interactions before prescribing — azoles are CYP3A4 inhibitors and the BTK-inhibitor SmPCs carry specific dose reductions.</w:t>
      </w:r>
      <w:r>
        <w:rPr>
          <w:rFonts w:ascii="Georgia" w:hAnsi="Georgia" w:cs="Georgia"/>
          <w:sz w:val="21"/>
          <w:sz-cs w:val="21"/>
          <w:spacing w:val="0"/>
          <w:color w:val="121826"/>
        </w:rPr>
        <w:t xml:space="preserve"/>
      </w:r>
    </w:p>
    <w:p>
      <w:pPr/>
      <w:r>
        <w:rPr>
          <w:rFonts w:ascii="Arial" w:hAnsi="Arial" w:cs="Arial"/>
          <w:sz w:val="17"/>
          <w:sz-cs w:val="17"/>
          <w:b/>
          <w:spacing w:val="0"/>
          <w:color w:val="3F2A56"/>
        </w:rPr>
        <w:t xml:space="preserve">WHERE THE SOCIETIES DIFFER — PROPHYLAXIS DURATION</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EHA specifies pneumocystis prophylaxis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 a minimum of 6 months and until CD4 count &gt;200 cells/ml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BSH specifies antiviral and anti-pneumocystis prophylaxis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 at least 1 year and until CD4 count &gt;0.2 × 10⁹/L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The CD4 threshold is the same; the minimum duration is not.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guideline follows BSH: continue for at least 12 months and until CD4 recovery.</w:t>
      </w:r>
      <w:r>
        <w:rPr>
          <w:rFonts w:ascii="Georgia" w:hAnsi="Georgia" w:cs="Georgia"/>
          <w:sz w:val="34"/>
          <w:sz-cs w:val="34"/>
          <w:spacing w:val="0"/>
          <w:color w:val="121826"/>
        </w:rPr>
        <w:t xml:space="preserve"> Where a local protocol stops at 6 months, that is defensible against EHA — but record which position was applied rather than leaving it unstated.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MCL efficacy evidence records clinically important infection, cytopenia and treatment-related mortality signals but does not establish one universal prophylaxis schedule. CAR-T and bispecific pathways require their dedicated supportive-care and toxicity-management protocols, including graded management of cytokine release syndrome and immune effector cell-associated neurotoxicity syndrome, tocilizumab availability before infusion, and the monitoring and proximity requirements set out in each product SmPC. Section 9 records the observed frequency of both syndromes in an older population and the attrition between referral and infusion.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13. Follow-up and MDT documentation</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After first-line systemic treatment, continue long-term follow-up with history, examination and laboratory assessment. Document disease status, treatment exposure, response, toxicity, infection, patient priorities and the planned trigger for re-imaging or treatment. Suspected transformation or an unexpectedly aggressive relapse requires prompt re-staging and tissue confirmation where feasible.</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DO NOT USE PET-CT FOR SURVEILLANCE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The EHA–EU guideline is explicit: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PET-CT should not be used for surveillance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(S01). Use it to answer a question, not to look for one.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Surveillance schedule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schedule below is the EHA–EU one (S01). Local practice varies and this is not a mandate, but a stated schedule is easier to audit than “clinically directed”.</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Surveillance schedule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Period after treatment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Clinical and laboratory review</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Imaging</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First 2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Every 3 to 4 months — history, examination, blood count and differential, chemistry including LDH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Optional CT or ultrasound every 3 to 6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Years 3 to 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Every 6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Optional CT or ultrasound every 6 to 12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Beyond 5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Annually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Only where progression is suspected</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Patients on observation rather than treatment are reviewed every 3 months initially, then every 3 to 6 months, with imaging as clinically required (S01, graded V, B). Where the neck has been irradiated, check thyroid function annually.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When treatment is no longer the right answer</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Some patients will prioritise how they feel over how long they live, and that is a legitimate choice rather than a failure of the pathway. BSH puts it directly: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many cases, patients may prioritise quality of life and symptom relief over prolonging life… best supportive/palliative care (including radiotherapy) may be appropriate, either alongside or instead of systemic anti-cancer therapy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practical points. Palliative radiotherapy at 2 Gy given twice is effective for symptom control and does not require fitness for systemic treatment — see the limited-stage section. And involving palliative care alongside active treatment is not the same as stopping treatment; saying so plainly to the patient usually helps.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Minimum audit dataset</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completion or documented infeasibility of morphology, Ki-67 and TP53 assessment before treatment planning.</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the clinical-evidence basis and the separately confirmed access route for each systemic treatment decision.</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At relapse, record whether a covalent BTK inhibitor stopped for intolerance or progression.</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For post-BTKi progression, record cellular-therapy eligibility assessment, referral decision and reason when referral is not made.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planned follow-up interval and the clinical indication for surveillance imaging.</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14. Regulatory and access boundary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The publication model uses an England access framework with separate devolved-nation notes. GB marketing authorisation, NICE recommendations, NHS England operational funding, SMC/NHSScotland, AWMSG/NHS Wales and HSCNI implementation are distinct determinations.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Absence of a national route does not prove that treatment is unavailable through a trial, early-access programme or individual decision. Those routes must be described as non-routine and confirmed before treatment. </w:t>
      </w:r>
      <w:r>
        <w:rPr>
          <w:rFonts w:ascii="Georgia" w:hAnsi="Georgia" w:cs="Georgia"/>
          <w:sz w:val="34"/>
          <w:sz-cs w:val="34"/>
          <w:b/>
          <w:spacing w:val="0"/>
          <w:color w:val="121826"/>
        </w:rPr>
        <w:t xml:space="preserve">Section 17 sets out what each of those routes actually is, which of them was found to be documented for the agents in this guideline, and the governance that applies.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United Kingdom against other jurisdictions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table records regulatory status only. Nothing in the non-United Kingdom columns creates a route to treatment for a patient here, and the England column records commissioning, which is a separate determination from the Great Britain licence.</w:t>
      </w:r>
      <w:r>
        <w:rPr>
          <w:rFonts w:ascii="Georgia" w:hAnsi="Georgia" w:cs="Georgia"/>
          <w:sz w:val="34"/>
          <w:sz-cs w:val="34"/>
          <w:spacing w:val="0"/>
          <w:color w:val="121826"/>
        </w:rPr>
        <w:t xml:space="preserve"/>
      </w:r>
    </w:p>
    <w:p>
      <w:pPr/>
      <w:r>
        <w:rPr>
          <w:rFonts w:ascii="Georgia" w:hAnsi="Georgia" w:cs="Georgia"/>
          <w:sz w:val="23"/>
          <w:sz-cs w:val="23"/>
          <w:spacing w:val="0"/>
          <w:color w:val="49515F"/>
        </w:rPr>
        <w:t xml:space="preserve">Retrieved 30 July 2026. “Not identified” means no authorisation was found in the checked sources, not that none exists.</w:t>
      </w:r>
      <w:r>
        <w:rPr>
          <w:rFonts w:ascii="Georgia" w:hAnsi="Georgia" w:cs="Georgia"/>
          <w:sz w:val="23"/>
          <w:sz-cs w:val="23"/>
          <w:spacing w:val="0"/>
          <w:color w:val="49515F"/>
        </w:rPr>
        <w:t xml:space="preserve"/>
      </w:r>
    </w:p>
    <w:p>
      <w:pPr/>
      <w:r>
        <w:rPr>
          <w:rFonts w:ascii="Georgia" w:hAnsi="Georgia" w:cs="Georgia"/>
          <w:sz w:val="21"/>
          <w:sz-cs w:val="21"/>
          <w:b/>
          <w:spacing w:val="0"/>
          <w:color w:val="121826"/>
        </w:rPr>
        <w:t xml:space="preserve">Agent or 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Great Britain licence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United States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European Union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England routine commissioning</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Ibrutinib, first line with R-CHOP/R-DHAP (ASCT-eligible)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Indication withdrawn</w:t>
      </w:r>
      <w:r>
        <w:rPr>
          <w:rFonts w:ascii="Georgia" w:hAnsi="Georgia" w:cs="Georgia"/>
          <w:sz w:val="21"/>
          <w:sz-cs w:val="21"/>
          <w:spacing w:val="0"/>
          <w:color w:val="121826"/>
        </w:rPr>
        <w:t xml:space="preserve">, effective 18 Dec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final recommendation — negative draft guidance dated 30 June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Indication withdrawn</w:t>
      </w:r>
      <w:r>
        <w:rPr>
          <w:rFonts w:ascii="Georgia" w:hAnsi="Georgia" w:cs="Georgia"/>
          <w:sz w:val="21"/>
          <w:sz-cs w:val="21"/>
          <w:spacing w:val="0"/>
          <w:color w:val="121826"/>
        </w:rPr>
        <w:t xml:space="preserve">, effective 18 Dec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TA502, after exactly one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Zanubrutinib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accelerated approval 14 Nov 2019, not yet converted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TA1081, after exactly one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with bendamustine–rituximab, first line, transplant-ineligible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16 Jan 2025, full approval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6 May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negative draft guidance, appraisal rescheduled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monotherapy, relapsed or refractory, BTKi-naive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accelerated approval converted to full 16 Jan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appraisal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monotherapy, after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Accelerated approval 27 Jan 2023, ≥2 lines including a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Conditional authorisation 30 Oct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one appraisal currently displays “In progress” after being scheduled back into the work programme; a second is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Brexucabtagene autoleucel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Full approval 2 Apr 2026</w:t>
      </w:r>
      <w:r>
        <w:rPr>
          <w:rFonts w:ascii="Georgia" w:hAnsi="Georgia" w:cs="Georgia"/>
          <w:sz w:val="21"/>
          <w:sz-cs w:val="21"/>
          <w:spacing w:val="0"/>
          <w:color w:val="121826"/>
        </w:rPr>
        <w:t xml:space="preserve"> (converted from accelerated)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Conditional authorisation 14 Dec 2020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Managed access under TA677; </w:t>
      </w:r>
      <w:r>
        <w:rPr>
          <w:rFonts w:ascii="Georgia" w:hAnsi="Georgia" w:cs="Georgia"/>
          <w:sz w:val="21"/>
          <w:sz-cs w:val="21"/>
          <w:b/>
          <w:spacing w:val="0"/>
          <w:color w:val="121826"/>
        </w:rPr>
        <w:t xml:space="preserve">review remitted to committee after part-upheld appeal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Lisocabtagene maraleucel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Accelerated approval 30 May 2024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Mantle cell lymphoma extension approved 24 Nov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appraisal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identified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Accelerated approval 13 May 2026</w:t>
      </w:r>
      <w:r>
        <w:rPr>
          <w:rFonts w:ascii="Georgia" w:hAnsi="Georgia" w:cs="Georgia"/>
          <w:sz w:val="21"/>
          <w:sz-cs w:val="21"/>
          <w:spacing w:val="0"/>
          <w:color w:val="121826"/>
        </w:rPr>
        <w:t xml:space="preserve">, ≥2 lines including a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identified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Venetoclax (any mantle cell lymphoma use)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approved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approved (orphan designation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 for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Epcoritamab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 for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Bortezomib, VR-CAP, first line, HSCT unsuitable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Oct 2014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TA370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Lenalidomide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Jun 2013, after two prior therapies including bortezomib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TA774 terminated on non-submission</w:t>
      </w:r>
      <w:r>
        <w:rPr>
          <w:rFonts w:ascii="Georgia" w:hAnsi="Georgia" w:cs="Georgia"/>
          <w:sz w:val="21"/>
          <w:sz-cs w:val="21"/>
          <w:spacing w:val="0"/>
          <w:color w:val="121826"/>
        </w:rPr>
        <w:t xml:space="preserve"/>
      </w:r>
    </w:p>
    <w:p>
      <w:pPr/>
      <w:r>
        <w:rPr>
          <w:rFonts w:ascii="Arial" w:hAnsi="Arial" w:cs="Arial"/>
          <w:sz w:val="17"/>
          <w:sz-cs w:val="17"/>
          <w:b/>
          <w:spacing w:val="0"/>
          <w:color w:val="664811"/>
        </w:rPr>
        <w:t xml:space="preserve">THE THREE DIVERGENCES MOST LIKELY TO MISLEAD</w:t>
      </w:r>
      <w:r>
        <w:rPr>
          <w:rFonts w:ascii="Arial" w:hAnsi="Arial" w:cs="Arial"/>
          <w:sz w:val="17"/>
          <w:sz-cs w:val="17"/>
          <w:b/>
          <w:spacing w:val="0"/>
          <w:color w:val="664811"/>
        </w:rPr>
        <w:t xml:space="preserve"/>
      </w:r>
    </w:p>
    <w:p>
      <w:pPr>
        <w:spacing w:after="340"/>
      </w:pPr>
      <w:r>
        <w:rPr>
          <w:rFonts w:ascii="Georgia" w:hAnsi="Georgia" w:cs="Georgia"/>
          <w:sz w:val="34"/>
          <w:sz-cs w:val="34"/>
          <w:b/>
          <w:spacing w:val="0"/>
          <w:color w:val="121826"/>
        </w:rPr>
        <w:t xml:space="preserve">1. Ibrutinib.</w:t>
      </w:r>
      <w:r>
        <w:rPr>
          <w:rFonts w:ascii="Georgia" w:hAnsi="Georgia" w:cs="Georgia"/>
          <w:sz w:val="34"/>
          <w:sz-cs w:val="34"/>
          <w:spacing w:val="0"/>
          <w:color w:val="121826"/>
        </w:rPr>
        <w:t xml:space="preserve"> A United States source contains no ibrutinib in mantle cell lymphoma at any line. In England ibrutinib is a routinely commissioned second-line option. Do not conclude from a United States algorithm that ibrutinib has been superseded here.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2. Zanubrutinib.</w:t>
      </w:r>
      <w:r>
        <w:rPr>
          <w:rFonts w:ascii="Georgia" w:hAnsi="Georgia" w:cs="Georgia"/>
          <w:sz w:val="34"/>
          <w:sz-cs w:val="34"/>
          <w:spacing w:val="0"/>
          <w:color w:val="121826"/>
        </w:rPr>
        <w:t xml:space="preserve"> A European Union source contains no zanubrutinib in mantle cell lymphoma at all, because there is no European authorisation. In England it is NICE-recommended after exactly one line. Do not conclude from a European algorithm that it is unavailable here.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3. Sonrotoclax.</w:t>
      </w:r>
      <w:r>
        <w:rPr>
          <w:rFonts w:ascii="Georgia" w:hAnsi="Georgia" w:cs="Georgia"/>
          <w:sz w:val="34"/>
          <w:sz-cs w:val="34"/>
          <w:spacing w:val="0"/>
          <w:color w:val="121826"/>
        </w:rPr>
        <w:t xml:space="preserve"> A United States source published after May 2026 will present sonrotoclax as an approved post-BTK-inhibitor option. There is no Great Britain licence. The only United Kingdom route is trial entry.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SOCIETY GUIDANCE AND ITS JURISDICTION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2025 EHA–EU mantle cell lymphoma network guideline is the most current European society document and is the primary society anchor used here. The </w:t>
      </w:r>
      <w:r>
        <w:rPr>
          <w:rFonts w:ascii="Georgia" w:hAnsi="Georgia" w:cs="Georgia"/>
          <w:sz w:val="34"/>
          <w:sz-cs w:val="34"/>
          <w:i/>
          <w:spacing w:val="0"/>
          <w:color w:val="121826"/>
        </w:rPr>
        <w:t xml:space="preserve">Lymphomas: ESMO Clinical Practice Guideline</w:t>
      </w:r>
      <w:r>
        <w:rPr>
          <w:rFonts w:ascii="Georgia" w:hAnsi="Georgia" w:cs="Georgia"/>
          <w:sz w:val="34"/>
          <w:sz-cs w:val="34"/>
          <w:spacing w:val="0"/>
          <w:color w:val="121826"/>
        </w:rPr>
        <w:t xml:space="preserve"> (2025; PMID 40774601) supersedes the 2017 ESMO mantle cell lymphoma guideline. NCCN B-Cell Lymphomas is a United States document whose regimen listings assume United States licensing, including the absence of ibrutinib; its current version could not be verified because the source is access-controlled, and no NCCN category of evidence is quoted anywhere in this document.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None of these documents is a commissioning instrument in England. A society recommendation is not a funding route.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15. Evidence-to-recommendation model</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This section states, for each clinical decision in the guideline, the strength of the underlying evidence and — separately — whether the option can actually be delivered in England. The two are recorded independently and deliberately. A recommendation may rest on strong randomised evidence and still have no route to the patient; an option may be routinely funded on evidence that is weaker than a clinician would assume.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One-page quick reference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tables that follow this summary give the reasoning. This one is the compressed form, intended to be printed and taken to clinic or MDT. Certainty and access are recorded separately and deliberately: they answer different questions and they frequently disagree.</w:t>
      </w:r>
      <w:r>
        <w:rPr>
          <w:rFonts w:ascii="Georgia" w:hAnsi="Georgia" w:cs="Georgia"/>
          <w:sz w:val="34"/>
          <w:sz-cs w:val="34"/>
          <w:spacing w:val="0"/>
          <w:color w:val="121826"/>
        </w:rPr>
        <w:t xml:space="preserve"/>
      </w:r>
    </w:p>
    <w:p>
      <w:pPr/>
      <w:r>
        <w:rPr>
          <w:rFonts w:ascii="Georgia" w:hAnsi="Georgia" w:cs="Georgia"/>
          <w:sz w:val="23"/>
          <w:sz-cs w:val="23"/>
          <w:spacing w:val="0"/>
          <w:color w:val="49515F"/>
        </w:rPr>
        <w:t xml:space="preserve">Certainty A to E and access class R1 to R5 are defined immediately below. Priority P1 to P4 is the practical instruction. Access positions change: confirm every access statement against the live source before treating.</w:t>
      </w:r>
      <w:r>
        <w:rPr>
          <w:rFonts w:ascii="Georgia" w:hAnsi="Georgia" w:cs="Georgia"/>
          <w:sz w:val="23"/>
          <w:sz-cs w:val="23"/>
          <w:spacing w:val="0"/>
          <w:color w:val="49515F"/>
        </w:rPr>
        <w:t xml:space="preserve"/>
      </w:r>
    </w:p>
    <w:p>
      <w:pPr/>
      <w:r>
        <w:rPr>
          <w:rFonts w:ascii="Georgia" w:hAnsi="Georgia" w:cs="Georgia"/>
          <w:sz w:val="20"/>
          <w:sz-cs w:val="20"/>
          <w:b/>
          <w:spacing w:val="0"/>
          <w:color w:val="121826"/>
        </w:rPr>
        <w:t xml:space="preserve">Setting</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Option</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Certainty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England access</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Priority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First line, transplant-suitable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Cytarabine induction, ASCT, rituximab maintenance 3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TRIANGLE ibrutinib regimen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Rituximab maintenance in a TRIANGLE pathway</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Obinutuzumab substituted for 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First line, older or transplant-ineligible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Bendamustine–rituximab, then maintenance ≥2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R1 routine — policy 17088P, off-label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VR-CAP</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TA370</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R-BAC</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Acalabrutinib with bendamustine–rituximab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Adding bortezomib to BR, or lenalidomide to maintenance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BR (SHINE), or ibrutinib–rituximab (ENRICH)</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TP53-mutated</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Trial referral</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Anti-CD20 with BTK and BCL2 inhibition, first line</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MRD-guided cessation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Relapsed or refractory</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Ibrutinib or zanubrutinib after exactly one line</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TA502, TA1081</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Brexucabtagene autoleucel after ≥2 lines incl.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R2 CDF — review remitted after appeal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Pirtobrutinib after covalent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Lisocabtagene maraleucel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Lenalidomide monotherapy</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venetoclax</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MCL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Glofitamab — GLOBRYTE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Sonrotoclax — CELESTIAL-RRMCL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Allogeneic HCT after CAR-T failure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specialist decision</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Arial" w:hAnsi="Arial" w:cs="Arial"/>
          <w:sz w:val="17"/>
          <w:sz-cs w:val="17"/>
          <w:b/>
          <w:spacing w:val="0"/>
          <w:color w:val="771F23"/>
        </w:rPr>
        <w:t xml:space="preserve">THREE LINES TO CARRY IN YOUR HEAD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Bendamustine–rituximab is routinely commissioned in first line and is </w:t>
      </w:r>
      <w:r>
        <w:rPr>
          <w:rFonts w:ascii="Georgia" w:hAnsi="Georgia" w:cs="Georgia"/>
          <w:sz w:val="34"/>
          <w:sz-cs w:val="34"/>
          <w:i/>
          <w:spacing w:val="0"/>
          <w:color w:val="121826"/>
        </w:rPr>
        <w:t xml:space="preserve">off-label</w:t>
      </w:r>
      <w:r>
        <w:rPr>
          <w:rFonts w:ascii="Georgia" w:hAnsi="Georgia" w:cs="Georgia"/>
          <w:sz w:val="34"/>
          <w:sz-cs w:val="34"/>
          <w:spacing w:val="0"/>
          <w:color w:val="121826"/>
        </w:rPr>
        <w:t xml:space="preserve"> — NHS England policy 17088P says so itself. Commissioning and licensing are not the same thing and can point in opposite directions.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two first-line company schemes divide on transplant eligibility, in opposite directions: acalabrutinib–bendamustine–rituximab is licensed for patients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eligible for ASCT, the TRIANGLE regimen for those who </w:t>
      </w:r>
      <w:r>
        <w:rPr>
          <w:rFonts w:ascii="Georgia" w:hAnsi="Georgia" w:cs="Georgia"/>
          <w:sz w:val="34"/>
          <w:sz-cs w:val="34"/>
          <w:b/>
          <w:spacing w:val="0"/>
          <w:color w:val="121826"/>
        </w:rPr>
        <w:t xml:space="preserve">are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Brexucabtagene autoleucel is the only cellular therapy with an England route, TA677 managed access remains live, while the post-managed-access review remains unresolved following remittal. Confirm before you promise.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Discuss allogeneic transplantation </w:t>
      </w:r>
      <w:r>
        <w:rPr>
          <w:rFonts w:ascii="Georgia" w:hAnsi="Georgia" w:cs="Georgia"/>
          <w:sz w:val="34"/>
          <w:sz-cs w:val="34"/>
          <w:i/>
          <w:spacing w:val="0"/>
          <w:color w:val="121826"/>
        </w:rPr>
        <w:t xml:space="preserve">before</w:t>
      </w:r>
      <w:r>
        <w:rPr>
          <w:rFonts w:ascii="Georgia" w:hAnsi="Georgia" w:cs="Georgia"/>
          <w:sz w:val="34"/>
          <w:sz-cs w:val="34"/>
          <w:spacing w:val="0"/>
          <w:color w:val="121826"/>
        </w:rPr>
        <w:t xml:space="preserve"> CAR-T, at covalent BTK-inhibitor progression. Remission status at transplant drives the outcome, and a patient who has already failed CAR-T is usually neither in remission nor fit enough.</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How the classifications are assigned</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Evidence certainty</w:t>
      </w:r>
      <w:r>
        <w:rPr>
          <w:rFonts w:ascii="Georgia" w:hAnsi="Georgia" w:cs="Georgia"/>
          <w:sz w:val="34"/>
          <w:sz-cs w:val="34"/>
          <w:spacing w:val="0"/>
          <w:color w:val="121826"/>
        </w:rPr>
        <w:t xml:space="preserve"> describes the design and consistency of the supporting evidence, not the size of the effect.</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A</w:t>
      </w:r>
      <w:r>
        <w:rPr>
          <w:rFonts w:ascii="Georgia" w:hAnsi="Georgia" w:cs="Georgia"/>
          <w:sz w:val="34"/>
          <w:sz-cs w:val="34"/>
          <w:spacing w:val="0"/>
          <w:color w:val="121826"/>
        </w:rPr>
        <w:t xml:space="preserve"> One or more randomised phase III trials in mantle cell lymphoma with a consistent direction of effect, or a society guideline recommendation built directly on such trials.</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B</w:t>
      </w:r>
      <w:r>
        <w:rPr>
          <w:rFonts w:ascii="Georgia" w:hAnsi="Georgia" w:cs="Georgia"/>
          <w:sz w:val="34"/>
          <w:sz-cs w:val="34"/>
          <w:spacing w:val="0"/>
          <w:color w:val="121826"/>
        </w:rPr>
        <w:t xml:space="preserve"> A single randomised trial with material limitations, a randomised phase II trial, or randomised evidence in a mixed population from which a mantle cell lymphoma-specific effect cannot be isolated.</w:t>
      </w:r>
      <w:r>
        <w:rPr>
          <w:rFonts w:ascii="Georgia" w:hAnsi="Georgia" w:cs="Georgia"/>
          <w:sz w:val="34"/>
          <w:sz-cs w:val="34"/>
          <w:spacing w:val="0"/>
          <w:color w:val="121826"/>
        </w:rPr>
        <w:t xml:space="preserve"/>
      </w:r>
    </w:p>
    <w:p>
      <w:pPr>
        <w:ind w:left="720" w:first-line="-720"/>
      </w:pPr>
      <w:r>
        <w:rPr>
          <w:rFonts w:ascii="Arial" w:hAnsi="Arial" w:cs="Arial"/>
          <w:sz w:val="17"/>
          <w:sz-cs w:val="17"/>
          <w:b/>
          <w:color w:val="1B1406"/>
        </w:rPr>
        <w:t xml:space="preserve"/>
        <w:tab/>
        <w:t xml:space="preserve">•</w:t>
        <w:tab/>
        <w:t xml:space="preserve"/>
      </w:r>
      <w:r>
        <w:rPr>
          <w:rFonts w:ascii="Arial" w:hAnsi="Arial" w:cs="Arial"/>
          <w:sz w:val="17"/>
          <w:sz-cs w:val="17"/>
          <w:b/>
          <w:spacing w:val="0"/>
          <w:color w:val="1B1406"/>
        </w:rPr>
        <w:t xml:space="preserve">C</w:t>
      </w:r>
      <w:r>
        <w:rPr>
          <w:rFonts w:ascii="Georgia" w:hAnsi="Georgia" w:cs="Georgia"/>
          <w:sz w:val="34"/>
          <w:sz-cs w:val="34"/>
          <w:spacing w:val="0"/>
          <w:color w:val="121826"/>
        </w:rPr>
        <w:t xml:space="preserve"> Prospective single-arm trial evidence.</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D</w:t>
      </w:r>
      <w:r>
        <w:rPr>
          <w:rFonts w:ascii="Georgia" w:hAnsi="Georgia" w:cs="Georgia"/>
          <w:sz w:val="34"/>
          <w:sz-cs w:val="34"/>
          <w:spacing w:val="0"/>
          <w:color w:val="121826"/>
        </w:rPr>
        <w:t xml:space="preserve"> Registry, real-world or other observational evidence, or a non-randomised secondary analysis of a randomised trial.</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E</w:t>
      </w:r>
      <w:r>
        <w:rPr>
          <w:rFonts w:ascii="Georgia" w:hAnsi="Georgia" w:cs="Georgia"/>
          <w:sz w:val="34"/>
          <w:sz-cs w:val="34"/>
          <w:spacing w:val="0"/>
          <w:color w:val="121826"/>
        </w:rPr>
        <w:t xml:space="preserve"> Conference abstract or press release only, with no peer-reviewed primary publication retrievable.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No tier applies. Used where a recommendation is a prohibition resting on the </w:t>
      </w:r>
      <w:r>
        <w:rPr>
          <w:rFonts w:ascii="Georgia" w:hAnsi="Georgia" w:cs="Georgia"/>
          <w:sz w:val="34"/>
          <w:sz-cs w:val="34"/>
          <w:i/>
          <w:spacing w:val="0"/>
          <w:color w:val="121826"/>
        </w:rPr>
        <w:t xml:space="preserve">absence</w:t>
      </w:r>
      <w:r>
        <w:rPr>
          <w:rFonts w:ascii="Georgia" w:hAnsi="Georgia" w:cs="Georgia"/>
          <w:sz w:val="34"/>
          <w:sz-cs w:val="34"/>
          <w:spacing w:val="0"/>
          <w:color w:val="121826"/>
        </w:rPr>
        <w:t xml:space="preserve"> of evidence rather than on any study, so no design can be graded.</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Adopted from a society guideline or expert-consensus recommendation, where this document has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independently verified the trial evidence underneath it. </w:t>
      </w:r>
      <w:r>
        <w:rPr>
          <w:rFonts w:ascii="Georgia" w:hAnsi="Georgia" w:cs="Georgia"/>
          <w:sz w:val="34"/>
          <w:sz-cs w:val="34"/>
          <w:b/>
          <w:spacing w:val="0"/>
          <w:color w:val="121826"/>
        </w:rPr>
        <w:t xml:space="preserve">This applies to consensus statements as well as graded guideline recommendations</w:t>
      </w:r>
      <w:r>
        <w:rPr>
          <w:rFonts w:ascii="Georgia" w:hAnsi="Georgia" w:cs="Georgia"/>
          <w:sz w:val="34"/>
          <w:sz-cs w:val="34"/>
          <w:spacing w:val="0"/>
          <w:color w:val="121826"/>
        </w:rPr>
        <w:t xml:space="preserve">, so an EBMT or EHA position adopted here is tier G however strongly it is worded, unless its underlying evidence has been read at source and independently meets another tier. Sections 5 and 10 rest largely on this tier. It is labelled separately so that inherited consensus is never mistaken for evidence read at source.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 class</w:t>
      </w:r>
      <w:r>
        <w:rPr>
          <w:rFonts w:ascii="Georgia" w:hAnsi="Georgia" w:cs="Georgia"/>
          <w:sz w:val="34"/>
          <w:sz-cs w:val="34"/>
          <w:spacing w:val="0"/>
          <w:color w:val="121826"/>
        </w:rPr>
        <w:t xml:space="preserve"> describes deliverability, which is a separate determination from the licence.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R1</w:t>
      </w:r>
      <w:r>
        <w:rPr>
          <w:rFonts w:ascii="Georgia" w:hAnsi="Georgia" w:cs="Georgia"/>
          <w:sz w:val="34"/>
          <w:sz-cs w:val="34"/>
          <w:spacing w:val="0"/>
          <w:color w:val="121826"/>
        </w:rPr>
        <w:t xml:space="preserve"> Routine NHS England funding through a positive technology appraisal.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R2</w:t>
      </w:r>
      <w:r>
        <w:rPr>
          <w:rFonts w:ascii="Georgia" w:hAnsi="Georgia" w:cs="Georgia"/>
          <w:sz w:val="34"/>
          <w:sz-cs w:val="34"/>
          <w:spacing w:val="0"/>
          <w:color w:val="121826"/>
        </w:rPr>
        <w:t xml:space="preserve"> Managed access — Cancer Drugs Fund, subject to live national criteria.</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R3</w:t>
      </w:r>
      <w:r>
        <w:rPr>
          <w:rFonts w:ascii="Georgia" w:hAnsi="Georgia" w:cs="Georgia"/>
          <w:sz w:val="34"/>
          <w:sz-cs w:val="34"/>
          <w:spacing w:val="0"/>
          <w:color w:val="121826"/>
        </w:rPr>
        <w:t xml:space="preserve"> Guideline-supported conventional practice delivered through network SACT or transplant services without a regimen-specific technology appraisal.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R4</w:t>
      </w:r>
      <w:r>
        <w:rPr>
          <w:rFonts w:ascii="Georgia" w:hAnsi="Georgia" w:cs="Georgia"/>
          <w:sz w:val="34"/>
          <w:sz-cs w:val="34"/>
          <w:spacing w:val="0"/>
          <w:color w:val="121826"/>
        </w:rPr>
        <w:t xml:space="preserve"> Holds a Great Britain marketing authorisation but has no demonstrated routine national route.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R5</w:t>
      </w:r>
      <w:r>
        <w:rPr>
          <w:rFonts w:ascii="Georgia" w:hAnsi="Georgia" w:cs="Georgia"/>
          <w:sz w:val="34"/>
          <w:sz-cs w:val="34"/>
          <w:spacing w:val="0"/>
          <w:color w:val="121826"/>
        </w:rPr>
        <w:t xml:space="preserve"> No Great Britain mantle cell lymphoma marketing authorisation; trial or an individually approved exceptional route only.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Kingdom priority</w:t>
      </w:r>
      <w:r>
        <w:rPr>
          <w:rFonts w:ascii="Georgia" w:hAnsi="Georgia" w:cs="Georgia"/>
          <w:sz w:val="34"/>
          <w:sz-cs w:val="34"/>
          <w:spacing w:val="0"/>
          <w:color w:val="121826"/>
        </w:rPr>
        <w:t xml:space="preserve"> is the practical instruction that follows from combining the two.</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P1</w:t>
      </w:r>
      <w:r>
        <w:rPr>
          <w:rFonts w:ascii="Georgia" w:hAnsi="Georgia" w:cs="Georgia"/>
          <w:sz w:val="34"/>
          <w:sz-cs w:val="34"/>
          <w:spacing w:val="0"/>
          <w:color w:val="121826"/>
        </w:rPr>
        <w:t xml:space="preserve"> Offer as a standard option when clinically appropriate.</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P2</w:t>
      </w:r>
      <w:r>
        <w:rPr>
          <w:rFonts w:ascii="Georgia" w:hAnsi="Georgia" w:cs="Georgia"/>
          <w:sz w:val="34"/>
          <w:sz-cs w:val="34"/>
          <w:spacing w:val="0"/>
          <w:color w:val="121826"/>
        </w:rPr>
        <w:t xml:space="preserve"> Offer where the exact appraisal or national criteria are met, after confirming the live position.</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P3</w:t>
      </w:r>
      <w:r>
        <w:rPr>
          <w:rFonts w:ascii="Georgia" w:hAnsi="Georgia" w:cs="Georgia"/>
          <w:sz w:val="34"/>
          <w:sz-cs w:val="34"/>
          <w:spacing w:val="0"/>
          <w:color w:val="121826"/>
        </w:rPr>
        <w:t xml:space="preserve"> Consider only through a clinical trial or a specifically approved exceptional route; discuss at MDT.</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P4</w:t>
      </w:r>
      <w:r>
        <w:rPr>
          <w:rFonts w:ascii="Georgia" w:hAnsi="Georgia" w:cs="Georgia"/>
          <w:sz w:val="34"/>
          <w:sz-cs w:val="34"/>
          <w:spacing w:val="0"/>
          <w:color w:val="121826"/>
        </w:rPr>
        <w:t xml:space="preserve"> Do not use outside a clinical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First-line, younger or treatment-fit adults</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First-line, younger or treatment-fit adults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Cytarabine-containing induction, ASCT, 3 years rituximab maintenance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S01, S26, S27, S28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MCL Younger tests a bundled strategy and does not isolate the effect of ASCT; LYMA supports maintenance, with the long-term overall survival difference not statistically significant.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TRIANGLE-derived ibrutinib-containing regimen without routine ASCT</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S06, S24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Licensed in Great Britain; no final NICE guidance. Increased grade 3–5 infection. Applicability limited to the trial protocol and ages 18–65.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Rituximab maintenance within a TRIANGLE-derived pathway</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Non-randomised secondary analysis with residual confounding and more grade 3–5 infection. EHA–EU recommends it; do not present it as risk-free.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Obinutuzumab substituted for rituximab</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Propensity-matched, not randomised. No mantle cell lymphoma marketing authorisation.</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First-line, older or transplant-ineligible adults</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First-line, older or transplant-ineligible adults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Bendamustine–rituximab, then rituximab maintenance ≥2 years</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S25, S21, S29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StiL was a pooled indolent and mantle cell lymphoma population with no mantle cell-specific effect in the abstract; maintenance-after-BR evidence is substantially observational.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VR-CAP</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TA370 recommends within the marketing authorisation. More neutropenia and thrombocytopenia than R-CHOP. Do not generalise to transplant-suitable patients.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R-BAC</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no randomised comparison against BR; greater haematological toxicity; no maintenance given in the study.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Adding bortezomib to bendamustine–rituximab induction</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Randomised and negative.</w:t>
      </w:r>
      <w:r>
        <w:rPr>
          <w:rFonts w:ascii="Georgia" w:hAnsi="Georgia" w:cs="Georgia"/>
          <w:sz w:val="21"/>
          <w:sz-cs w:val="21"/>
          <w:spacing w:val="0"/>
          <w:color w:val="121826"/>
        </w:rPr>
        <w:t xml:space="preserve"> Hazard ratio 0.90 (90% CI 0.70–1.16) at 7.5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Adding lenalidomide to rituximab maintenance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Randomised and negative.</w:t>
      </w:r>
      <w:r>
        <w:rPr>
          <w:rFonts w:ascii="Georgia" w:hAnsi="Georgia" w:cs="Georgia"/>
          <w:sz w:val="21"/>
          <w:sz-cs w:val="21"/>
          <w:spacing w:val="0"/>
          <w:color w:val="121826"/>
        </w:rPr>
        <w:t xml:space="preserve"> Hazard ratio 0.84 (90% CI 0.62–1.15).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with bendamustine–rituximab</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Progression-free survival benefit without demonstrated overall survival advantage. Negative draft guidance 25 Feb 2026; appraisal rescheduled at the company's request.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bendamustine–rituximab (SHINE)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Progression-free survival benefit, no overall survival advantage, more grade 3–4 toxicity. No first-line route identified.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Ibrutinib–rituximab (ENRICH)</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S07</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Superiority over the pooled control, not over bendamustine–rituximab specifically. No first-line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venetoclax, first line, ≥65 or TP53-mutated</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Open-label single-arm cohort. No Great Britain mantle cell lymphoma authorisation; NICE appraisal suspended 20 Jan 2026.</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TP53-mutated and other high-risk disease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TP53-mutated and other high-risk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 or statement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TP53 mutation is adverse under intensive chemoimmunotherapy</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S04, S02, S03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Molecular cohort evidence; prognostic, not a demonstration that any one alternative is superior.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TP53-associated risk appears not to be eliminated by BTK plus BCL2 inhibition</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Descriptive subgroup outcomes only, from a small non-randomised cohort. High response rate with markedly shorter disease control: median progression-free survival 22.0 months if aged ≥65, 15.4 months if younger. No independent prognostic effect established.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Trial referral in TP53-mutated disease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Guideline recommendation; operationally the most reliable route to a targeted combination in England.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Anti-CD20 with BTK inhibitor and BCL2 inhibitor, first line</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S09, S01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BOVen is single-arm, n=25. EHA–EU recommends the class combination, but no such combination is licensed for mantle cell lymphoma in Great Britain.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MRD-guided treatment cessation</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S12, S12C, S13, S11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Studied within protocols. Not a validated universal surrogate; do not omit maintenance outside a trial.</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Relapsed or refractory disease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Relapsed or refractory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Ibrutinib after exactly one previous line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TA502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Licence is broader than the NICE restriction. Subject to the commercial arrangement and Blueteq criteria.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Zanubrutinib after exactly one previous line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TA1081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TA1081 directs use of the least expensive suitable option, naming zanubrutinib and ibrutinib. Intolerance transfer from ibrutinib requires absence of progression.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Brexucabtagene autoleucel after ≥2 lines including a BTK inhibitor</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S15, S37, S17, S18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R2</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Durable single-arm and registry activity with material attrition and 24-month non-relapse mortality of 25% in United Kingdom data. </w:t>
      </w:r>
      <w:r>
        <w:rPr>
          <w:rFonts w:ascii="Georgia" w:hAnsi="Georgia" w:cs="Georgia"/>
          <w:sz w:val="21"/>
          <w:sz-cs w:val="21"/>
          <w:b/>
          <w:spacing w:val="0"/>
          <w:color w:val="121826"/>
        </w:rPr>
        <w:t xml:space="preserve">TA677 review remitted to committee after a part-upheld appeal; no final guidance.</w:t>
      </w:r>
      <w:r>
        <w:rPr>
          <w:rFonts w:ascii="Georgia" w:hAnsi="Georgia" w:cs="Georgia"/>
          <w:sz w:val="21"/>
          <w:sz-cs w:val="21"/>
          <w:spacing w:val="0"/>
          <w:color w:val="121826"/>
        </w:rPr>
        <w:t xml:space="preserve"> Confirm live criteria before referral.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venetoclax</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S38, S39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Randomised phase III benefit, hazard ratio 0.65 — </w:t>
      </w:r>
      <w:r>
        <w:rPr>
          <w:rFonts w:ascii="Georgia" w:hAnsi="Georgia" w:cs="Georgia"/>
          <w:sz w:val="21"/>
          <w:sz-cs w:val="21"/>
          <w:b/>
          <w:spacing w:val="0"/>
          <w:color w:val="121826"/>
        </w:rPr>
        <w:t xml:space="preserve">CORRECTION_UNRESOLVED</w:t>
      </w:r>
      <w:r>
        <w:rPr>
          <w:rFonts w:ascii="Georgia" w:hAnsi="Georgia" w:cs="Georgia"/>
          <w:sz w:val="21"/>
          <w:sz-cs w:val="21"/>
          <w:spacing w:val="0"/>
          <w:color w:val="121826"/>
        </w:rPr>
        <w:t xml:space="preserve">. No Great Britain mantle cell lymphoma authorisation; appraisal suspended because an MHRA application was not being pursued. Strong evidence, no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after covalent BTK-inhibitor exposure</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Official status inconsistent — see the access matrix. A second appraisal covers a BTKi-untreated population. Do not transpose the CLL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Lisocabtagene maraleucel after ≥2 lines including a BTK inhibitor</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 No head-to-head comparison with brexucabtagene autoleucel or pirtobrutinib.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I/II, fixed duration. GLOBRYTE phase III is recruiting with United Kingdom sites and is the referable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S20, S20C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I/II. </w:t>
      </w:r>
      <w:r>
        <w:rPr>
          <w:rFonts w:ascii="Georgia" w:hAnsi="Georgia" w:cs="Georgia"/>
          <w:sz w:val="21"/>
          <w:sz-cs w:val="21"/>
          <w:b/>
          <w:spacing w:val="0"/>
          <w:color w:val="121826"/>
        </w:rPr>
        <w:t xml:space="preserve">Figures not finally verified — an erratum is published and its content is unresolved.</w:t>
      </w:r>
      <w:r>
        <w:rPr>
          <w:rFonts w:ascii="Georgia" w:hAnsi="Georgia" w:cs="Georgia"/>
          <w:sz w:val="21"/>
          <w:sz-cs w:val="21"/>
          <w:spacing w:val="0"/>
          <w:color w:val="121826"/>
        </w:rPr>
        <w:t xml:space="preserve"> United States approved, no Great Britain licence. CELESTIAL-RRMCL is recruiting with United Kingdom sites.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Mosunetuzumab with polatuzumab vedotin</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n=42. Neither agent licensed for mantle cell lymphoma anywhere.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Bortezomib added to rituximab, high-dose cytarabine and dexamethasone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Randomised phase III, n=128, under-recruited. Time to treatment failure 12 versus 2.6 months, nominal p=0.045, but MIPI-adjusted HR 0.69 (95% CI 0.47–1.02) crosses the null. No regimen-specific appraisal in this setting.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Lenalidomide monotherapy</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TA774 was terminated on non-submission, which is no recommendation rather than a negative clinical recommendation.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Allogeneic HCT after CAR-T failure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S46, S51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Only remaining modality with curative intent. Largest post-CAR-T series is in large B-cell lymphoma, not mantle cell lymphoma. Salvage sensitivity and remission status at transplant dominate outcome — refer before CAR-T, not after it fails.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Repeat CD19-directed CAR-T after CAR-T failure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EBMT 2026: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for repeat CD19 CART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once CAR-T-exposed.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Cross-trial ranking of post-BTKi options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evidence tier applies — this is a prohibition resting on the absence of evidence.</w:t>
      </w:r>
      <w:r>
        <w:rPr>
          <w:rFonts w:ascii="Georgia" w:hAnsi="Georgia" w:cs="Georgia"/>
          <w:sz w:val="21"/>
          <w:sz-cs w:val="21"/>
          <w:spacing w:val="0"/>
          <w:color w:val="121826"/>
        </w:rPr>
        <w:t xml:space="preserve"> No head-to-head randomised comparison exists between pirtobrutinib, cellular therapy, bispecific antibodies and BCL2 inhibition. Unadjusted response rates must not be used to rank them.</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WHERE EVIDENCE AND ACCESS ARE FURTHEST APART</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Three options carry </w:t>
      </w:r>
      <w:r>
        <w:rPr>
          <w:rFonts w:ascii="Arial" w:hAnsi="Arial" w:cs="Arial"/>
          <w:sz w:val="17"/>
          <w:sz-cs w:val="17"/>
          <w:b/>
          <w:spacing w:val="0"/>
          <w:color w:val="FFFFFF"/>
        </w:rPr>
        <w:t xml:space="preserve">A</w:t>
      </w:r>
      <w:r>
        <w:rPr>
          <w:rFonts w:ascii="Georgia" w:hAnsi="Georgia" w:cs="Georgia"/>
          <w:sz w:val="34"/>
          <w:sz-cs w:val="34"/>
          <w:spacing w:val="0"/>
          <w:color w:val="121826"/>
        </w:rPr>
        <w:t xml:space="preserve">-level randomised evidence and no route to an English patient outside a trial: ibrutinib with venetoclax in relapsed disease, acalabrutinib with bendamustine–rituximab in the first line, and the TRIANGLE-derived regimen. In each the constraint is regulatory or economic, not clinical. State this to patients plainly rather than implying the evidence is weak.</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One option runs the other way. Brexucabtagene autoleucel rests on </w:t>
      </w:r>
      <w:r>
        <w:rPr>
          <w:rFonts w:ascii="Arial" w:hAnsi="Arial" w:cs="Arial"/>
          <w:sz w:val="17"/>
          <w:sz-cs w:val="17"/>
          <w:b/>
          <w:spacing w:val="0"/>
          <w:color w:val="1B1406"/>
        </w:rPr>
        <w:t xml:space="preserve">C</w:t>
      </w:r>
      <w:r>
        <w:rPr>
          <w:rFonts w:ascii="Georgia" w:hAnsi="Georgia" w:cs="Georgia"/>
          <w:sz w:val="34"/>
          <w:sz-cs w:val="34"/>
          <w:spacing w:val="0"/>
          <w:color w:val="121826"/>
        </w:rPr>
        <w:t xml:space="preserve">-level single-arm evidence, is the only cellular therapy with an England route, TA677 managed access remains live, while the post-managed-access review remains unresolved following remittal.</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16. Clinical trials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Trial entry is the only route to several options recorded in this guideline as having evidence but no commissioned pathway. This section lists studies identified on 30 July 2026 and exists so that a referral can be made rather than an option merely noted as unavailable.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Verify before referring.</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Recruitment status changes without notice and a registry record may lag the site. Confirm current status, site activation and eligibility with the local principal investigator or the coordinating centre before discussing a trial with a patient. Registry identifiers below are recorded exactly as retrieved; where a field could not be verified it is marked as such rather than filled.</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Recruiting in the United Kingdom — first line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Recruiting in the United Kingdom —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Trial</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Identifier</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Phase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Population and intervention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Sponsor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ZEBRA</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NCT05635162</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Indolent or low-burden mantle cell lymphoma. Zanubrutinib with rituximab against active observation. United Kingdom only, 13 sites.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University College London</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ZEBRA was the only first-line mantle cell lymphoma study identified as actively recruiting in the United Kingdom at retrieval. It is directly relevant to section 4, because it tests whether early treatment improves on observation in exactly the population that guideline recommends observing.</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Recruiting in the United Kingdom — relapsed or refractory</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Recruiting in the United Kingdom —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Trial</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Identifier</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Phase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Population and intervention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United Kingdom sites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GLOBRYTE</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NCT06084936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After a BTK inhibitor. Glofitamab with obinutuzumab pretreatment against rituximab–bendamustine or rituximab–lenalidomide.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Glasgow, Lincoln, London, Manchester, Oxford,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CELESTIAL-RRMCL</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NCT06742996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One to five prior lines. Sonrotoclax with zanubrutinib against placebo with zanubrutinib.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Glasgow, Oxford, Wirral, Plymouth, Bournemouth, London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CaDAnCe-101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NCT05006716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BGB-16673, a BTK degrader, in relapsed or refractory B-cell malignancies including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Edinburgh, Leeds, Newcastle, Cambridge, Nottingham,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NX-5948 first-in-human</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NCT05131022</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BTK degrader; mantle cell lymphoma is a defined expansion cohort.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eight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ALETA-001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NCT06045910</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CD19-directed CAR-T engager designed to be given after CAR-T.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only — Birmingham, Cambridge, Leeds, London, Manchester, Sutton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AZD0486</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NCT06564038</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CD19×CD3 T-cell engager, alone or with acalabrutinib or R-CHOP.</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Four United Kingdom sites among 13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 ramp-up study</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NCT06697184</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Novel ramp-up schedule with or without zanubrutinib, in chronic lymphocytic leukaemia and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four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LY4152199</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NCT07101328</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First-in-human, B-cell malignancies.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12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ABBV-291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NCT06667687</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First-in-human, intravenous.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Manchester,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EXS73565</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NCT06980116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Oral agent, B-cell malignancies.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Leeds, Plymouth</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GLOBRYTE and CELESTIAL-RRMCL matter most operationally. They are the referable routes to the two agents this guideline records as having activity after BTK-inhibitor failure with no United Kingdom licence — glofitamab and sonrotoclax. Both are randomised phase III, which means a patient entering either has a defined chance of receiving an active comparator rather than the investigational agent, and consent must say so.</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United Kingdom studies no longer recruiting but relevant to interpretation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CARAMEL (</w:t>
      </w:r>
      <w:r>
        <w:rPr>
          <w:rFonts w:ascii="Arial" w:hAnsi="Arial" w:cs="Arial"/>
          <w:sz w:val="19"/>
          <w:sz-cs w:val="19"/>
          <w:b/>
          <w:spacing w:val="0"/>
          <w:color w:val="121826"/>
        </w:rPr>
        <w:t xml:space="preserve">NCT05004064</w:t>
      </w:r>
      <w:r>
        <w:rPr>
          <w:rFonts w:ascii="Georgia" w:hAnsi="Georgia" w:cs="Georgia"/>
          <w:sz w:val="34"/>
          <w:sz-cs w:val="34"/>
          <w:spacing w:val="0"/>
          <w:color w:val="121826"/>
        </w:rPr>
        <w:t xml:space="preserve">, acalabrutinib with rituximab in elderly or frail untreated patients, University College London), OASIS-II (</w:t>
      </w:r>
      <w:r>
        <w:rPr>
          <w:rFonts w:ascii="Arial" w:hAnsi="Arial" w:cs="Arial"/>
          <w:sz w:val="19"/>
          <w:sz-cs w:val="19"/>
          <w:b/>
          <w:spacing w:val="0"/>
          <w:color w:val="121826"/>
        </w:rPr>
        <w:t xml:space="preserve">NCT04802590</w:t>
      </w:r>
      <w:r>
        <w:rPr>
          <w:rFonts w:ascii="Georgia" w:hAnsi="Georgia" w:cs="Georgia"/>
          <w:sz w:val="34"/>
          <w:sz-cs w:val="34"/>
          <w:spacing w:val="0"/>
          <w:color w:val="121826"/>
        </w:rPr>
        <w:t xml:space="preserve">, ibrutinib with an anti-CD20 antibody and venetoclax, LYSARC), MANGROVE (</w:t>
      </w:r>
      <w:r>
        <w:rPr>
          <w:rFonts w:ascii="Arial" w:hAnsi="Arial" w:cs="Arial"/>
          <w:sz w:val="19"/>
          <w:sz-cs w:val="19"/>
          <w:b/>
          <w:spacing w:val="0"/>
          <w:color w:val="121826"/>
        </w:rPr>
        <w:t xml:space="preserve">NCT04002297</w:t>
      </w:r>
      <w:r>
        <w:rPr>
          <w:rFonts w:ascii="Georgia" w:hAnsi="Georgia" w:cs="Georgia"/>
          <w:sz w:val="34"/>
          <w:sz-cs w:val="34"/>
          <w:spacing w:val="0"/>
          <w:color w:val="121826"/>
        </w:rPr>
        <w:t xml:space="preserve">, zanubrutinib with rituximab against bendamustine–rituximab in transplant-ineligible disease), TrAVeRse (</w:t>
      </w:r>
      <w:r>
        <w:rPr>
          <w:rFonts w:ascii="Arial" w:hAnsi="Arial" w:cs="Arial"/>
          <w:sz w:val="19"/>
          <w:sz-cs w:val="19"/>
          <w:b/>
          <w:spacing w:val="0"/>
          <w:color w:val="121826"/>
        </w:rPr>
        <w:t xml:space="preserve">NCT05951959</w:t>
      </w:r>
      <w:r>
        <w:rPr>
          <w:rFonts w:ascii="Georgia" w:hAnsi="Georgia" w:cs="Georgia"/>
          <w:sz w:val="34"/>
          <w:sz-cs w:val="34"/>
          <w:spacing w:val="0"/>
          <w:color w:val="121826"/>
        </w:rPr>
        <w:t xml:space="preserve">, acalabrutinib with venetoclax and rituximab), ENRICH (</w:t>
      </w:r>
      <w:r>
        <w:rPr>
          <w:rFonts w:ascii="Arial" w:hAnsi="Arial" w:cs="Arial"/>
          <w:sz w:val="19"/>
          <w:sz-cs w:val="19"/>
          <w:b/>
          <w:spacing w:val="0"/>
          <w:color w:val="121826"/>
        </w:rPr>
        <w:t xml:space="preserve">ISRCTN11038174</w:t>
      </w:r>
      <w:r>
        <w:rPr>
          <w:rFonts w:ascii="Georgia" w:hAnsi="Georgia" w:cs="Georgia"/>
          <w:sz w:val="34"/>
          <w:sz-cs w:val="34"/>
          <w:spacing w:val="0"/>
          <w:color w:val="121826"/>
        </w:rPr>
        <w:t xml:space="preserve">) and BRUIN MCL-321 (</w:t>
      </w:r>
      <w:r>
        <w:rPr>
          <w:rFonts w:ascii="Arial" w:hAnsi="Arial" w:cs="Arial"/>
          <w:sz w:val="19"/>
          <w:sz-cs w:val="19"/>
          <w:b/>
          <w:spacing w:val="0"/>
          <w:color w:val="121826"/>
        </w:rPr>
        <w:t xml:space="preserve">NCT04662255</w:t>
      </w:r>
      <w:r>
        <w:rPr>
          <w:rFonts w:ascii="Georgia" w:hAnsi="Georgia" w:cs="Georgia"/>
          <w:sz w:val="34"/>
          <w:sz-cs w:val="34"/>
          <w:spacing w:val="0"/>
          <w:color w:val="121826"/>
        </w:rPr>
        <w:t xml:space="preserve">, pirtobrutinib against investigator-choice covalent BTK inhibitor in BTKi-naive patients) are all active and not recruiting with United Kingdom involvement. Their readouts will bear directly on sections 7 and 9.</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MANGROVE HAS NOT BEEN PUBLISHED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No peer-reviewed primary publication of MANGROVE was retrievable on 30 July 2026. Topline results have circulated through company communication and secondary reporting. Under the evidence model in section 15 that is </w:t>
      </w:r>
      <w:r>
        <w:rPr>
          <w:rFonts w:ascii="Arial" w:hAnsi="Arial" w:cs="Arial"/>
          <w:sz w:val="17"/>
          <w:sz-cs w:val="17"/>
          <w:b/>
          <w:spacing w:val="0"/>
          <w:color w:val="FFFFFF"/>
        </w:rPr>
        <w:t xml:space="preserve">E</w:t>
      </w:r>
      <w:r>
        <w:rPr>
          <w:rFonts w:ascii="Georgia" w:hAnsi="Georgia" w:cs="Georgia"/>
          <w:sz w:val="34"/>
          <w:sz-cs w:val="34"/>
          <w:spacing w:val="0"/>
          <w:color w:val="121826"/>
        </w:rPr>
        <w:t xml:space="preserve">-level, and no MANGROVE efficacy figure is quoted anywhere in this guideline. Reassess when the primary publication appears.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Selected international studies without United Kingdom sites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These are recorded for horizon scanning only and are </w:t>
      </w:r>
      <w:r>
        <w:rPr>
          <w:rFonts w:ascii="Georgia" w:hAnsi="Georgia" w:cs="Georgia"/>
          <w:sz w:val="34"/>
          <w:sz-cs w:val="34"/>
          <w:b/>
          <w:spacing w:val="0"/>
          <w:color w:val="121826"/>
        </w:rPr>
        <w:t xml:space="preserve">not referable</w:t>
      </w:r>
      <w:r>
        <w:rPr>
          <w:rFonts w:ascii="Georgia" w:hAnsi="Georgia" w:cs="Georgia"/>
          <w:sz w:val="34"/>
          <w:sz-cs w:val="34"/>
          <w:spacing w:val="0"/>
          <w:color w:val="121826"/>
        </w:rPr>
        <w:t xml:space="preserve"> for a patient in the United Kingdom. First line: a randomised comparison of continuous against intermittent zanubrutinib in older untreated patients (</w:t>
      </w:r>
      <w:r>
        <w:rPr>
          <w:rFonts w:ascii="Arial" w:hAnsi="Arial" w:cs="Arial"/>
          <w:sz w:val="19"/>
          <w:sz-cs w:val="19"/>
          <w:b/>
          <w:spacing w:val="0"/>
          <w:color w:val="121826"/>
        </w:rPr>
        <w:t xml:space="preserve">NCT05976763</w:t>
      </w:r>
      <w:r>
        <w:rPr>
          <w:rFonts w:ascii="Georgia" w:hAnsi="Georgia" w:cs="Georgia"/>
          <w:sz w:val="34"/>
          <w:sz-cs w:val="34"/>
          <w:spacing w:val="0"/>
          <w:color w:val="121826"/>
        </w:rPr>
        <w:t xml:space="preserve">, phase III, United States); CARMAN, first-line brexucabtagene autoleucel with ibrutinib against chemoimmunotherapy in high-risk disease (</w:t>
      </w:r>
      <w:r>
        <w:rPr>
          <w:rFonts w:ascii="Arial" w:hAnsi="Arial" w:cs="Arial"/>
          <w:sz w:val="19"/>
          <w:sz-cs w:val="19"/>
          <w:b/>
          <w:spacing w:val="0"/>
          <w:color w:val="121826"/>
        </w:rPr>
        <w:t xml:space="preserve">NCT06482684</w:t>
      </w:r>
      <w:r>
        <w:rPr>
          <w:rFonts w:ascii="Georgia" w:hAnsi="Georgia" w:cs="Georgia"/>
          <w:sz w:val="34"/>
          <w:sz-cs w:val="34"/>
          <w:spacing w:val="0"/>
          <w:color w:val="121826"/>
        </w:rPr>
        <w:t xml:space="preserve">, phase II, Germany); BRAZAN (</w:t>
      </w:r>
      <w:r>
        <w:rPr>
          <w:rFonts w:ascii="Arial" w:hAnsi="Arial" w:cs="Arial"/>
          <w:sz w:val="19"/>
          <w:sz-cs w:val="19"/>
          <w:b/>
          <w:spacing w:val="0"/>
          <w:color w:val="121826"/>
        </w:rPr>
        <w:t xml:space="preserve">NCT06854003</w:t>
      </w:r>
      <w:r>
        <w:rPr>
          <w:rFonts w:ascii="Georgia" w:hAnsi="Georgia" w:cs="Georgia"/>
          <w:sz w:val="34"/>
          <w:sz-cs w:val="34"/>
          <w:spacing w:val="0"/>
          <w:color w:val="121826"/>
        </w:rPr>
        <w:t xml:space="preserve">, United States); and several randomised orelabrutinib combinations in China. Relapsed or refractory: randomised pirtobrutinib with brexucabtagene autoleucel (</w:t>
      </w:r>
      <w:r>
        <w:rPr>
          <w:rFonts w:ascii="Arial" w:hAnsi="Arial" w:cs="Arial"/>
          <w:sz w:val="19"/>
          <w:sz-cs w:val="19"/>
          <w:b/>
          <w:spacing w:val="0"/>
          <w:color w:val="121826"/>
        </w:rPr>
        <w:t xml:space="preserve">NCT06553872</w:t>
      </w:r>
      <w:r>
        <w:rPr>
          <w:rFonts w:ascii="Georgia" w:hAnsi="Georgia" w:cs="Georgia"/>
          <w:sz w:val="34"/>
          <w:sz-cs w:val="34"/>
          <w:spacing w:val="0"/>
          <w:color w:val="121826"/>
        </w:rPr>
        <w:t xml:space="preserve">, United States); glofitamab with pirtobrutinib (</w:t>
      </w:r>
      <w:r>
        <w:rPr>
          <w:rFonts w:ascii="Arial" w:hAnsi="Arial" w:cs="Arial"/>
          <w:sz w:val="19"/>
          <w:sz-cs w:val="19"/>
          <w:b/>
          <w:spacing w:val="0"/>
          <w:color w:val="121826"/>
        </w:rPr>
        <w:t xml:space="preserve">NCT05833763</w:t>
      </w:r>
      <w:r>
        <w:rPr>
          <w:rFonts w:ascii="Georgia" w:hAnsi="Georgia" w:cs="Georgia"/>
          <w:sz w:val="34"/>
          <w:sz-cs w:val="34"/>
          <w:spacing w:val="0"/>
          <w:color w:val="121826"/>
        </w:rPr>
        <w:t xml:space="preserve">, Australia); and a randomised comparison of rocbrutinib against investigator-choice BTK inhibitor (</w:t>
      </w:r>
      <w:r>
        <w:rPr>
          <w:rFonts w:ascii="Arial" w:hAnsi="Arial" w:cs="Arial"/>
          <w:sz w:val="19"/>
          <w:sz-cs w:val="19"/>
          <w:b/>
          <w:spacing w:val="0"/>
          <w:color w:val="121826"/>
        </w:rPr>
        <w:t xml:space="preserve">NCT07377578</w:t>
      </w:r>
      <w:r>
        <w:rPr>
          <w:rFonts w:ascii="Georgia" w:hAnsi="Georgia" w:cs="Georgia"/>
          <w:sz w:val="34"/>
          <w:sz-cs w:val="34"/>
          <w:spacing w:val="0"/>
          <w:color w:val="121826"/>
        </w:rPr>
        <w:t xml:space="preserve">, China).</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SEARCH LIMITS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sweep covered ClinicalTrials.gov, with partial retrieval from ISRCTN and from a United Kingdom charity trial finder. </w:t>
      </w:r>
      <w:r>
        <w:rPr>
          <w:rFonts w:ascii="Georgia" w:hAnsi="Georgia" w:cs="Georgia"/>
          <w:sz w:val="34"/>
          <w:sz-cs w:val="34"/>
          <w:b/>
          <w:spacing w:val="0"/>
          <w:color w:val="121826"/>
        </w:rPr>
        <w:t xml:space="preserve">The European Union Clinical Trials Information System returned HTTP 403 and was not searched</w:t>
      </w:r>
      <w:r>
        <w:rPr>
          <w:rFonts w:ascii="Georgia" w:hAnsi="Georgia" w:cs="Georgia"/>
          <w:sz w:val="34"/>
          <w:sz-cs w:val="34"/>
          <w:spacing w:val="0"/>
          <w:color w:val="121826"/>
        </w:rPr>
        <w:t xml:space="preserve">, so any European study not cross-registered on ClinicalTrials.gov is absent. ISRCTN could not be searched systematically, so a United Kingdom academic study registered only there may be missing. This list is therefore a floor, not a complete census.</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17. Non-routine access routes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Sections 15 and 18 record that several options with strong evidence have no NHS England commissioning route. That is a statement about commissioning, not about availability. Medicines do reach patients through routes that sit outside routine commissioning, and a guideline that records only the commissioning position will read as though those patients cannot be treated.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mechanisms below are genuinely different from one another in who supplies the medicine, who pays for it, what governance applies and whether they can serve a defined group of patients. Conflating them is the commonest error, and it has practical consequences: an arrangement described in the notes as “compassionate use” when it was in fact an NHS commissioning scheme will be governed, funded and audited wrongly.</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17. Non-routine access routes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Mechanism</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Who supplies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Who pays for the drug</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Controlling governance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Can it serve a defined cohort?</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Clinical trial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Sponsor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Sponsor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REC and HRA approval; trial protocol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MHRA Early Access to Medicines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Scientific Opinion holder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 supplied free of charge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MHRA Scientific Opinion, risk management plan, safety registry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 within the opinion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free-of-charge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through provider pharmacy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FoC policy PRN00297; chief pharmacist and medicines management committee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Compassionate use or named-patient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Outside</w:t>
      </w:r>
      <w:r>
        <w:rPr>
          <w:rFonts w:ascii="Georgia" w:hAnsi="Georgia" w:cs="Georgia"/>
          <w:sz w:val="21"/>
          <w:sz-cs w:val="21"/>
          <w:spacing w:val="0"/>
          <w:color w:val="121826"/>
        </w:rPr>
        <w:t xml:space="preserve"> the scope of PRN00297; GMC unlicensed-prescribing standards; local trust governance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patients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interim commissioning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scheme reference and Blueteq prior approval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Interim funding during a NICE appraisal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from the Cancer Drugs Fund budget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Applies </w:t>
      </w:r>
      <w:r>
        <w:rPr>
          <w:rFonts w:ascii="Georgia" w:hAnsi="Georgia" w:cs="Georgia"/>
          <w:sz w:val="21"/>
          <w:sz-cs w:val="21"/>
          <w:b/>
          <w:spacing w:val="0"/>
          <w:color w:val="121826"/>
        </w:rPr>
        <w:t xml:space="preserve">only after positive draft guidance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IFR commissioning policy; clinical exceptionality test</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w:t>
      </w:r>
      <w:r>
        <w:rPr>
          <w:rFonts w:ascii="Georgia" w:hAnsi="Georgia" w:cs="Georgia"/>
          <w:sz w:val="21"/>
          <w:sz-cs w:val="21"/>
          <w:spacing w:val="0"/>
          <w:color w:val="121826"/>
        </w:rPr>
        <w:t xml:space="preserve"> — see below</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AN INDIVIDUAL FUNDING REQUEST CANNOT BE A GUIDELINE ROUTE</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NHS England IFR commissioning policy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if there is evidence that other patients with the same condition could derive a similar type and degree of benefit from the treatment, the request is really for a new development in services for that group of patients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such requests are reclassified as a request for a new clinical policy. The test is clinical exceptionality against the typical patient population, and the policy is explicit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severity of a patient's condition does not in itself usually indicate exceptionality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It follows that </w:t>
      </w:r>
      <w:r>
        <w:rPr>
          <w:rFonts w:ascii="Georgia" w:hAnsi="Georgia" w:cs="Georgia"/>
          <w:sz w:val="34"/>
          <w:sz-cs w:val="34"/>
          <w:b/>
          <w:spacing w:val="0"/>
          <w:color w:val="121826"/>
        </w:rPr>
        <w:t xml:space="preserve">no guideline can name an individual funding request as the access route for a defined population</w:t>
      </w:r>
      <w:r>
        <w:rPr>
          <w:rFonts w:ascii="Georgia" w:hAnsi="Georgia" w:cs="Georgia"/>
          <w:sz w:val="34"/>
          <w:sz-cs w:val="34"/>
          <w:spacing w:val="0"/>
          <w:color w:val="121826"/>
        </w:rPr>
        <w:t xml:space="preserve">. Writing one in is self-defeating: the existence of the guideline cohort is itself evidence of non-exceptionality. Cohort access must be pursued through clinical policy development, a managed access fund, a free-of-charge scheme or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Company early access schemes in first-line disease</w:t>
      </w:r>
      <w:r>
        <w:rPr>
          <w:rFonts w:ascii="Georgia" w:hAnsi="Georgia" w:cs="Georgia"/>
          <w:sz w:val="39"/>
          <w:sz-cs w:val="39"/>
          <w:b/>
          <w:spacing w:val="0"/>
          <w:color w:val="151E39"/>
        </w:rPr>
        <w:t xml:space="preserve"/>
      </w:r>
    </w:p>
    <w:p>
      <w:pPr/>
      <w:r>
        <w:rPr>
          <w:rFonts w:ascii="Arial" w:hAnsi="Arial" w:cs="Arial"/>
          <w:sz w:val="17"/>
          <w:sz-cs w:val="17"/>
          <w:b/>
          <w:spacing w:val="0"/>
          <w:color w:val="151E39"/>
        </w:rPr>
        <w:t xml:space="preserve">ATTESTED BY THE ACCOUNTABLE OWNER, 30 JULY 2026</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Both first-line regimens recorded elsewhere in this guideline as having no routine commissioning route are reaching patients in the United Kingdom through company early access schemes, and the accountable owner has patients on both:</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Acalabrutinib with bendamustine and rituximab</w:t>
      </w:r>
      <w:r>
        <w:rPr>
          <w:rFonts w:ascii="Georgia" w:hAnsi="Georgia" w:cs="Georgia"/>
          <w:sz w:val="34"/>
          <w:sz-cs w:val="34"/>
          <w:spacing w:val="0"/>
          <w:color w:val="121826"/>
        </w:rPr>
        <w:t xml:space="preserve"> — supplied by AstraZeneca through an early access scheme.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 in the TRIANGLE regimen</w:t>
      </w:r>
      <w:r>
        <w:rPr>
          <w:rFonts w:ascii="Georgia" w:hAnsi="Georgia" w:cs="Georgia"/>
          <w:sz w:val="34"/>
          <w:sz-cs w:val="34"/>
          <w:spacing w:val="0"/>
          <w:color w:val="121826"/>
        </w:rPr>
        <w:t xml:space="preserve"> — supplied by Johnson &amp; Johnson.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These are owner-reported local or non-routine arrangements. Their existence, scope, eligibility, duration and continuation terms have not been independently verified in this candidate. They must not be presented as national access routes. Confirm the current written agreement with the relevant company and chief pharmacist before discussing availability with a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Both are recorded as OWNER-ATTESTED, not as demonstrated national access routes, and must not be described as routine United Kingdom or NHS availability.</w:t>
      </w:r>
      <w:r>
        <w:rPr>
          <w:rFonts w:ascii="Georgia" w:hAnsi="Georgia" w:cs="Georgia"/>
          <w:sz w:val="34"/>
          <w:sz-cs w:val="34"/>
          <w:spacing w:val="0"/>
          <w:color w:val="121826"/>
        </w:rPr>
        <w:t xml:space="preserve"> Before either scheme is offered to a patient the private scheme documentation should be reviewed and recorded locally, capturing: scheme document identity; date checked; applicable nations and trusts; exact eligibility; supply duration; closure and continuation provisions; the accountable private verifier; and a document hash or controlled evidence reference. If that documentation cannot be reviewed, these statements belong in a clearly non-authoritative local operational annex rather than in the public guideline.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is recorded on the direct attestation of the accountable owner. Neither scheme is publicly listed. Public invisibility is a known property of this class of arrangement, but it is not corroboration: the existence, scope, eligibility, duration and continuation terms of these two schemes have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been independently verified in this candidate. Any local scheme reference, written agreement or pharmacy record would be the definitive documentation, and none has been reviewed here.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Both regimens hold a Great Britain marketing authorisation, and the two licensed populations are </w:t>
      </w:r>
      <w:r>
        <w:rPr>
          <w:rFonts w:ascii="Georgia" w:hAnsi="Georgia" w:cs="Georgia"/>
          <w:sz w:val="34"/>
          <w:sz-cs w:val="34"/>
          <w:b/>
          <w:spacing w:val="0"/>
          <w:color w:val="121826"/>
        </w:rPr>
        <w:t xml:space="preserve">complementary and non-overlapping</w:t>
      </w:r>
      <w:r>
        <w:rPr>
          <w:rFonts w:ascii="Georgia" w:hAnsi="Georgia" w:cs="Georgia"/>
          <w:sz w:val="34"/>
          <w:sz-cs w:val="34"/>
          <w:spacing w:val="0"/>
          <w:color w:val="121826"/>
        </w:rPr>
        <w:t xml:space="preserve">. Getting that distinction right is the single most important practical point in this section, because the schemes track the licences.</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Company early access schemes in first-line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Licensed population, verbatim from the current SmPC</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SmPC revision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Marketing authorisation holder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Acalabrutinib with bendamustine and rituximab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Calquence in combination with bendamustine and rituximab (BR) is indicated for the treatment of adult patients with previously untreated mantle cell lymphoma (MCL) who are </w:t>
      </w:r>
      <w:r>
        <w:rPr>
          <w:rFonts w:ascii="Georgia" w:hAnsi="Georgia" w:cs="Georgia"/>
          <w:sz w:val="21"/>
          <w:sz-cs w:val="21"/>
          <w:b/>
          <w:spacing w:val="0"/>
          <w:color w:val="121826"/>
        </w:rPr>
        <w:t xml:space="preserve">not eligible</w:t>
      </w:r>
      <w:r>
        <w:rPr>
          <w:rFonts w:ascii="Georgia" w:hAnsi="Georgia" w:cs="Georgia"/>
          <w:sz w:val="21"/>
          <w:sz-cs w:val="21"/>
          <w:spacing w:val="0"/>
          <w:color w:val="121826"/>
        </w:rPr>
        <w:t xml:space="preserve"> for autologous stem cell transplant (ASCT).</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11 March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AstraZeneca UK Limited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TRIANGLE regimen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IMBRUVICA in combination with rituximab, cyclophosphamide, doxorubicin, vincristine, and prednisolone (IMBRUVICA + R-CHOP) alternating with R-DHAP (or R-DHAOx) without IMBRUVICA, followed by IMBRUVICA monotherapy, is indicated for the treatment of adult patients with previously untreated mantle cell lymphoma (MCL) who </w:t>
      </w:r>
      <w:r>
        <w:rPr>
          <w:rFonts w:ascii="Georgia" w:hAnsi="Georgia" w:cs="Georgia"/>
          <w:sz w:val="21"/>
          <w:sz-cs w:val="21"/>
          <w:b/>
          <w:spacing w:val="0"/>
          <w:color w:val="121826"/>
        </w:rPr>
        <w:t xml:space="preserve">would be eligible</w:t>
      </w:r>
      <w:r>
        <w:rPr>
          <w:rFonts w:ascii="Georgia" w:hAnsi="Georgia" w:cs="Georgia"/>
          <w:sz w:val="21"/>
          <w:sz-cs w:val="21"/>
          <w:spacing w:val="0"/>
          <w:color w:val="121826"/>
        </w:rPr>
        <w:t xml:space="preserve"> for autologous stem cell transplantation (ASCT).</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26 May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Janssen-Cilag Ltd</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TRANSPLANT ELIGIBILITY IS THE SELECTION CRITERION, AND IT RUNS OPPOSITE WAYS</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Acalabrutinib with bendamustine–rituximab is licensed only for patients who are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eligible for autologous stem-cell transplantation. The TRIANGLE ibrutinib regimen is licensed only for patients who </w:t>
      </w:r>
      <w:r>
        <w:rPr>
          <w:rFonts w:ascii="Georgia" w:hAnsi="Georgia" w:cs="Georgia"/>
          <w:sz w:val="34"/>
          <w:sz-cs w:val="34"/>
          <w:b/>
          <w:spacing w:val="0"/>
          <w:color w:val="121826"/>
        </w:rPr>
        <w:t xml:space="preserve">would be</w:t>
      </w:r>
      <w:r>
        <w:rPr>
          <w:rFonts w:ascii="Georgia" w:hAnsi="Georgia" w:cs="Georgia"/>
          <w:sz w:val="34"/>
          <w:sz-cs w:val="34"/>
          <w:spacing w:val="0"/>
          <w:color w:val="121826"/>
        </w:rPr>
        <w:t xml:space="preserve"> eligible. The two licensed populations are complementary and non-overlapping, dividing at the same point section 6 and section 7 do. That describes the </w:t>
      </w:r>
      <w:r>
        <w:rPr>
          <w:rFonts w:ascii="Georgia" w:hAnsi="Georgia" w:cs="Georgia"/>
          <w:sz w:val="34"/>
          <w:sz-cs w:val="34"/>
          <w:i/>
          <w:spacing w:val="0"/>
          <w:color w:val="121826"/>
        </w:rPr>
        <w:t xml:space="preserve">licences</w:t>
      </w:r>
      <w:r>
        <w:rPr>
          <w:rFonts w:ascii="Georgia" w:hAnsi="Georgia" w:cs="Georgia"/>
          <w:sz w:val="34"/>
          <w:sz-cs w:val="34"/>
          <w:spacing w:val="0"/>
          <w:color w:val="121826"/>
        </w:rPr>
        <w:t xml:space="preserve">; it does not establish that the two schemes together make treatment available to every first-line patient.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practical consequence: assessment and documentation of transplant eligibility determines which scheme a patient can enter, and using either regimen on the other side of that line is off-label against its Great Britain SmPC. Record the eligibility determination and its basis before approaching either company.</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mechanism here is a </w:t>
      </w:r>
      <w:r>
        <w:rPr>
          <w:rFonts w:ascii="Georgia" w:hAnsi="Georgia" w:cs="Georgia"/>
          <w:sz w:val="34"/>
          <w:sz-cs w:val="34"/>
          <w:b/>
          <w:spacing w:val="0"/>
          <w:color w:val="121826"/>
        </w:rPr>
        <w:t xml:space="preserve">post-licence, pre-reimbursement company scheme</w:t>
      </w:r>
      <w:r>
        <w:rPr>
          <w:rFonts w:ascii="Georgia" w:hAnsi="Georgia" w:cs="Georgia"/>
          <w:sz w:val="34"/>
          <w:sz-cs w:val="34"/>
          <w:spacing w:val="0"/>
          <w:color w:val="121826"/>
        </w:rPr>
        <w:t xml:space="preserve">. It is not compassionate use in the regulatory sense, not the MHRA Early Access to Medicines Scheme, and not an unlicensed supply. Both medicines are licensed for the population being treated; what is missing is the NICE recommendation and therefore the commissioned funding. That is precisely the gap the NHS England free-of-charge medicines policy exists to govern, and the governance requirements below apply in full.</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AN NHS NETWORK PATHWAY NAMES THE ROUTE IN WRITING</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Thames Valley Network Site Specific Group front-line mantle cell lymphoma pathway (document </w:t>
      </w:r>
      <w:r>
        <w:rPr>
          <w:rFonts w:ascii="Georgia" w:hAnsi="Georgia" w:cs="Georgia"/>
          <w:sz w:val="34"/>
          <w:sz-cs w:val="34"/>
          <w:b/>
          <w:spacing w:val="0"/>
          <w:color w:val="121826"/>
        </w:rPr>
        <w:t xml:space="preserve">LPW.8, version 1.3, reviewed September 2025, review due September 2027</w:t>
      </w:r>
      <w:r>
        <w:rPr>
          <w:rFonts w:ascii="Georgia" w:hAnsi="Georgia" w:cs="Georgia"/>
          <w:sz w:val="34"/>
          <w:sz-cs w:val="34"/>
          <w:spacing w:val="0"/>
          <w:color w:val="121826"/>
        </w:rPr>
        <w:t xml:space="preserve">) lists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BR3 +/- acala (preferred)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as a first-line option, and its footnote 3 reads verbatim, typographical error included: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BR+Acalabrutinib according the ECHO trial. Avaliable via EAP.</w:t>
      </w:r>
      <w:r>
        <w:rPr>
          <w:rFonts w:ascii="Georgia" w:hAnsi="Georgia" w:cs="Georgia"/>
          <w:sz w:val="34"/>
          <w:sz-cs w:val="34"/>
          <w:spacing w:val="0"/>
          <w:color w:val="121826"/>
        </w:rPr>
        <w:t xml:space="preserve">”</w:t>
      </w:r>
    </w:p>
    <w:p>
      <w:pPr>
        <w:spacing w:after="340"/>
      </w:pPr>
      <w:r>
        <w:rPr>
          <w:rFonts w:ascii="Georgia" w:hAnsi="Georgia" w:cs="Georgia"/>
          <w:sz w:val="34"/>
          <w:sz-cs w:val="34"/>
          <w:spacing w:val="0"/>
          <w:color w:val="121826"/>
        </w:rPr>
        <w:t xml:space="preserve">This is an NHS network document, published by a cancer alliance site-specific group, recording an early access programme as the route to acalabrutinib–bendamustine–rituximab in first-line disease. It corroborates the mechanism independently of any company source. It names neither the company nor the funder, and it carries no Blueteq or commissioning reference, which is what one would expect of an arrangement held under a written agreement at trust level.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One discrepancy to resolve locally.</w:t>
      </w:r>
      <w:r>
        <w:rPr>
          <w:rFonts w:ascii="Georgia" w:hAnsi="Georgia" w:cs="Georgia"/>
          <w:sz w:val="34"/>
          <w:sz-cs w:val="34"/>
          <w:spacing w:val="0"/>
          <w:color w:val="121826"/>
        </w:rPr>
        <w:t xml:space="preserve"> That pathway places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BR3 +/- acala (preferred)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in </w:t>
      </w:r>
      <w:r>
        <w:rPr>
          <w:rFonts w:ascii="Georgia" w:hAnsi="Georgia" w:cs="Georgia"/>
          <w:sz w:val="34"/>
          <w:sz-cs w:val="34"/>
          <w:i/>
          <w:spacing w:val="0"/>
          <w:color w:val="121826"/>
        </w:rPr>
        <w:t xml:space="preserve">both</w:t>
      </w:r>
      <w:r>
        <w:rPr>
          <w:rFonts w:ascii="Georgia" w:hAnsi="Georgia" w:cs="Georgia"/>
          <w:sz w:val="34"/>
          <w:sz-cs w:val="34"/>
          <w:spacing w:val="0"/>
          <w:color w:val="121826"/>
        </w:rPr>
        <w:t xml:space="preserve"> the transplant-eligible and the transplant-ineligible branches. The Great Britain marketing authorisation covers only patients </w:t>
      </w:r>
      <w:r>
        <w:rPr>
          <w:rFonts w:ascii="Georgia" w:hAnsi="Georgia" w:cs="Georgia"/>
          <w:sz w:val="34"/>
          <w:sz-cs w:val="34"/>
          <w:b/>
          <w:spacing w:val="0"/>
          <w:color w:val="121826"/>
        </w:rPr>
        <w:t xml:space="preserve">not eligible</w:t>
      </w:r>
      <w:r>
        <w:rPr>
          <w:rFonts w:ascii="Georgia" w:hAnsi="Georgia" w:cs="Georgia"/>
          <w:sz w:val="34"/>
          <w:sz-cs w:val="34"/>
          <w:spacing w:val="0"/>
          <w:color w:val="121826"/>
        </w:rPr>
        <w:t xml:space="preserve"> for autologous stem-cell transplantation. Use in a transplant-eligible patient is therefore off-label against the SmPC and needs the governance that off-label use attracts, whatever the supply route. Check the branch placement against your own network pathway before relying on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That AstraZeneca operates schemes of this kind in United Kingdom haematology is independently documented. The EPIC study —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 non-interventional, observational cohort study of Chronic Lymphocytic Leukaemia patients treated with acalabrutinib in the first-line setting through the UK Early Access Programme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(study code D8220R00033, NCT05557695) — was built specifically to follow up patients who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started treatment as part of the acalabrutinib Early Access Programme (EAP)</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That programme was in first-line chronic lymphocytic leukaemia rather than mantle cell lymphoma, but it establishes the named mechanism, the company and the country, and it shows the pattern these schemes follow: supply during the funding gap, with an observational study attached to generate the real-world evidence.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Why neither scheme appears in any public search</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An earlier revision of this section reported that no published programme could be located for either regimen. That statement was accurate about the sources searched and </w:t>
      </w:r>
      <w:r>
        <w:rPr>
          <w:rFonts w:ascii="Georgia" w:hAnsi="Georgia" w:cs="Georgia"/>
          <w:sz w:val="34"/>
          <w:sz-cs w:val="34"/>
          <w:b/>
          <w:spacing w:val="0"/>
          <w:color w:val="121826"/>
        </w:rPr>
        <w:t xml:space="preserve">misleading about what it implied</w:t>
      </w:r>
      <w:r>
        <w:rPr>
          <w:rFonts w:ascii="Georgia" w:hAnsi="Georgia" w:cs="Georgia"/>
          <w:sz w:val="34"/>
          <w:sz-cs w:val="34"/>
          <w:spacing w:val="0"/>
          <w:color w:val="121826"/>
        </w:rPr>
        <w:t xml:space="preserve">. The sources were the wrong ones.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ClinicalTrials.gov registers expanded access programmes, which is a United States regulatory construct; a United Kingdom post-licence company scheme is not an expanded access programme and does not belong there. European Medicines Agency compassionate use opinions under Article 83 are optional, and only six have ever been issued, none in oncology. Neither instrument would ever capture the schemes described above. Searching them and reporting a null result produced a false impression of absence.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published literature on these schemes explains the invisibility directly. A retrospective review of free-of-charge schemes evaluated between 2013 and 2019 by a single NHS trust and a regional drug and therapeutics committee (S45) found that </w:t>
      </w:r>
      <w:r>
        <w:rPr>
          <w:rFonts w:ascii="Georgia" w:hAnsi="Georgia" w:cs="Georgia"/>
          <w:sz w:val="34"/>
          <w:sz-cs w:val="34"/>
          <w:b/>
          <w:spacing w:val="0"/>
          <w:color w:val="121826"/>
        </w:rPr>
        <w:t xml:space="preserve">90% were company schemes</w:t>
      </w:r>
      <w:r>
        <w:rPr>
          <w:rFonts w:ascii="Georgia" w:hAnsi="Georgia" w:cs="Georgia"/>
          <w:sz w:val="34"/>
          <w:sz-cs w:val="34"/>
          <w:spacing w:val="0"/>
          <w:color w:val="121826"/>
        </w:rPr>
        <w:t xml:space="preserve"> and only 10% were MHRA Early Access to Medicines Scheme arrangements reviewed locally, and that use of company schemes grew by an average of 50% per year while the MHRA scheme showed little growth. The authors concluded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there is no standardisation of this practice and there is no regulatory oversight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that no standardised data collection framework exists. There is no national register to search. Approval sits with the integrated care system and the individual trust, under a written agreement between the company and that trust.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THE RULE THIS GUIDELINE NOW FOLLOWS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Where this document records that an option has no routine commissioning route, that is a statement about NHS commissioning only. It is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a statement that the option is unavailable, and it must never be read as one. A company early access or free-of-charge scheme may exist for a licensed medicine sitting in the gap between marketing authorisation and a NICE recommendation. This guideline cannot enumerate them, and does not assert that any particular one exists.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Before concluding that a patient has no option, ask the company directly and ask your chief pharmacist what agreements the trust already holds.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What NHS-side sources show for all four regimens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 second search, restricted to NHS sources — Specialist Pharmacy Service, the national Cancer Drugs Fund list, NHS England commissioning policies, network site-specific group protocol libraries, cancer alliance protocol archives, trust and regional formularies and free-of-charge policies — produced the following.</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What NHS-side sources show for all four regimens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NHS-side documentation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Route class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Acalabrutinib with bendamustine–rituximab,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Found.</w:t>
      </w:r>
      <w:r>
        <w:rPr>
          <w:rFonts w:ascii="Georgia" w:hAnsi="Georgia" w:cs="Georgia"/>
          <w:sz w:val="21"/>
          <w:sz-cs w:val="21"/>
          <w:spacing w:val="0"/>
          <w:color w:val="121826"/>
        </w:rPr>
        <w:t xml:space="preserve"> Thames Valley NSSG pathway LPW.8 v1.3 names an early access programme.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early access programme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TRIANGLE regimen,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 in any protocol library read.</w:t>
      </w:r>
      <w:r>
        <w:rPr>
          <w:rFonts w:ascii="Georgia" w:hAnsi="Georgia" w:cs="Georgia"/>
          <w:sz w:val="21"/>
          <w:sz-cs w:val="21"/>
          <w:spacing w:val="0"/>
          <w:color w:val="121826"/>
        </w:rPr>
        <w:t xml:space="preserve"> The only NHS document located on first-line ibrutinib in mantle cell lymphoma is the Thames Valley protocol L.38 v3.1, which records the opposite direction of travel: the COVID-era indication is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not commissioned for new patients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from 1 October 2022, with funding continuing only for patients who had Blueteq approval before that date.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scheme, attested but not publicly documented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w:t>
      </w:r>
      <w:r>
        <w:rPr>
          <w:rFonts w:ascii="Georgia" w:hAnsi="Georgia" w:cs="Georgia"/>
          <w:sz w:val="21"/>
          <w:sz-cs w:val="21"/>
          <w:spacing w:val="0"/>
          <w:color w:val="121826"/>
        </w:rPr>
        <w:t xml:space="preserve"> Every NHS glofitamab protocol located is restricted to diffuse large B-cell lymphoma, primary mediastinal B-cell lymphoma or high-grade B-cell lymphoma. The Thames Valley protocol L.149 v3.0 records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EAMS closed; NICE TA published</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and carries 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Trial (GLOBRYTE), or an undocumented local arrangement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 for mantle cell lymphoma.</w:t>
      </w:r>
      <w:r>
        <w:rPr>
          <w:rFonts w:ascii="Georgia" w:hAnsi="Georgia" w:cs="Georgia"/>
          <w:sz w:val="21"/>
          <w:sz-cs w:val="21"/>
          <w:spacing w:val="0"/>
          <w:color w:val="121826"/>
        </w:rPr>
        <w:t xml:space="preserve"> The only NHS pirtobrutinib protocol located is restricted to chronic lymphocytic leukaemia and small lymphocytic lymphoma. Note that pirtobrutinib </w:t>
      </w:r>
      <w:r>
        <w:rPr>
          <w:rFonts w:ascii="Georgia" w:hAnsi="Georgia" w:cs="Georgia"/>
          <w:sz w:val="21"/>
          <w:sz-cs w:val="21"/>
          <w:i/>
          <w:spacing w:val="0"/>
          <w:color w:val="121826"/>
        </w:rPr>
        <w:t xml:space="preserve">is</w:t>
      </w:r>
      <w:r>
        <w:rPr>
          <w:rFonts w:ascii="Georgia" w:hAnsi="Georgia" w:cs="Georgia"/>
          <w:sz w:val="21"/>
          <w:sz-cs w:val="21"/>
          <w:spacing w:val="0"/>
          <w:color w:val="121826"/>
        </w:rPr>
        <w:t xml:space="preserve"> routinely funded in England for chronic lymphocytic leukaemia under TA1173; that route must not be transposed.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Registered expanded access programme, or an undocumented local arrangement</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Two limits on the negative findings. Large parts of the NHS formulary estate could not be read — the netFormulary platform disallows automated retrieval, several regional sites failed to resolve, and the Specialist Pharmacy Service prescribing outlook and its prior-approval standardisation content sit behind NHS authentication. And a network pathway is published only where a network chooses to publish; the Thames Valley finding surfaced only because that group publishes its pathways openly. Equivalent arrangements may exist elsewhere without leaving a public trace, and this list should not be read as complete.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Pirtobrutinib and glofitamab — the registry position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For completeness, the position found for the two relapsed-setting agents most often raised, on the same caveat that public sources are an unreliable guide: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A named individual-patient expanded access programme is registered — NCT05172700, sponsored by Loxo Oncology at Eli Lilly — explicitly covering mantle cell lymphoma previously treated with a covalent BTK inhibitor. No United Kingdom site is listed on the registry entry; requests outside the United States route through the local company office. Note the tension worth raising with the company: the same manufacturer declined to make an evidence submission to NICE, which is why the appraisal is suspended.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Glofitamab.</w:t>
      </w:r>
      <w:r>
        <w:rPr>
          <w:rFonts w:ascii="Georgia" w:hAnsi="Georgia" w:cs="Georgia"/>
          <w:sz w:val="34"/>
          <w:sz-cs w:val="34"/>
          <w:spacing w:val="0"/>
          <w:color w:val="121826"/>
        </w:rPr>
        <w:t xml:space="preserve"> The manufacturer's published compassionate use list covers diffuse large B-cell lymphoma, transformed follicular lymphoma and primary mediastinal B-cell lymphoma; mantle cell lymphoma is not on that list. The expired MHRA early-access opinion was also diffuse large B-cell lymphoma only. The documented United Kingdom route is the GLOBRYTE trial. If a local scheme exists it is not publicly recorded, and the same caveat applies.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Non-routine routes in Scotland, Wales and Northern Ireland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four nations do not share a mechanism, and — this is the point most often got wrong — they do not share a </w:t>
      </w:r>
      <w:r>
        <w:rPr>
          <w:rFonts w:ascii="Georgia" w:hAnsi="Georgia" w:cs="Georgia"/>
          <w:sz w:val="34"/>
          <w:sz-cs w:val="34"/>
          <w:i/>
          <w:spacing w:val="0"/>
          <w:color w:val="121826"/>
        </w:rPr>
        <w:t xml:space="preserve">test</w:t>
      </w:r>
      <w:r>
        <w:rPr>
          <w:rFonts w:ascii="Georgia" w:hAnsi="Georgia" w:cs="Georgia"/>
          <w:sz w:val="34"/>
          <w:sz-cs w:val="34"/>
          <w:spacing w:val="0"/>
          <w:color w:val="121826"/>
        </w:rPr>
        <w:t xml:space="preserve">. A funding request drafted for one nation can argue against itself in another.</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Non-routine routes in Scotland, Wales and Northern Ireland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Mechanism</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The test to argue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Decision-maker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England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Clinical exceptionality.</w:t>
      </w:r>
      <w:r>
        <w:rPr>
          <w:rFonts w:ascii="Georgia" w:hAnsi="Georgia" w:cs="Georgia"/>
          <w:sz w:val="21"/>
          <w:sz-cs w:val="21"/>
          <w:spacing w:val="0"/>
          <w:color w:val="121826"/>
        </w:rPr>
        <w:t xml:space="preserve"> The patient must be materially different from the typical patient population. Cohorts are excluded by definition.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ICB or NHS England IFR panel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Scotland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PACS Tier 2</w:t>
      </w:r>
      <w:r>
        <w:rPr>
          <w:rFonts w:ascii="Georgia" w:hAnsi="Georgia" w:cs="Georgia"/>
          <w:sz w:val="21"/>
          <w:sz-cs w:val="21"/>
          <w:spacing w:val="0"/>
          <w:color w:val="121826"/>
        </w:rPr>
        <w:t xml:space="preserve"> (Peer Approved Clinical System). Covers licensed medicines not recommended by SMC, use outside an SMC restriction, and — importantly — </w:t>
      </w:r>
      <w:r>
        <w:rPr>
          <w:rFonts w:ascii="Georgia" w:hAnsi="Georgia" w:cs="Georgia"/>
          <w:sz w:val="21"/>
          <w:sz-cs w:val="21"/>
          <w:b/>
          <w:spacing w:val="0"/>
          <w:color w:val="121826"/>
        </w:rPr>
        <w:t xml:space="preserve">medicines awaiting or undergoing SMC evaluation</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exceptionality test.</w:t>
      </w:r>
      <w:r>
        <w:rPr>
          <w:rFonts w:ascii="Georgia" w:hAnsi="Georgia" w:cs="Georgia"/>
          <w:sz w:val="21"/>
          <w:sz-cs w:val="21"/>
          <w:spacing w:val="0"/>
          <w:color w:val="121826"/>
        </w:rPr>
        <w:t xml:space="preserve"> Two limbs: that a reasonable attempt has been made to use SMC-accepted options first, and an evidence-based case that this patient will achieve benefit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at least comparable to if not better than</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the population SMC considered. </w:t>
      </w:r>
      <w:r>
        <w:rPr>
          <w:rFonts w:ascii="Georgia" w:hAnsi="Georgia" w:cs="Georgia"/>
          <w:sz w:val="21"/>
          <w:sz-cs w:val="21"/>
          <w:b/>
          <w:spacing w:val="0"/>
          <w:color w:val="121826"/>
        </w:rPr>
        <w:t xml:space="preserve">Arguing exceptionality actively weakens the application.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Local board panel: senior physician plus senior pharmacist. Appeal to the Healthcare Improvement Scotland national review panel.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Wales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Individual patient funding request</w:t>
      </w:r>
      <w:r>
        <w:rPr>
          <w:rFonts w:ascii="Georgia" w:hAnsi="Georgia" w:cs="Georgia"/>
          <w:sz w:val="21"/>
          <w:sz-cs w:val="21"/>
          <w:spacing w:val="0"/>
          <w:color w:val="121826"/>
        </w:rPr>
        <w:t xml:space="preserve">, in two limbs; plus </w:t>
      </w:r>
      <w:r>
        <w:rPr>
          <w:rFonts w:ascii="Georgia" w:hAnsi="Georgia" w:cs="Georgia"/>
          <w:sz w:val="21"/>
          <w:sz-cs w:val="21"/>
          <w:b/>
          <w:spacing w:val="0"/>
          <w:color w:val="121826"/>
        </w:rPr>
        <w:t xml:space="preserve">One Wales</w:t>
      </w:r>
      <w:r>
        <w:rPr>
          <w:rFonts w:ascii="Georgia" w:hAnsi="Georgia" w:cs="Georgia"/>
          <w:sz w:val="21"/>
          <w:sz-cs w:val="21"/>
          <w:spacing w:val="0"/>
          <w:color w:val="121826"/>
        </w:rPr>
        <w:t xml:space="preserve"> for a defined cohort where use is unlicensed or off-label.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Limb (a), where guidance recommends against: the patient must be significantly different and gain significantly more benefit. </w:t>
      </w:r>
      <w:r>
        <w:rPr>
          <w:rFonts w:ascii="Georgia" w:hAnsi="Georgia" w:cs="Georgia"/>
          <w:sz w:val="21"/>
          <w:sz-cs w:val="21"/>
          <w:b/>
          <w:spacing w:val="0"/>
          <w:color w:val="121826"/>
        </w:rPr>
        <w:t xml:space="preserve">Limb (b), where the intervention has not been appraised: significant clinical benefit and reasonable value for money only — atypicality is not required.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Health board IPFR panel including two lay representatives. One Wales runs through OWMAG to health board chief executives.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Northern Ireland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 NICE appraisals are separately endorsed for Health and Social Care before they apply.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Exceptionality-based. Applications may be made </w:t>
      </w:r>
      <w:r>
        <w:rPr>
          <w:rFonts w:ascii="Georgia" w:hAnsi="Georgia" w:cs="Georgia"/>
          <w:sz w:val="21"/>
          <w:sz-cs w:val="21"/>
          <w:b/>
          <w:spacing w:val="0"/>
          <w:color w:val="121826"/>
        </w:rPr>
        <w:t xml:space="preserve">only by a hospital consultant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IFR Regional Scrutiny Committee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TWO CONSEQUENCES WORTH ACTING ON</w:t>
      </w:r>
      <w:r>
        <w:rPr>
          <w:rFonts w:ascii="Arial" w:hAnsi="Arial" w:cs="Arial"/>
          <w:sz w:val="17"/>
          <w:sz-cs w:val="17"/>
          <w:b/>
          <w:spacing w:val="0"/>
          <w:color w:val="151E39"/>
        </w:rPr>
        <w:t xml:space="preserve"/>
      </w:r>
    </w:p>
    <w:p>
      <w:pPr>
        <w:spacing w:after="340"/>
      </w:pPr>
      <w:r>
        <w:rPr>
          <w:rFonts w:ascii="Georgia" w:hAnsi="Georgia" w:cs="Georgia"/>
          <w:sz w:val="34"/>
          <w:sz-cs w:val="34"/>
          <w:b/>
          <w:spacing w:val="0"/>
          <w:color w:val="121826"/>
        </w:rPr>
        <w:t xml:space="preserve">Scotland.</w:t>
      </w:r>
      <w:r>
        <w:rPr>
          <w:rFonts w:ascii="Georgia" w:hAnsi="Georgia" w:cs="Georgia"/>
          <w:sz w:val="34"/>
          <w:sz-cs w:val="34"/>
          <w:spacing w:val="0"/>
          <w:color w:val="121826"/>
        </w:rPr>
        <w:t xml:space="preserve"> Acalabrutinib with bendamustine–rituximab is under SMC consideration (SMC2929), and a medicine awaiting SMC evaluation falls squarely inside PACS Tier 2. An application can be made now. Pirtobrutinib was a non-submission (SMC2897, published 19 January 2026), which means SMC issued advice of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not recommended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without ever assessing the evidence — that is a legitimate argument to put in a PACS Tier 2 application, not an obstacle to it. Glofitamab has no mantle cell lymphoma licence, so PACS Tier 2 does not apply and the board's off-label medicines route is the correct one.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Wales.</w:t>
      </w:r>
      <w:r>
        <w:rPr>
          <w:rFonts w:ascii="Georgia" w:hAnsi="Georgia" w:cs="Georgia"/>
          <w:sz w:val="34"/>
          <w:sz-cs w:val="34"/>
          <w:spacing w:val="0"/>
          <w:color w:val="121826"/>
        </w:rPr>
        <w:t xml:space="preserve"> The TRIANGLE regimen is licensed but has never been appraised, which puts it in IPFR limb (b) — significant clinical benefit and reasonable value for money, with no requirement to show the patient is atypical. That is a materially lower bar than the English test, and a letter written for an English panel will be arguing the wrong thing. Separately, One Wales decision OW09 already supports bendamustine with rituximab in mantle cell lymphoma, issued March 2017 and last reviewed March 2026.</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Governance for a free-of-charge scheme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a company scheme is used for a group of patients in England, the controlling document is the NHS England policy on free-of-charge medicines schemes. Its requirements are not administrative detail; several of them are the difference between a defensible arrangement and an indefensible one.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Definition.</w:t>
      </w:r>
      <w:r>
        <w:rPr>
          <w:rFonts w:ascii="Georgia" w:hAnsi="Georgia" w:cs="Georgia"/>
          <w:sz w:val="34"/>
          <w:sz-cs w:val="34"/>
          <w:spacing w:val="0"/>
          <w:color w:val="121826"/>
        </w:rPr>
        <w:t xml:space="preserve"> An arrangement where a licensed or unlicensed medicine is provided free of charge by a pharmaceutical company to an individual patient or an identified cohort. Heavily discounted supply is included.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Supply route.</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All supplies of FOC medicines must be processed through the provider pharmacy departments to ensure appropriate governance standards are in place.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Never direct to a clinician or a patient.</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Approval.</w:t>
      </w:r>
      <w:r>
        <w:rPr>
          <w:rFonts w:ascii="Georgia" w:hAnsi="Georgia" w:cs="Georgia"/>
          <w:sz w:val="34"/>
          <w:sz-cs w:val="34"/>
          <w:spacing w:val="0"/>
          <w:color w:val="121826"/>
        </w:rPr>
        <w:t xml:space="preserve"> Chief pharmacist sign-off, with the medicines management committee supporting suitability before any patient is offered treatment.</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Written agreement</w:t>
      </w:r>
      <w:r>
        <w:rPr>
          <w:rFonts w:ascii="Georgia" w:hAnsi="Georgia" w:cs="Georgia"/>
          <w:sz w:val="34"/>
          <w:sz-cs w:val="34"/>
          <w:spacing w:val="0"/>
          <w:color w:val="121826"/>
        </w:rPr>
        <w:t xml:space="preserve"> covering the clinical criteria and unmet need, patient information, any data collection (non-identifiable only), labelling and storage, the length and scope of the agreement, </w:t>
      </w:r>
      <w:r>
        <w:rPr>
          <w:rFonts w:ascii="Georgia" w:hAnsi="Georgia" w:cs="Georgia"/>
          <w:sz w:val="34"/>
          <w:sz-cs w:val="34"/>
          <w:b/>
          <w:spacing w:val="0"/>
          <w:color w:val="121826"/>
        </w:rPr>
        <w:t xml:space="preserve">exit arrangements if the medicine is not approved or approval is delayed beyond the scheme</w:t>
      </w:r>
      <w:r>
        <w:rPr>
          <w:rFonts w:ascii="Georgia" w:hAnsi="Georgia" w:cs="Georgia"/>
          <w:sz w:val="34"/>
          <w:sz-cs w:val="34"/>
          <w:spacing w:val="0"/>
          <w:color w:val="121826"/>
        </w:rPr>
        <w:t xml:space="preserve">, and the position if patients do not meet the criteria eventually set by NICE or the commissioner.</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Continuity.</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principle, all FOC supplies must continue until the medicine is commissioned and funding is in place.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Where NICE recommends, free supply stops at the funding date, not the publication date — mind the 90-day gap.</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Consent.</w:t>
      </w:r>
      <w:r>
        <w:rPr>
          <w:rFonts w:ascii="Georgia" w:hAnsi="Georgia" w:cs="Georgia"/>
          <w:sz w:val="34"/>
          <w:sz-cs w:val="34"/>
          <w:spacing w:val="0"/>
          <w:color w:val="121826"/>
        </w:rPr>
        <w:t xml:space="preserve"> The policy requires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 patient must be made aware and understand that treatment with the FOC medicine will be stopped if the medicine is no longer provided free of charge by the pharmaceutical company, even if the patient perceives they have had benefit from treatment.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Document this explicitly.</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Scope.</w:t>
      </w:r>
      <w:r>
        <w:rPr>
          <w:rFonts w:ascii="Georgia" w:hAnsi="Georgia" w:cs="Georgia"/>
          <w:sz w:val="34"/>
          <w:sz-cs w:val="34"/>
          <w:spacing w:val="0"/>
          <w:color w:val="121826"/>
        </w:rPr>
        <w:t xml:space="preserve"> The policy expressly excludes compassionate use supplies, patient access schemes and the Early Access to Medicines Scheme. An individual compassionate supply therefore sits outside this framework and needs its own local governance.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further points that are easy to miss. A widely used regional policy states that the Government Master Indemnity Agreement does not relate to free-of-charge medicines, so indemnity should be confirmed with the trust legal and risk team rather than assumed; this is regional rather than national policy and the national document contains no express indemnity clause. And the industry code of practice contains no clause specifically governing free-of-charge supply to the NHS — the applicable provisions are those on promotion before authorisation, on inducements, on samples and on donations. Company samples must never be used as a substitute for a properly constituted scheme.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Two mechanisms that do not currently help in mantle cell lymphoma</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Early Access to Medicines Scheme.</w:t>
      </w:r>
      <w:r>
        <w:rPr>
          <w:rFonts w:ascii="Georgia" w:hAnsi="Georgia" w:cs="Georgia"/>
          <w:sz w:val="34"/>
          <w:sz-cs w:val="34"/>
          <w:spacing w:val="0"/>
          <w:color w:val="121826"/>
        </w:rPr>
        <w:t xml:space="preserve"> No scientific opinion has been granted for mantle cell lymphoma at any point in the scheme's history, and no lymphoma medicine holds a current opinion. The scheme is worth re-checking when a new agent approaches licensing, because an EAMS designation also shortens the NHS funding requirement from 90 days to 30 days if NICE subsequently recommends.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Innovative Licensing and Access Pathway.</w:t>
      </w:r>
      <w:r>
        <w:rPr>
          <w:rFonts w:ascii="Georgia" w:hAnsi="Georgia" w:cs="Georgia"/>
          <w:sz w:val="34"/>
          <w:sz-cs w:val="34"/>
          <w:spacing w:val="0"/>
          <w:color w:val="121826"/>
        </w:rPr>
        <w:t xml:space="preserve"> A development-support designation that coordinates regulatory and access planning. It is not a licence, not a funding decision and confers no route to treatment for an individual patient. No lymphoma product holds an Innovation Passport under the reformed pathway. Do not cite it as an access route.</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CELLULAR THERAPY — THE EXIT CLAUSE IS THE SAFEGUARD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Cancer Drugs Fund standard operating procedure provides that where NICE does not recommend a drug at the end of managed access, funding from the Fund ceases on publication of final guidance, and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any patient in receipt of the Drug will continue to receive it at [drug company]'s expense until the treating clinician will determine treatment of that patient is no longer clinically appropriate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That is a contractual obligation on the company, and it is the mechanism behind the continuation safeguard described in the Government answer of 26 January 2026 in relation to brexucabtagene autoleucel. It protects patients already treated. It does not create access for new patients.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Working through the options for a patient</w:t>
      </w:r>
      <w:r>
        <w:rPr>
          <w:rFonts w:ascii="Georgia" w:hAnsi="Georgia" w:cs="Georgia"/>
          <w:sz w:val="39"/>
          <w:sz-cs w:val="39"/>
          <w:b/>
          <w:spacing w:val="0"/>
          <w:color w:val="151E39"/>
        </w:rPr>
        <w:t xml:space="preserve"/>
      </w:r>
    </w:p>
    <w:p>
      <w:pPr/>
      <w:r>
        <w:rPr>
          <w:rFonts w:ascii="Times" w:hAnsi="Times" w:cs="Times"/>
          <w:sz w:val="34"/>
          <w:sz-cs w:val="34"/>
          <w:spacing w:val="0"/>
          <w:color w:val="121826"/>
        </w:rPr>
        <w:t xml:space="preserve">Six-step sequence from NICE technology appraisal through managed access, interim funding, trials and company schemes to funding requests, with the individual and cohort branches separated and the differing tests in England, Scotland, Wales and Northern Ireland.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A licensed treatment is clinically indicated. Is there a route?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Marketing authorisation, HTA recommendation and commissioning are three separate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determinations. Work through them in order — most access questions are answered before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fourth step.</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1. Is there a positive NICE technology appraisal?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If yes, funding is mandatory within 90 days of publication, or 30 days for a product that held an early-access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designation or was appraised by the fast-track route. Complete the Blueteq form for the drug and indication. Stop</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here.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2. Is it recommended for managed access?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Cancer Drugs Fund or Innovative Medicines Fund entry, with a Blueteq prior-approval form and mandatory SACT data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collection. Time-limited, and the exit position matters — if NICE does not recommend at exit, the company must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continue supplying existing patients at its own expense, but no new patients are funded.</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Managed access</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3. Is there positive NICE draft guidance, and is this a cancer drug?</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Interim funding runs from publication of positive draft guidance until final guidance. Note the asymmetry: a NEGATIVE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draft creates no interim funding, which is exactly the window in which company schemes are used.</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Interim funding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4. Is there an open trial with a UK site?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For several agents in this guideline this is the only documented route. Confirm recruitment status and site activation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with the principal investigator — registry records lag reality.</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Clinical trial</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5. Is there a company early access or free-of-charge scheme?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Ask the company and ask your chief pharmacist what agreements the trust already holds. These are not publicly listed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there is no national register. Governance: chief pharmacist approval, medicines management committee support,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written company-trust agreement with pre-specified exit arrangements, supply through pharmacy only, and consent that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records that treatment stops if the company withdraws supply.</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6. No scheme. Is this one atypical patient, or a group?</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This is the fork that most often goes wrong.</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One atypical patient</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A defined group of patients</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individual</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cohort</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Individual funding request — and the test differs by nation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ENGLAND: clinical exceptionality. The patient must be materially different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from the typical population and likely to gain benefit a typical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would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SCOTLAND, PACS Tier 2: no exceptionality test. Show that SMC-accepted options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were tried or are unsuitable, and that this patient will do at least as well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as the population SMC considered. Arguing exceptionality weakens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application. Tier 2 also covers medicines still awaiting SMC evaluation.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WALES, IPFR: limb (b), for an intervention never appraised, needs significant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clinical benefit and reasonable value for money only — atypicality is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required.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NORTHERN IRELAND: consultant-only application to the IFR Regional Scrutiny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Committee.</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Write it for the right jurisdiction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 letter drafted for an English panel argues the patient is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representative. A Scottish PACS panel is being asked the opposite. The same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letter sent unaltered argues against itself.</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An individual funding request is the wrong instrument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NHS England policy reclassifies any request where other patients could derive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similar benefit as a request for a new clinical policy. If you can name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second similar patient, the request will fail — and should.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 guideline can name an individual funding request as the route for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defined population. The guideline cohort is itself proof of non-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exceptionality.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Use a cohort mechanism instead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Clinical policy development through the ICB or NHS England specialised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commissioning.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free-of-charge scheme for an identified cohort, under the governance above.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 Wales, One Wales for a defined cohort where use is unlicensed or off-label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 decision OW09 already covers bendamustine with rituximab in mantle cell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lymphoma.</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Absence of a commissioned route is not absence of access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Company early access and free-of-charge schemes are not publicly listed, there is no national register, and most UK schemes are company-run rather than run through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any regulatory pathway. A null result in a public search is not evidence that no scheme exists. Ask the company and ask pharmacy before telling a patient there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nothing available.</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Access-route decision flow. Steps run in order; most questions resolve before step four. The individual and cohort branches diverge sharply, and the funding-request test differs in each of the four nations.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ind w:left="720" w:first-line="-720"/>
      </w:pPr>
      <w:r>
        <w:rPr>
          <w:rFonts w:ascii="Georgia" w:hAnsi="Georgia" w:cs="Georgia"/>
          <w:sz w:val="34"/>
          <w:sz-cs w:val="34"/>
          <w:color w:val="121826"/>
        </w:rPr>
        <w:t xml:space="preserve"/>
        <w:tab/>
        <w:t xml:space="preserve">1</w:t>
        <w:tab/>
        <w:t xml:space="preserve"/>
      </w:r>
      <w:r>
        <w:rPr>
          <w:rFonts w:ascii="Georgia" w:hAnsi="Georgia" w:cs="Georgia"/>
          <w:sz w:val="34"/>
          <w:sz-cs w:val="34"/>
          <w:spacing w:val="0"/>
          <w:color w:val="121826"/>
        </w:rPr>
        <w:t xml:space="preserve">Check the NICE position first. If a cancer drug has </w:t>
      </w:r>
      <w:r>
        <w:rPr>
          <w:rFonts w:ascii="Georgia" w:hAnsi="Georgia" w:cs="Georgia"/>
          <w:sz w:val="34"/>
          <w:sz-cs w:val="34"/>
          <w:i/>
          <w:spacing w:val="0"/>
          <w:color w:val="121826"/>
        </w:rPr>
        <w:t xml:space="preserve">positive</w:t>
      </w:r>
      <w:r>
        <w:rPr>
          <w:rFonts w:ascii="Georgia" w:hAnsi="Georgia" w:cs="Georgia"/>
          <w:sz w:val="34"/>
          <w:sz-cs w:val="34"/>
          <w:spacing w:val="0"/>
          <w:color w:val="121826"/>
        </w:rPr>
        <w:t xml:space="preserve"> draft guidance, interim funding already applies and nothing further is needed.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2</w:t>
        <w:tab/>
        <w:t xml:space="preserve"/>
      </w:r>
      <w:r>
        <w:rPr>
          <w:rFonts w:ascii="Georgia" w:hAnsi="Georgia" w:cs="Georgia"/>
          <w:sz w:val="34"/>
          <w:sz-cs w:val="34"/>
          <w:spacing w:val="0"/>
          <w:color w:val="121826"/>
        </w:rPr>
        <w:t xml:space="preserve">Check whether a Blueteq form exists for the drug and indication. If it does, that is the commissioned route.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3</w:t>
        <w:tab/>
        <w:t xml:space="preserve"/>
      </w:r>
      <w:r>
        <w:rPr>
          <w:rFonts w:ascii="Georgia" w:hAnsi="Georgia" w:cs="Georgia"/>
          <w:sz w:val="34"/>
          <w:sz-cs w:val="34"/>
          <w:spacing w:val="0"/>
          <w:color w:val="121826"/>
        </w:rPr>
        <w:t xml:space="preserve">Check for an open trial with a United Kingdom site — see section 16. For glofitamab and sonrotoclax this is currently the only documented route.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4</w:t>
        <w:tab/>
        <w:t xml:space="preserve"/>
      </w:r>
      <w:r>
        <w:rPr>
          <w:rFonts w:ascii="Georgia" w:hAnsi="Georgia" w:cs="Georgia"/>
          <w:sz w:val="34"/>
          <w:sz-cs w:val="34"/>
          <w:spacing w:val="0"/>
          <w:color w:val="121826"/>
        </w:rPr>
        <w:t xml:space="preserve">For a defined group with no route, this is a clinical policy or free-of-charge scheme question. Take it to pharmacy and the medicines management committee, not to an individual funding request.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5</w:t>
        <w:tab/>
        <w:t xml:space="preserve"/>
      </w:r>
      <w:r>
        <w:rPr>
          <w:rFonts w:ascii="Georgia" w:hAnsi="Georgia" w:cs="Georgia"/>
          <w:sz w:val="34"/>
          <w:sz-cs w:val="34"/>
          <w:spacing w:val="0"/>
          <w:color w:val="121826"/>
        </w:rPr>
        <w:t xml:space="preserve">For a genuinely atypical single patient, an individual funding request may be appropriate. Build the exceptionality case explicitly against the typical population and supply full copies of the cited papers. If a second similar patient can be named, it will fail, and it should.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6</w:t>
        <w:tab/>
        <w:t xml:space="preserve"/>
      </w:r>
      <w:r>
        <w:rPr>
          <w:rFonts w:ascii="Georgia" w:hAnsi="Georgia" w:cs="Georgia"/>
          <w:sz w:val="34"/>
          <w:sz-cs w:val="34"/>
          <w:spacing w:val="0"/>
          <w:color w:val="121826"/>
        </w:rPr>
        <w:t xml:space="preserve">Ask the company directly. Every manufacturer of the agents in this guideline publishes a pre-approval or early access request route, and named-patient supply is arranged case by case through medical affairs. Route any resulting supply through pharmacy under the governance above.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What this section can and cannot tell you</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Absence of a public record does not mean a scheme does not exist, and this section should not be read as a complete list. Only programmes intended for groups of patients in the United States are reliably registered; United Kingdom post-licence company schemes and individual named-patient supply are almost never registered anywhere. Published work using freedom-of-information requests to acute trusts has found that most United Kingdom schemes are company-led rather than run through the Early Access to Medicines Scheme, that no central national database of available schemes exists, and that more than half of the trusts approached held no centralised record of their own schemes. NHS England's own free-of-charge policy places compassionate use outside its scope, so those arrangements are not captured there either.</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arrangement made directly between a treating consultant and a company's medical affairs team is invisible to every public source. The two first-line schemes recorded above are attested by the accountable owner and are not publicly listed; that is the normal state of affairs for this class of arrangement, not an exception. </w:t>
      </w:r>
      <w:r>
        <w:rPr>
          <w:rFonts w:ascii="Georgia" w:hAnsi="Georgia" w:cs="Georgia"/>
          <w:sz w:val="34"/>
          <w:sz-cs w:val="34"/>
          <w:b/>
          <w:spacing w:val="0"/>
          <w:color w:val="121826"/>
        </w:rPr>
        <w:t xml:space="preserve">A null result in a public search is not evidence that a scheme does not exist, and this guideline does not treat it as such.</w:t>
      </w:r>
      <w:r>
        <w:rPr>
          <w:rFonts w:ascii="Georgia" w:hAnsi="Georgia" w:cs="Georgia"/>
          <w:sz w:val="34"/>
          <w:sz-cs w:val="34"/>
          <w:spacing w:val="0"/>
          <w:color w:val="121826"/>
        </w:rPr>
        <w:t xml:space="preserve"> Confirm the position locally with pharmacy and with the company before concluding that a patient has no option.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18. Regulatory and access matrix</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These entries are time-sensitive. Confirm the current marketing authorisation, NICE recommendation and NHS England commissioning position against the official source before acting on any entry.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Conventional cytarabine-containing induction, ASCT and rituximab maintenance</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Fit adult suitable for dose-intensive treatment and ASCT when a first-line covalent BTK-inhibitor pathway is not routinely commissioned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EHA–EU guideline-supported conventional pathway; MCL Younger supports a bundled cytarabine-containing induction/conditioning/ASCT strategy and LYMA supports 3 years of post-ASCT rituximab maintenance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single combination marketing-authorisation statement was verified; each component, formulation and use must follow its current SmPC and the treating network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single regimen-specific NICE technology appraisal was identified; absence of a TA is not proof of non-funding for generic chemotherapy or transplant services.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Confirm the current haemato-oncology network SACT and transplant pathway; do not infer access from the CDF list.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single devolved-nation national route was audited for this complete conventional pathway; follow nation and network policy.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Rituximab plus high-dose cytarabine-containing induction followed by ASCT consolidation and 3 years of rituximab maintenance.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Evidence schedule, not a prescribing protocol: TRIANGLE primary report described six alternating 21-day R-CHOP/R-DHAP or R-DHAOx cycles. R-CHOP used rituximab 375 mg/m² day 0/1, cyclophosphamide 750 mg/m² day 1, doxorubicin 50 mg/m² day 1, vincristine 1.4 mg/m² day 1 and prednisone 100 mg days 1–5. R-DHAP/R-DHAOx used rituximab 375 mg/m² day 0/1, dexamethasone 40 mg days 1–4, cytarabine 2 × 2 g/m² over 3 hours 12-hourly on day 2 and cisplatin 100 mg/m² over 24 hours day 1 or oxaliplatin 130 mg/m² day 1. LYMA maintenance was rituximab 375 mg/m² every 2 months for 3 years. Use the current network protocol for prescribing.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Component SmPC, stem-cell mobilisation, conditioning, organ-function thresholds, infection prophylaxis, fertility, supportive care and dose modification were not fully extracted into the pharmacy package. The current transplant/SACT protocol and human pharmacy verification are mandatory.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PHARMACY_VERIFIED_TRIAL_AND_GUIDELINE_SCHEDULE — recorded 31 July 2026 on owner attestation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Guideline-supported conventional first-line pathway for a fit adult when first-line covalent BTK inhibition is not routinely commissioned, subject to current network SACT/transplant governance.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Bendamustine–rituximab first line</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unsuitable for dose-intensive treatment when BR is clinically appropriate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EHA–EU guideline-supported standard option; StiL provides pooled indolent/MCL randomised evidence and maintenance-after-BR evidence includes observational cohorts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single BR combination marketing-authorisation statement was verified; current component SmPCs and local protocol must be checked. </w:t>
      </w:r>
      <w:r>
        <w:rPr>
          <w:rFonts w:ascii="Georgia" w:hAnsi="Georgia" w:cs="Georgia"/>
          <w:sz w:val="34"/>
          <w:sz-cs w:val="34"/>
          <w:b/>
          <w:spacing w:val="0"/>
          <w:color w:val="121826"/>
        </w:rPr>
        <w:t xml:space="preserve">Note that NHS England policy 17088P states plainly that </w:t>
      </w:r>
      <w:r>
        <w:rPr>
          <w:rFonts w:ascii="Georgia" w:hAnsi="Georgia" w:cs="Georgia"/>
          <w:sz w:val="34"/>
          <w:sz-cs w:val="34"/>
          <w:b/>
          <w:spacing w:val="0"/>
          <w:color w:val="121826"/>
        </w:rPr>
        <w:t xml:space="preserve">“</w:t>
      </w:r>
      <w:r>
        <w:rPr>
          <w:rFonts w:ascii="Georgia" w:hAnsi="Georgia" w:cs="Georgia"/>
          <w:sz w:val="34"/>
          <w:sz-cs w:val="34"/>
          <w:b/>
          <w:spacing w:val="0"/>
          <w:color w:val="121826"/>
        </w:rPr>
        <w:t xml:space="preserve">BR is not a licensed medicine for this indication</w:t>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and requires providers to establish internal governance arrangements before prescribing. Routine commissioning and marketing authorisation are separate determinations, and this is a clear worked example of a routinely commissioned regimen that is off-label.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regimen-specific first-line MCL NICE technology appraisal was identified. </w:t>
      </w:r>
      <w:r>
        <w:rPr>
          <w:rFonts w:ascii="Georgia" w:hAnsi="Georgia" w:cs="Georgia"/>
          <w:sz w:val="34"/>
          <w:sz-cs w:val="34"/>
          <w:b/>
          <w:spacing w:val="0"/>
          <w:color w:val="121826"/>
        </w:rPr>
        <w:t xml:space="preserve">This does not mean there is no national route.</w:t>
      </w:r>
      <w:r>
        <w:rPr>
          <w:rFonts w:ascii="Georgia" w:hAnsi="Georgia" w:cs="Georgia"/>
          <w:sz w:val="34"/>
          <w:sz-cs w:val="34"/>
          <w:spacing w:val="0"/>
          <w:color w:val="121826"/>
        </w:rPr>
        <w:t xml:space="preserve"> NHS England clinical commissioning policy </w:t>
      </w:r>
      <w:r>
        <w:rPr>
          <w:rFonts w:ascii="Georgia" w:hAnsi="Georgia" w:cs="Georgia"/>
          <w:sz w:val="34"/>
          <w:sz-cs w:val="34"/>
          <w:b/>
          <w:spacing w:val="0"/>
          <w:color w:val="121826"/>
        </w:rPr>
        <w:t xml:space="preserve">17088P</w:t>
      </w:r>
      <w:r>
        <w:rPr>
          <w:rFonts w:ascii="Georgia" w:hAnsi="Georgia" w:cs="Georgia"/>
          <w:sz w:val="34"/>
          <w:sz-cs w:val="34"/>
          <w:spacing w:val="0"/>
          <w:color w:val="121826"/>
        </w:rPr>
        <w:t xml:space="preserve"> (6 July 2018)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NHS England will commission bendamustine with rituximab for first line treatment of mantle cell lymphoma in accordance with the criteria outlined in this document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classifies it as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Routinely Commissioned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 companion policy, reference 1604, covers relapsed and refractory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Routinely commissioned under NHS England policy 17088P subject to its criteria — the patient must be unable to tolerate more intensive treatment and have performance status 0 to 1, with up to six cycles of bendamustine 90 mg/m² on two days every 28 days plus rituximab 375 mg/m² on day 1, and an MDT decision. Use through the current local or network SACT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In Wales, One Wales decision </w:t>
      </w:r>
      <w:r>
        <w:rPr>
          <w:rFonts w:ascii="Georgia" w:hAnsi="Georgia" w:cs="Georgia"/>
          <w:sz w:val="34"/>
          <w:sz-cs w:val="34"/>
          <w:b/>
          <w:spacing w:val="0"/>
          <w:color w:val="121826"/>
        </w:rPr>
        <w:t xml:space="preserve">OW09</w:t>
      </w:r>
      <w:r>
        <w:rPr>
          <w:rFonts w:ascii="Georgia" w:hAnsi="Georgia" w:cs="Georgia"/>
          <w:sz w:val="34"/>
          <w:sz-cs w:val="34"/>
          <w:spacing w:val="0"/>
          <w:color w:val="121826"/>
        </w:rPr>
        <w:t xml:space="preserve"> makes bendamustine with rituximab available for previously untreated and relapsed mantle cell lymphoma in patients deemed unsuitable for anthracycline-based therapy or other appraised regimens; issued March 2017, last reviewed March 2026, recorded as off-label use. Scottish and Northern Irish implementation were not audited for this combination.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Bendamustine plus rituximab, followed in responders by rituximab maintenance for at least 2 years.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Trial schedule, not a prescribing protocol: StiL used bendamustine 90 mg/m² on days 1 and 2 of a 4-week cycle for up to six cycles plus rituximab 375 mg/m² on day 1. The exact maintenance dose and interval were not extracted from the available verified recommendation; use the current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The StiL result was pooled across indolent lymphomas and MCL. Its published erratum </w:t>
      </w:r>
      <w:r>
        <w:rPr>
          <w:rFonts w:ascii="Georgia" w:hAnsi="Georgia" w:cs="Georgia"/>
          <w:sz w:val="34"/>
          <w:sz-cs w:val="34"/>
          <w:b/>
          <w:spacing w:val="0"/>
          <w:color w:val="121826"/>
        </w:rPr>
        <w:t xml:space="preserve">has been retrieved and read</w:t>
      </w:r>
      <w:r>
        <w:rPr>
          <w:rFonts w:ascii="Georgia" w:hAnsi="Georgia" w:cs="Georgia"/>
          <w:sz w:val="34"/>
          <w:sz-cs w:val="34"/>
          <w:spacing w:val="0"/>
          <w:color w:val="121826"/>
        </w:rPr>
        <w:t xml:space="preserve">: it corrects the intermediate-risk FLIPI count in the bendamustine–rituximab group and the pooled R-CHOP overall-response count, and neither correction changes the trial’s non-inferiority conclusion. No mantle cell-specific treatment effect is given, so pooled findings remain qualified. Component SmPCs, organ-function adjustments, infection prophylaxis and local SACT monitoring remain controlling.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PHARMACY_VERIFIED_TRIAL_SCHEDULE — recorded 31 July 2026 on owner attestation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Guideline-supported standard first-line immunochemotherapy option for an adult unsuitable for dose-intensive treatment, with maintenance in responders, subject to current local SACT governance.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VR-CAP / bortezomib combination</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for whom haematopoietic stem-cell transplantation is unsuitable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Clinical efficacy was not separately extracted in this targeted update; licence and NICE access are established for the defined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with rituximab, cyclophosphamide, doxorubicin and prednisone for untreated MCL when HSCT is unsuitable.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TA370 recommends use within the marketing authorisation.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Routine NICE-mandated access within TA370 scope; do not generalise to transplant-suitable patients.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SMC1075/15 accepted use in Scotland; Welsh implementation follows TA370; an HSCNI TA370 record was located.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Bortezomib with rituximab, cyclophosphamide, doxorubicin and prednisone (VcR-CAP / VR-CAP)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VELCADE 3.5 mg powder for solution for injection is administered via intravenous or subcutaneous injection at the recommended dose of 1.3 mg/m2 body surface area twice weekly for two weeks on days 1, 4, 8, and 11, followed by a 10-day rest period on days 12-21. This 3-week period is considered a treatment cycle. Six VELCADE cycles are recommended, although for patients with a response first documented at cycle 6, two additional VELCADE cycles may be given. At least 72 hours should elapse between consecutive doses of VELCADE. The following medicinal products are administered on day 1 of each VELCADE 3 week treatment cycle as intravenous infusions: rituximab at 375 mg/m2, cyclophosphamide at 750 mg/m2 and doxorubicin at 50 mg/m2. Prednisone is administered orally at 100 mg/m2 on days 1, 2, 3, 4 and 5 of each VELCADE treatment cycle.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VELCADE 3.5 mg powder for solution for injection is available for intravenous or subcutaneous administration. VELCADE should not be given by other routes. Intrathecal administration has resulted in death. VELCADE 3.5 mg reconstituted solution is administered as a 3-5 second bolus intravenous injection through a peripheral or central intravenous catheter followed by a flush with sodium chloride 9 mg/ml (0.9%) solution for injection. At least 72 hours should elapse between consecutive doses of VELCADE. Platelet counts should be ≥ 100,000 cells/μL and the absolute neutrophils count (ANC) should be ≥ 1,500 cells/μL Platelet counts should be ≥ 75,000 cells/μL in patients with bone marrow infiltration or splenic sequestration Haemoglobin ≥ 8 g/dL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and NICE-recommended in England for previously untreated adults for whom HSCT is unsuitable.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VR-CAP / bortezomib combination</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VR-CAP / bortezomib combination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after exactly one previous line for the NICE-funded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Covalent-BTKi treatment option; distinguish licence scope from NICE restriction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 licence covers adult relapsed or refractory MCL without the NICE one-line restriction.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TA502 recommends treatment only after one previous line, subject to the commercial arrangement.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Baseline funding recorded from 1 May 2018 under Blueteq IBR9 v1.1.</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Scotland has SMC full-submission and resubmission records; Welsh advice is superseded by TA502; direct HSCNI implementation was not demonstrated in the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Ibrutinib monotherapy for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for the treatment of previously treated MCL is ibrutinib 560 mg once daily as a single agent. Treatment with IMBRUVICA as a single agent should continue until disease progression or no longer tolerated by the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IMBRUVICA should be administered orally once daily with a glass of water approximately at the same time each day. The tablets should be swallowed whole with water and should not be broken or chewed. IMBRUVICA must not be taken with grapefruit juice or Seville oranges (see section 4.5). The dose of ibrutinib should be reduced to 280 mg once daily when used concomitantly with moderate CYP3A4 inhibitors. The dose of ibrutinib should be reduced to 140 mg once daily or withheld for up to 7 days when it is used concomitantly with strong CYP3A4 inhibitors. IMBRUVICA therapy should be withheld for any new onset or worsening grade 2 cardiac failure, grade 3 cardiac arrhythmias, grade ≥3 non-haematological toxicity, grade 3 or greater neutropenia with infection or fever, or grade 4 haematological toxicities. Monitor complete blood counts monthly.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Routinely funded in England after exactly one previous line when TA502 and live Blueteq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Ibrutinib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Ibrutinib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Zanubrutinib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after exactly one previous line for the NICE-funded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Covalent-BTKi option after prior 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for adult MCL after at least one prior 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TA1081, published 10 July 2025,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zanubrutinib can be used as an option to treat relapsed or refractory mantle cell lymphoma in adults who have had 1 line of treatment only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directs clinicians to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use the least expensive option of the suitable treatments (including zanubrutinib and ibrutinib), having discussed the advantages and disadvantages of the available treatments with the person with the condition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Subject to the commercial arrangement.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Baseline funding recorded from 9 August 2025 under Blueteq ZAN6. Intolerance transfer from ibrutinib requires absence of progression.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SMC2819 applies in Scotland; NHS Wales has a TA1081 Blueteq route; direct HSCNI implementation was not demonstrated in the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Zanubrutinib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total daily dose of zanubrutinib is 320 mg. The daily dose may be taken either once daily (two 160 mg tablets) or divided into two doses of 160 mg twice daily (one 160 mg tablet). Treatment with BRUKINSA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BRUKINSA is for oral use. The film-coated tablets can be taken with or without food. Patients should be instructed to swallow the tablets whole with water, not to chew or crush the tablets. The tablet can be divided into two equal halves when advised by the healthcare provider. Patients with severe renal impairment (CrCl &lt;30 mL/min) or on dialysis should be monitored for adverse reactions (see section 6.2). Monitor complete blood counts monthly during treatment (see section 4.2).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Routinely funded in England after exactly one previous line when TA1081 and live Blueteq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Zanubrutinib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Zanubrutinib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Brexucabtagene autoleucel</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Durable single-arm and real-world activity with material attrition, cytopenia, neurological and infection risks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TA677 remains a Cancer Drugs Fund managed-access recommendation and is live at the cut-off. The review is </w:t>
      </w:r>
      <w:r>
        <w:rPr>
          <w:rFonts w:ascii="Georgia" w:hAnsi="Georgia" w:cs="Georgia"/>
          <w:sz w:val="34"/>
          <w:sz-cs w:val="34"/>
          <w:b/>
          <w:spacing w:val="0"/>
          <w:color w:val="121826"/>
        </w:rPr>
        <w:t xml:space="preserve">GID-TA11545/ID6325</w:t>
      </w:r>
      <w:r>
        <w:rPr>
          <w:rFonts w:ascii="Georgia" w:hAnsi="Georgia" w:cs="Georgia"/>
          <w:sz w:val="34"/>
          <w:sz-cs w:val="34"/>
          <w:spacing w:val="0"/>
          <w:color w:val="121826"/>
        </w:rPr>
        <w:t xml:space="preserve">: committee meetings 1 July and 2 September 2025; draft guidance consultation 23 July to 13 August 2025 concluding that brexucabtagene autoleucel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could not be recommended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final draft guidance 24 December 2025 to 21 January 2026; </w:t>
      </w:r>
      <w:r>
        <w:rPr>
          <w:rFonts w:ascii="Georgia" w:hAnsi="Georgia" w:cs="Georgia"/>
          <w:sz w:val="34"/>
          <w:sz-cs w:val="34"/>
          <w:b/>
          <w:spacing w:val="0"/>
          <w:color w:val="121826"/>
        </w:rPr>
        <w:t xml:space="preserve">appeal 30 March 2026; appeal decision published 9 June 2026</w:t>
      </w:r>
      <w:r>
        <w:rPr>
          <w:rFonts w:ascii="Georgia" w:hAnsi="Georgia" w:cs="Georgia"/>
          <w:sz w:val="34"/>
          <w:sz-cs w:val="34"/>
          <w:spacing w:val="0"/>
          <w:color w:val="121826"/>
        </w:rPr>
        <w:t xml:space="preserve">. Expected publication TBC and no final guidance issued. </w:t>
      </w:r>
      <w:r>
        <w:rPr>
          <w:rFonts w:ascii="Georgia" w:hAnsi="Georgia" w:cs="Georgia"/>
          <w:sz w:val="34"/>
          <w:sz-cs w:val="34"/>
          <w:b/>
          <w:spacing w:val="0"/>
          <w:color w:val="121826"/>
        </w:rPr>
        <w:t xml:space="preserve">The appeal was upheld in part and the appraisal remitted to the committee; no final guidance has been issued.</w:t>
      </w:r>
      <w:r>
        <w:rPr>
          <w:rFonts w:ascii="Georgia" w:hAnsi="Georgia" w:cs="Georgia"/>
          <w:sz w:val="34"/>
          <w:sz-cs w:val="34"/>
          <w:spacing w:val="0"/>
          <w:color w:val="121826"/>
        </w:rPr>
        <w:t xml:space="preserve"> A Government answer of 26 January 2026 confirms NICE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has been unable to recommend the treatment in the final draft guidance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records a continuation safeguard for patients already treated in managed access.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The national Cancer Drugs Fund list retains the brexucabtagene autoleucel managed-access forms </w:t>
      </w:r>
      <w:r>
        <w:rPr>
          <w:rFonts w:ascii="Georgia" w:hAnsi="Georgia" w:cs="Georgia"/>
          <w:sz w:val="34"/>
          <w:sz-cs w:val="34"/>
          <w:b/>
          <w:spacing w:val="0"/>
          <w:color w:val="121826"/>
        </w:rPr>
        <w:t xml:space="preserve">KTE01a_v1.2</w:t>
      </w:r>
      <w:r>
        <w:rPr>
          <w:rFonts w:ascii="Georgia" w:hAnsi="Georgia" w:cs="Georgia"/>
          <w:sz w:val="34"/>
          <w:sz-cs w:val="34"/>
          <w:spacing w:val="0"/>
          <w:color w:val="121826"/>
        </w:rPr>
        <w:t xml:space="preserve"> (leucapheresis and manufacture) and </w:t>
      </w:r>
      <w:r>
        <w:rPr>
          <w:rFonts w:ascii="Georgia" w:hAnsi="Georgia" w:cs="Georgia"/>
          <w:sz w:val="34"/>
          <w:sz-cs w:val="34"/>
          <w:b/>
          <w:spacing w:val="0"/>
          <w:color w:val="121826"/>
        </w:rPr>
        <w:t xml:space="preserve">KTE01b_v1.3</w:t>
      </w:r>
      <w:r>
        <w:rPr>
          <w:rFonts w:ascii="Georgia" w:hAnsi="Georgia" w:cs="Georgia"/>
          <w:sz w:val="34"/>
          <w:sz-cs w:val="34"/>
          <w:spacing w:val="0"/>
          <w:color w:val="121826"/>
        </w:rPr>
        <w:t xml:space="preserve"> (infusion) with national eligibility criteria; the current national list is version </w:t>
      </w:r>
      <w:r>
        <w:rPr>
          <w:rFonts w:ascii="Georgia" w:hAnsi="Georgia" w:cs="Georgia"/>
          <w:sz w:val="34"/>
          <w:sz-cs w:val="34"/>
          <w:b/>
          <w:spacing w:val="0"/>
          <w:color w:val="121826"/>
        </w:rPr>
        <w:t xml:space="preserve">1.405</w:t>
      </w:r>
      <w:r>
        <w:rPr>
          <w:rFonts w:ascii="Georgia" w:hAnsi="Georgia" w:cs="Georgia"/>
          <w:sz w:val="34"/>
          <w:sz-cs w:val="34"/>
          <w:spacing w:val="0"/>
          <w:color w:val="121826"/>
        </w:rPr>
        <w:t xml:space="preserve">. Form versions and eligibility wording must be read from the live list rather than assumed unchanged from the version 1.401 entries recorded during drafting. Do not describe this as unrestricted baseline commissioning. </w:t>
      </w:r>
      <w:r>
        <w:rPr>
          <w:rFonts w:ascii="Georgia" w:hAnsi="Georgia" w:cs="Georgia"/>
          <w:sz w:val="34"/>
          <w:sz-cs w:val="34"/>
          <w:b/>
          <w:spacing w:val="0"/>
          <w:color w:val="121826"/>
        </w:rPr>
        <w:t xml:space="preserve">Given the unresolved post-managed-access review following remittal, confirm the live commissioning position before referral and do not promise a durable route to a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Corrected 30 July 2026 — an earlier revision wrongly withdrew SMC2351. It exists.</w:t>
      </w:r>
      <w:r>
        <w:rPr>
          <w:rFonts w:ascii="Georgia" w:hAnsi="Georgia" w:cs="Georgia"/>
          <w:sz w:val="34"/>
          <w:sz-cs w:val="34"/>
          <w:spacing w:val="0"/>
          <w:color w:val="121826"/>
        </w:rPr>
        <w:t xml:space="preserve"> SMC2351, published 9 August 2021, is the Scottish advice for KTE-X19 / Tecartus (brexucabtagene autoleucel) in adults with relapsed or refractory mantle cell lymphoma after two or more systemic therapies including a BTK inhibitor. Check the live advice and any associated restrictions or commercial conditions when determining NHSScotland access. </w:t>
      </w:r>
      <w:r>
        <w:rPr>
          <w:rFonts w:ascii="Georgia" w:hAnsi="Georgia" w:cs="Georgia"/>
          <w:sz w:val="34"/>
          <w:sz-cs w:val="34"/>
          <w:b/>
          <w:spacing w:val="0"/>
          <w:color w:val="121826"/>
        </w:rPr>
        <w:t xml:space="preserve">SMC2548 concerns B-cell precursor acute lymphoblastic leukaemia and must not be substituted for SMC2351.</w:t>
      </w:r>
      <w:r>
        <w:rPr>
          <w:rFonts w:ascii="Georgia" w:hAnsi="Georgia" w:cs="Georgia"/>
          <w:sz w:val="34"/>
          <w:sz-cs w:val="34"/>
          <w:spacing w:val="0"/>
          <w:color w:val="121826"/>
        </w:rPr>
        <w:t xml:space="preserve"> In Wales the AWTTC record is marked excluded due to NICE appraisal, so TA677 applies; TA677 was endorsed in Northern Ireland in March 2021.</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Brexucabtagene autoleucel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Treatment consists of a single dose for infusion containing a dispersion for infusion of CAR-positive viable T cells in one infusion bag. The target dose is 2 × 106 CAR-positive viable T cells per kg of body weight (range: 1 x 106–2 x 106 cells/kg), with a maximum of 2 × 108 CAR-positive viable T cells for patients 100 kg and above. Tecartus is recommended to be infused 3 to 14 days after completion of the lymphodepleting chemotherapy for MCL patients. A lymphodepleting chemotherapy regimen consisting of cyclophosphamide 500 mg/m² intravenously and fludarabine 30 mg/m² intravenously must be administered prior to infusing Tecartus. The recommended days are on the 5th, 4th, and 3rd day before infusion of Tecartus.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Tecartus must be administered in a qualified treatment centre by a physician with experience in the treatment of haematological malignancies and trained for administration and management of patients treated with Tecartus. At least 1 dose of tocilizumab for use in the event of cytokine release syndrome (CRS) and emergency equipment must be available prior to infusion. Tecartus is intended for autologous use only (see section 4.4). Patients must be monitored daily for the first 7 days following infusion for signs and symptoms of potential CRS, neurologic events and other toxicities. Patients must remain within proximity of a qualified treatment centre for at least 4 weeks following infusion. Unresolved serious adverse reactions (especially pulmonary reactions, cardiac reactions, or hypotension) including from preceding chemotherapies.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Available in England through TA677 Cancer Drugs Fund managed access when all live national eligibility and panel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Brexucabtagene autoleucel</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Brexucabtagene autoleucel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TRIANGLE ibrutinib regimen</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eligible for ASCT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Mature randomised phase III evidence supports the studied ibrutinib-containing non-ASCT strategy; applicability is protocol-specific.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as ibrutinib with R-CHOP alternating with R-DHAP or R-DHAOx without ibrutinib, followed by ibrutinib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GID-TA11802/ID6596 remains in development; expected publication TBC. </w:t>
      </w:r>
      <w:r>
        <w:rPr>
          <w:rFonts w:ascii="Georgia" w:hAnsi="Georgia" w:cs="Georgia"/>
          <w:sz w:val="34"/>
          <w:sz-cs w:val="34"/>
          <w:b/>
          <w:spacing w:val="0"/>
          <w:color w:val="121826"/>
        </w:rPr>
        <w:t xml:space="preserve">Draft guidance published 30 June 2026 states that this regimen </w:t>
      </w:r>
      <w:r>
        <w:rPr>
          <w:rFonts w:ascii="Georgia" w:hAnsi="Georgia" w:cs="Georgia"/>
          <w:sz w:val="34"/>
          <w:sz-cs w:val="34"/>
          <w:b/>
          <w:spacing w:val="0"/>
          <w:color w:val="121826"/>
        </w:rPr>
        <w:t xml:space="preserve">“</w:t>
      </w:r>
      <w:r>
        <w:rPr>
          <w:rFonts w:ascii="Georgia" w:hAnsi="Georgia" w:cs="Georgia"/>
          <w:sz w:val="34"/>
          <w:sz-cs w:val="34"/>
          <w:b/>
          <w:spacing w:val="0"/>
          <w:color w:val="121826"/>
        </w:rPr>
        <w:t xml:space="preserve">should not be used</w:t>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for untreated adult mantle cell lymphoma when ASCT is suitable. Draft guidance is not final guidance and creates no funding mandate. Source: nice.org.uk/guidance/gid-ta11802/documents/draft-guidance (verified by independent audit on 30 July 2026 from the official NICE document; this document’s own automated retrieval returned HTTP 403 and could not reproduce 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final NICE entitlement and no national commissioning route at the cut-off. </w:t>
      </w:r>
      <w:r>
        <w:rPr>
          <w:rFonts w:ascii="Georgia" w:hAnsi="Georgia" w:cs="Georgia"/>
          <w:sz w:val="34"/>
          <w:sz-cs w:val="34"/>
          <w:b/>
          <w:spacing w:val="0"/>
          <w:color w:val="121826"/>
        </w:rPr>
        <w:t xml:space="preserve">OWNER-ATTESTED LOCAL OR NON-ROUTINE ROUTE — independent documentary verification pending.</w:t>
      </w:r>
      <w:r>
        <w:rPr>
          <w:rFonts w:ascii="Georgia" w:hAnsi="Georgia" w:cs="Georgia"/>
          <w:sz w:val="34"/>
          <w:sz-cs w:val="34"/>
          <w:spacing w:val="0"/>
          <w:color w:val="121826"/>
        </w:rPr>
        <w:t xml:space="preserve"> A Johnson &amp; Johnson scheme is reported as supplying this regimen to United Kingdom patients, attested by the accountable owner on 30 July 2026. This is not a demonstrated national access route; it is not publicly listed. Non-listing is common for this class of arrangement but is not corroboration, and the scheme has not been independently verified here. The licence covers patients who </w:t>
      </w:r>
      <w:r>
        <w:rPr>
          <w:rFonts w:ascii="Georgia" w:hAnsi="Georgia" w:cs="Georgia"/>
          <w:sz w:val="34"/>
          <w:sz-cs w:val="34"/>
          <w:b/>
          <w:spacing w:val="0"/>
          <w:color w:val="121826"/>
        </w:rPr>
        <w:t xml:space="preserve">would be eligible</w:t>
      </w:r>
      <w:r>
        <w:rPr>
          <w:rFonts w:ascii="Georgia" w:hAnsi="Georgia" w:cs="Georgia"/>
          <w:sz w:val="34"/>
          <w:sz-cs w:val="34"/>
          <w:spacing w:val="0"/>
          <w:color w:val="121826"/>
        </w:rPr>
        <w:t xml:space="preserve"> for ASCT. Separately, first-line ibrutinib was available in England from March 2020 under the NHS England COVID-19 interim treatment options — NHS commissioning, not company supply, generating a 149-patient national cohort (S44); that historic scheme must not be cited as a current route.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Ibrutinib with R-CHOP alternating with R-DHAP/R-DHAOx, followed by ibrutinib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for the treatment of previously untreated MCL is ibrutinib 560 mg once daily (see Table 1). Table transcription: cycles_1_3_5: IMBRUVICA in combination with R-CHOP; On days 1-19; cycles_2_4_6: R-DHAP; Without IMBRUVICA; part_i_footnote: 6 cycles; each cycle is 21 days.; part_ii: IMBRUVICA; Daily for 24 Months; r_dhap_footnote: Interchangeable with R-DHAOx (rituximab, dexamethasone, cytarabine, oxaliplatin). Boundary: See the Summary of Product Characteristics (SmPC) for dosing information for each medicinal product. No R-CHOP, R-DHAP or R-DHAOx component doses are supplied here because this ibrutinib SmPC explicitly redirects to each component SmPC.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Treatment should start after recovery of peripheral blood counts. Rituximab may be added as per national treatment guidelines. IMBRUVICA should be administered orally once daily with a glass of water approximately at the same time each day. The tablets should be swallowed whole with water and should not be broken or chewed. The SmPC MCL dose-modification and monitoring constraints apply to ibrutinib; combination-agent modifications require the respective live SmPCs and protocol verification. Uses the same checked SmPC modification/monitoring boundaries as ibrutinib monotherapy for relapsed or refractory MCL.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but not routinely commissioned nationally in England at the cut-off; the current negative NICE recommendation is draft, not final.</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TRIANGLE ibrutinib regimen</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TRIANGLE ibrutinib regimen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Acalabrutinib plus bendamustine–rituximab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not eligible for ASCT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Randomised phase III progression-free survival benefit without demonstrated overall-survival advantage at reported follow-up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in the defined first-line transplant-ineligible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GID-TA11091/ID6155 remains in development. Committee meeting 3 February 2026; draft guidance published for consultation 25 February 2026 recommending against use on the basis that there is not enough evidence to determine value for money; consultation closed 18 March 2026. The displayed expected-publication date of 4 June 2026 has passed. Project note: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following on from advice received from the company this appraisal will be rescheduled to align with latest regulatory expectations.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Draft guidance is not final guidance.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final NICE recommendation and no national MCL Blueteq route. </w:t>
      </w:r>
      <w:r>
        <w:rPr>
          <w:rFonts w:ascii="Georgia" w:hAnsi="Georgia" w:cs="Georgia"/>
          <w:sz w:val="34"/>
          <w:sz-cs w:val="34"/>
          <w:b/>
          <w:spacing w:val="0"/>
          <w:color w:val="121826"/>
        </w:rPr>
        <w:t xml:space="preserve">OWNER-ATTESTED LOCAL OR NON-ROUTINE ROUTE — independent documentary verification pending.</w:t>
      </w:r>
      <w:r>
        <w:rPr>
          <w:rFonts w:ascii="Georgia" w:hAnsi="Georgia" w:cs="Georgia"/>
          <w:sz w:val="34"/>
          <w:sz-cs w:val="34"/>
          <w:spacing w:val="0"/>
          <w:color w:val="121826"/>
        </w:rPr>
        <w:t xml:space="preserve"> An AstraZeneca early access scheme is reported as supplying this combination to United Kingdom patients, attested by the accountable owner on 30 July 2026. This is not a demonstrated national access route; it is not publicly listed. Non-listing is common for this class of arrangement but is not corroboration, and the scheme has not been independently verified here. Interim NHS funding does not apply because that requires </w:t>
      </w:r>
      <w:r>
        <w:rPr>
          <w:rFonts w:ascii="Georgia" w:hAnsi="Georgia" w:cs="Georgia"/>
          <w:sz w:val="34"/>
          <w:sz-cs w:val="34"/>
          <w:i/>
          <w:spacing w:val="0"/>
          <w:color w:val="121826"/>
        </w:rPr>
        <w:t xml:space="preserve">positive</w:t>
      </w:r>
      <w:r>
        <w:rPr>
          <w:rFonts w:ascii="Georgia" w:hAnsi="Georgia" w:cs="Georgia"/>
          <w:sz w:val="34"/>
          <w:sz-cs w:val="34"/>
          <w:spacing w:val="0"/>
          <w:color w:val="121826"/>
        </w:rPr>
        <w:t xml:space="preserve"> draft guidance. Note the licence is restricted to patients </w:t>
      </w:r>
      <w:r>
        <w:rPr>
          <w:rFonts w:ascii="Georgia" w:hAnsi="Georgia" w:cs="Georgia"/>
          <w:sz w:val="34"/>
          <w:sz-cs w:val="34"/>
          <w:b/>
          <w:spacing w:val="0"/>
          <w:color w:val="121826"/>
        </w:rPr>
        <w:t xml:space="preserve">not eligible</w:t>
      </w:r>
      <w:r>
        <w:rPr>
          <w:rFonts w:ascii="Georgia" w:hAnsi="Georgia" w:cs="Georgia"/>
          <w:sz w:val="34"/>
          <w:sz-cs w:val="34"/>
          <w:spacing w:val="0"/>
          <w:color w:val="121826"/>
        </w:rPr>
        <w:t xml:space="preserve"> for ASCT.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SMC2929 remains under consideration in Scotland, with publication and meeting dates to be confirmed. A medicine awaiting SMC evaluation falls within PACS Tier 2, so an individual application can be made in Scotland now. No final positive Welsh or Northern Irish route was demonstrated; in Wales the AWTTC record is excluded due to NICE appraisal, so the NICE outcome will govern.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Acalabrutinib plus bendamustine and rituximab</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of Calquence in monotherapy or in combination with other medicinal products is 100 mg acalabrutinib twice daily (equivalent to a total daily dose of 200 mg). Calquence dose interval is approximately 12 hours. Calquence should be administered from Day 1 on Cycle 1 (each cycle is 28 days) continuously until disease progression or unacceptable toxicity. Bendamustine should be administered at 90 mg/m2 on Days 1 and 2 of each cycle for a total of 6 cycles. Rituximab should be administered at 375 mg/m2 on Day 1 each cycle for a total of 6 cycles. Patients achieving a response (partial response [PR] or complete response [CR]) after the first 6 cycles, may receive maintenance rituximab at 375 mg/m2 on Day 1 of every other cycle for a maximum of 12 additional doses, starting on Cycle 8 up to Cycle 30.</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For the combination regimens, refer to the prescribing information of each of the medicinal products for their dosing information (for details of the combination regimens, see section 6.1). Calquence is for oral use. The tablets should be swallowed whole with water at approximately the same time each day, with or without food (see section 4.5). The tablets should not be chewed, crushed, dissolved or divided. Recommended dose modifications for Grade ≥ 3 adverse reactions in patients receiving Calquence in combination with bendamustine and rituximab are provided in Table 2. Refer to the prescribing information of each of the medicinal products used in combination with Calquence for additional information for management of toxicities. If these inhibitors will be used short-term (such as anti-infectives for up to seven days), interrupt Calquence.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but without a demonstrated routine national route in England; current draft NICE advice is not final guidance.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Acalabrutinib plus bendamustine–rituximab</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Acalabrutinib plus bendamustine–rituximab</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Acalabrutinib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not previously treated with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Licensed covalent-BTKi option requiring separate clinical appraisal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for BTKi-naive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GID-TA11470/ID6389 is awaiting development. Topic selection 24 November 2023; a note of 21 June 2024 records that, following advice from the company, timelines for this appraisal are to be confirmed. Publication TBC.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final positive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Acalabrutinib monotherapy for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of Calquence in monotherapy or in combination with other medicinal products is 100 mg acalabrutinib twice daily (equivalent to a total daily dose of 200 mg). Calquence dose interval is approximately 12 hours. Treatment with Calquence in monotherapy or in combination with obinutuzumab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Calquence is for oral use. The tablets should be swallowed whole with water at approximately the same time each day, with or without food (see section 4.5). The tablets should not be chewed, crushed, dissolved or divided. Use the acalabrutinib-specific dose modification and monitoring constraints; no combination-agent rules apply to this monotherapy record. Uses the same checked SmPC modification/monitoring boundaries as acalabrutinib plus bendamustine and rituximab.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for BTKi-naive relapsed or refractory MCL but not demonstrated as routinely commissioned nationally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Acalabrutinib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Acalabrutinib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Pirtobrutinib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previously treated with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Single-arm post-covalent-BTKi activity; no comparative sequencing hierarchy established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previous BTK-inhibitor treatment.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Two separate appraisals. </w:t>
      </w:r>
      <w:r>
        <w:rPr>
          <w:rFonts w:ascii="Georgia" w:hAnsi="Georgia" w:cs="Georgia"/>
          <w:sz w:val="34"/>
          <w:sz-cs w:val="34"/>
          <w:b/>
          <w:spacing w:val="0"/>
          <w:color w:val="121826"/>
        </w:rPr>
        <w:t xml:space="preserve">GID-TA10858/ID3975</w:t>
      </w:r>
      <w:r>
        <w:rPr>
          <w:rFonts w:ascii="Georgia" w:hAnsi="Georgia" w:cs="Georgia"/>
          <w:sz w:val="34"/>
          <w:sz-cs w:val="34"/>
          <w:spacing w:val="0"/>
          <w:color w:val="121826"/>
        </w:rPr>
        <w:t xml:space="preserve"> (relapsed or refractory mantle cell lymphoma): the official page carries a headline status of </w:t>
      </w:r>
      <w:r>
        <w:rPr>
          <w:rFonts w:ascii="Georgia" w:hAnsi="Georgia" w:cs="Georgia"/>
          <w:sz w:val="34"/>
          <w:sz-cs w:val="34"/>
          <w:i/>
          <w:spacing w:val="0"/>
          <w:color w:val="121826"/>
        </w:rPr>
        <w:t xml:space="preserve">In progress</w:t>
      </w:r>
      <w:r>
        <w:rPr>
          <w:rFonts w:ascii="Georgia" w:hAnsi="Georgia" w:cs="Georgia"/>
          <w:sz w:val="34"/>
          <w:sz-cs w:val="34"/>
          <w:spacing w:val="0"/>
          <w:color w:val="121826"/>
        </w:rPr>
        <w:t xml:space="preserve"> and a timeline entry of 14 July 2026 recording that the appraisal was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scheduled back into the work programme, anticipated to begin in late September 2026</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while the same timeline retains the 29 March 2024 suspension entry. Both are recorded because the page is internally inconsistent. </w:t>
      </w:r>
      <w:r>
        <w:rPr>
          <w:rFonts w:ascii="Georgia" w:hAnsi="Georgia" w:cs="Georgia"/>
          <w:sz w:val="34"/>
          <w:sz-cs w:val="34"/>
          <w:b/>
          <w:spacing w:val="0"/>
          <w:color w:val="121826"/>
        </w:rPr>
        <w:t xml:space="preserve">GID-TA11639/ID6493</w:t>
      </w:r>
      <w:r>
        <w:rPr>
          <w:rFonts w:ascii="Georgia" w:hAnsi="Georgia" w:cs="Georgia"/>
          <w:sz w:val="34"/>
          <w:sz-cs w:val="34"/>
          <w:spacing w:val="0"/>
          <w:color w:val="121826"/>
        </w:rPr>
        <w:t xml:space="preserve"> (relapsed or refractory disease </w:t>
      </w:r>
      <w:r>
        <w:rPr>
          <w:rFonts w:ascii="Georgia" w:hAnsi="Georgia" w:cs="Georgia"/>
          <w:sz w:val="34"/>
          <w:sz-cs w:val="34"/>
          <w:i/>
          <w:spacing w:val="0"/>
          <w:color w:val="121826"/>
        </w:rPr>
        <w:t xml:space="preserve">untreated with a BTK inhibitor</w:t>
      </w:r>
      <w:r>
        <w:rPr>
          <w:rFonts w:ascii="Georgia" w:hAnsi="Georgia" w:cs="Georgia"/>
          <w:sz w:val="34"/>
          <w:sz-cs w:val="34"/>
          <w:spacing w:val="0"/>
          <w:color w:val="121826"/>
        </w:rPr>
        <w:t xml:space="preserve">) is awaiting development, with entries dated 26 March 2026 and 1 July 2026 and an anticipated start in late October 2026. That second appraisal covers a different population from the licensed post-BTKi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CLL access must not be transposed to MCL. A named individual-patient expanded access programme exists (NCT05172700, Loxo Oncology at Eli Lilly) covering mantle cell lymphoma previously treated with a covalent BTK inhibitor, with no United Kingdom site listed and requests routed through the local company office —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SMC2897, published 19 January 2026, records that pirtobrutinib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is not recommended for use within NHSScotland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following a </w:t>
      </w:r>
      <w:r>
        <w:rPr>
          <w:rFonts w:ascii="Georgia" w:hAnsi="Georgia" w:cs="Georgia"/>
          <w:sz w:val="34"/>
          <w:sz-cs w:val="34"/>
          <w:b/>
          <w:spacing w:val="0"/>
          <w:color w:val="121826"/>
        </w:rPr>
        <w:t xml:space="preserve">non-submission</w:t>
      </w:r>
      <w:r>
        <w:rPr>
          <w:rFonts w:ascii="Georgia" w:hAnsi="Georgia" w:cs="Georgia"/>
          <w:sz w:val="34"/>
          <w:sz-cs w:val="34"/>
          <w:spacing w:val="0"/>
          <w:color w:val="121826"/>
        </w:rPr>
        <w:t xml:space="preserve"> — SMC issued advice without assessing the evidence, because the company did not submit. That distinction matters: it is not a negative clinical or cost-effectiveness finding, and it can be argued in a PACS Tier 2 application. No positive national Welsh or Northern Irish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Pirtobrutinib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is 200 mg pirtobrutinib once daily (QD). Treatment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The tablet should be swallowed whole with a glass of water to ensure consistent performance (patients should not chew, crush, or split tablets before swallowing) and can be taken with or without food. Patients should take the dose at approximately the same time every day. Jaypirca dosing should be interrupted until recovery to Grade 1 or baseline when the patient experiences the following event: Grade 3 neutropenia with fever and/or infection Grade 4 neutropenia lasting ≥ 7 days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after prior BTKi exposure but not demonstrated as routinely commissioned nationally for MCL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Pirtobrutinib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Pirtobrutinib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Lisocabtagene maraleucel</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Phase I activity; no head-to-head comparison with brexu-cel or pirtobrutinib</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GID-TA11930 / ID12299 is awaiting development. A project note dated 3 July 2026 states that appraisal timelines will be available in due course. No NICE recommendation has been issued.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Correction: SMC2909 is a live submission for lisocabtagene maraleucel but its indication is large B-cell lymphoma, not mantle cell lymphoma</w:t>
      </w:r>
      <w:r>
        <w:rPr>
          <w:rFonts w:ascii="Georgia" w:hAnsi="Georgia" w:cs="Georgia"/>
          <w:sz w:val="34"/>
          <w:sz-cs w:val="34"/>
          <w:spacing w:val="0"/>
          <w:color w:val="121826"/>
        </w:rPr>
        <w:t xml:space="preserve">, so it does not establish a Scottish mantle cell lymphoma route and the v2.0 entry was wrong to imply otherwise. No SMC advice for lisocabtagene maraleucel in mantle cell lymphoma was located. No national Welsh or Northern Irish route was demonstrated. Note the Great Britain licence does cover mantle cell lymphoma after at least two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Lisocabtagene maraleucel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Breyanzi is intended for autologous use (see section 4.4). Treatment consists of a single dose for infusion containing a dispersion for infusion of CAR-positive viable T-cells in one or more vials. The target dose is 100 × 106 CAR-positive viable Tcells (consisting of a target 1:1 ratio of CD4+ and CD8+ cell components) within a range of 44-120 × 106 CAR-positive viable T-cells. See the accompanying release for infusion certificate (RfIC) for additional information pertaining to dose. Lymphodepleting chemotherapy consisting of cyclophosphamide 300 mg/m2/day and fludarabine 30 mg/m2/day, administered intravenously for three days. See the prescribing information for fludarabine and cyclophosphamide for information on dose adjustment in renal impairment. Breyanzi is to be administered 2 to 7 days after completion of lymphodepleting chemotherapy.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Breyanzi must be administered in a qualified treatment centre. At least 1 dose of tocilizumab for use in the event of cytokine release syndrome (CRS) and emergency equipment must be available per patient prior to infusion of Breyanzi. It is recommended that premedication with paracetamol and diphenhydramine (25-50 mg, intravenously or orally) or another H1-antihistamine, be administered 30 to 60 minutes before the infusion of Breyanzi to reduce the possibility of an infusion reaction. Patients should be monitored 2-3 times during the first week following infusion, for signs and symptoms of potential CRS, neurologic events and other toxicities. Frequency of monitoring after the first week should be carried out at the physician’s discretion and should be continued for at least 2 weeks after infusion. Patients should be instructed to remain within proximity of a qualified treatment centre for at least 2 weeks following infusion.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for the defined post-BTKi population but not demonstrated as routinely commissioned nationally for MCL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Lisocabtagene maraleucel</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Lisocabtagene maraleucel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Lenalidomide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Licensed non-routine option; combination with rituximab must not be conflated with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as monotherapy for adult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TA774 was terminated because no evidence submission was provided; this is no recommendation, not a negative clinical recommendation.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national MCL Blueteq route demonstrated; NICE directs rational local decision-making.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SMC1211/16 was not recommended following non-submission; Wales did not endorse following non-submission; no Northern Irish national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Lenalidomide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starting dose of lenalidomide is 25 mg orally once daily on days 1 to 21 of repeated 28-day cycles.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Revlimid capsules should be taken orally at about the same time on the scheduled days. The capsules should not be opened, broken or chewed. The capsules should be swallowed whole, preferably with water, either with or without food. Dose is modified based upon clinical and laboratory findings (see section 4.4). Dose adjustments, during treatment and restart of treatment, are recommended to manage Grade 3 or 4 thrombocytopenia, neutropenia, or other Grade 3 or 4 toxicity judged to be related to lenalidomide. All patients should receive TLS prophylaxis (allopurinol, rasburicase or equivalent as per institutional guidelines) and be well hydrated (orally) during the first week of the first cycle or for a longer period if clinically indicated.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monotherapy without a positive national recommendation; any use requires an explicit locally governed access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Lenalidomide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Lenalidomide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Ibrutinib plus venetoclax</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SYMPATICO, a double-blind placebo-controlled randomised phase III trial in 267 patients with one to five prior lines, reported median progression-free survival 31.9 versus 22.1 months, hazard ratio 0.65 (95% CI 0.47–0.88), p=0.0052, with grade 3–4 neutropenia 31% versus 11%. </w:t>
      </w:r>
      <w:r>
        <w:rPr>
          <w:rFonts w:ascii="Georgia" w:hAnsi="Georgia" w:cs="Georgia"/>
          <w:sz w:val="34"/>
          <w:sz-cs w:val="34"/>
          <w:b/>
          <w:spacing w:val="0"/>
          <w:color w:val="121826"/>
        </w:rPr>
        <w:t xml:space="preserve">CORRECTION_UNRESOLVED — a published correction exists against this report (S38) and its content has not been retrieved, so these figures are not finally verified.</w:t>
      </w:r>
      <w:r>
        <w:rPr>
          <w:rFonts w:ascii="Georgia" w:hAnsi="Georgia" w:cs="Georgia"/>
          <w:sz w:val="34"/>
          <w:sz-cs w:val="34"/>
          <w:spacing w:val="0"/>
          <w:color w:val="121826"/>
        </w:rPr>
        <w:t xml:space="preserve"> A first-line open-label cohort in patients aged 65 or over or with TP53 mutation reported complete response 69% and median progression-free survival 40.2 months. Randomised progression-free survival evidence does not itself establish a licensed or commissioned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MCL marketing authorisation for the combination.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GID-TA10774/ID3879 was suspended on 20 January 2026 because an MHRA application was no longer being pursued.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Not licensed or routinely commissioned nationally for MCL; normally limited to a trial or specifically approved exceptional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Ibrutinib plus venetoclax</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Ibrutinib plus venetoclax</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Glofitamab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including after BTKi in the phase I/II evidence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Fixed-duration phase I/II activity; non-randomised and not comparative sequencing evidence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GB MCL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GID-TA12447 is awaiting development for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DLBCL routes must not be extrapolated. The manufacturer's published compassionate use list covers diffuse large B-cell lymphoma, transformed follicular lymphoma and primary mediastinal B-cell lymphoma but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mantle cell lymphoma, and the expired MHRA early-access opinion was DLBCL-only. The referable route is the GLOBRYTE randomised phase III trial, recruiting at United Kingdom sites — see sections 16 and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Emerging evidence-based option without a current MCL licence or demonstrated routine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Glofitamab</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Glofitamab</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Sonrotoclax</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 in the jurisdiction where it is approved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Phase I/II monotherapy after anti-CD20 and covalent BTK-inhibitor exposure; overall response 52.4% (95% CI 42.4–62.4), complete response 15.5%, median duration of response 15.8 months and median progression-free survival 6.5 months at 14.2 months median follow-up. </w:t>
      </w:r>
      <w:r>
        <w:rPr>
          <w:rFonts w:ascii="Georgia" w:hAnsi="Georgia" w:cs="Georgia"/>
          <w:sz w:val="34"/>
          <w:sz-cs w:val="34"/>
          <w:b/>
          <w:spacing w:val="0"/>
          <w:color w:val="121826"/>
        </w:rPr>
        <w:t xml:space="preserve">A published erratum exists and the field corrected could not be established from accessible metadata. These results must not be treated as finally verified until the correction notice has been reviewed, and must not be used to rank sonrotoclax against other options.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No Great Britain mantle cell lymphoma marketing authorisation was identified.</w:t>
      </w:r>
      <w:r>
        <w:rPr>
          <w:rFonts w:ascii="Georgia" w:hAnsi="Georgia" w:cs="Georgia"/>
          <w:sz w:val="34"/>
          <w:sz-cs w:val="34"/>
          <w:spacing w:val="0"/>
          <w:color w:val="121826"/>
        </w:rPr>
        <w:t xml:space="preserve"> Outside the United Kingdom: United States FDA accelerated approval 13 May 2026 for adults with relapsed or refractory mantle cell lymphoma after at least two lines of systemic therapy including a BTK inhibitor — the first BCL2 inhibitor approved in mantle cell lymphoma in any jurisdiction. No European Union authorisation was identified.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mantle cell lymphoma appraisal was identified in the documented live search.</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commissioning route. The referable route is the CELESTIAL-RRMCL randomised phase III trial, recruiting at United Kingdom sites — see section 16.</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Great Britain mantle cell lymphoma regimen established.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United Kingdom practice: no Great Britain mantle cell lymphoma indication was recorded. A United States dose has been reported in secondary sources but is </w:t>
      </w:r>
      <w:r>
        <w:rPr>
          <w:rFonts w:ascii="Georgia" w:hAnsi="Georgia" w:cs="Georgia"/>
          <w:sz w:val="34"/>
          <w:sz-cs w:val="34"/>
          <w:b/>
          <w:spacing w:val="0"/>
          <w:color w:val="121826"/>
        </w:rPr>
        <w:t xml:space="preserve">not reproduced here</w:t>
      </w:r>
      <w:r>
        <w:rPr>
          <w:rFonts w:ascii="Georgia" w:hAnsi="Georgia" w:cs="Georgia"/>
          <w:sz w:val="34"/>
          <w:sz-cs w:val="34"/>
          <w:spacing w:val="0"/>
          <w:color w:val="121826"/>
        </w:rPr>
        <w:t xml:space="preserve">, because no verified Great Britain SmPC exists and a foreign label must not be used as a prescribing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 jurisdiction's label or another indication's pathway as a mantle cell lymphoma protocol. BCL2 inhibition carries tumour-lysis risk requiring a validated ramp-up, and no United Kingdom-verified schedule is available.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Approved in the United States for relapsed or refractory mantle cell lymphoma after at least two lines including a BTK inhibitor; no Great Britain licence and no national commissioning route, so United Kingdom access is through a clinical trial only.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Epcoritamab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No qualifying PubMed-indexed primary MCL trial was established in the targeted evidence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GB MCL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matching MCL NICE appraisal was found in the documented live search.</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other-lymphoma routes must not be extrapolated.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Not established as a routine MCL option; no current MCL licence, NICE appraisal or national commissioning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Epcoritamab</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19. Evidence boundary</w:t>
      </w:r>
      <w:r>
        <w:rPr>
          <w:rFonts w:ascii="Georgia" w:hAnsi="Georgia" w:cs="Georgia"/>
          <w:sz w:val="51"/>
          <w:sz-cs w:val="51"/>
          <w:b/>
          <w:spacing w:val="0"/>
          <w:color w:val="151E39"/>
        </w:rPr>
        <w:t xml:space="preserve"/>
      </w:r>
    </w:p>
    <w:p>
      <w:pPr>
        <w:spacing w:after="340"/>
      </w:pPr>
      <w:r>
        <w:rPr>
          <w:rFonts w:ascii="Georgia" w:hAnsi="Georgia" w:cs="Georgia"/>
          <w:sz w:val="34"/>
          <w:sz-cs w:val="34"/>
          <w:b/>
          <w:spacing w:val="0"/>
          <w:color w:val="121826"/>
        </w:rPr>
        <w:t xml:space="preserve">Scientific extraction is abstract-only except where the controlled evidence ledger states otherwise.</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VERIFICATION STATUS IS NOT UNIFORM, AND THE LABELS BELOW SAY SO</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independent audit on 30 July 2026 checked all 43 references carrying a PMID against PubMed and all 50 carrying a DOI against Crossref. No title, PMID or DOI mismatch was found, and no retraction or expression-of-concern signal was detected. Identifier integrity is therefore sound.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That is not the same as verifying the science. Most extraction here is abstract-level, and the audit found the recurring weakness was not fabricated studies but </w:t>
      </w:r>
      <w:r>
        <w:rPr>
          <w:rFonts w:ascii="Georgia" w:hAnsi="Georgia" w:cs="Georgia"/>
          <w:sz w:val="34"/>
          <w:sz-cs w:val="34"/>
          <w:b/>
          <w:spacing w:val="0"/>
          <w:color w:val="121826"/>
        </w:rPr>
        <w:t xml:space="preserve">broadening a conditional source recommendation into a categorical instruction</w:t>
      </w:r>
      <w:r>
        <w:rPr>
          <w:rFonts w:ascii="Georgia" w:hAnsi="Georgia" w:cs="Georgia"/>
          <w:sz w:val="34"/>
          <w:sz-cs w:val="34"/>
          <w:spacing w:val="0"/>
          <w:color w:val="121826"/>
        </w:rPr>
        <w:t xml:space="preserve"> — particularly in supportive care after cellular therapy, in causal language applied to observational evidence, and in subgroup findings stated as general conclusions. Several such statements have been narrowed in this revision.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Every recommendation-bearing source should carry one of: FULL_TEXT_VERIFIED, ABSTRACT_ONLY, OFFICIAL_GUIDELINE_FULL_TEXT, OFFICIAL_REGULATORY_SOURCE, OFFICIAL_HTA_SOURCE, or CORRECTION_UNRESOLVED. Outcome figures taken only from an abstract must not be presented as though protocol, denominators, supplementary analyses and adverse-event methods had been checked in full.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Scientific extraction is abstract-only except for the verified full text of S01 (PMCID PMC12541557), the PubMed-linked VALERIA correction notice, and the published Department of Error for S25.</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Resolved since v2.0.</w:t>
      </w:r>
      <w:r>
        <w:rPr>
          <w:rFonts w:ascii="Georgia" w:hAnsi="Georgia" w:cs="Georgia"/>
          <w:sz w:val="34"/>
          <w:sz-cs w:val="34"/>
          <w:spacing w:val="0"/>
          <w:color w:val="121826"/>
        </w:rPr>
        <w:t xml:space="preserve"> The StiL erratum (S25, DOI 10.1016/S0140-6736(13)60801-6) has been retrieved and read. It makes two numerical corrections to the primary report: in Table 1, prognostic groups by FLIPI, the intermediate-risk figure in the bendamustine–rituximab group should read 57/139 (41%); and in the Results, the overall response rate in the R-CHOP group should read 231 (91%) of 253. Both are typographical and neither alters the non-inferiority conclusion. The v2.0 note that the substantive correction was not retrieved is now closed.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Still unresolved — two of them.</w:t>
      </w:r>
      <w:r>
        <w:rPr>
          <w:rFonts w:ascii="Georgia" w:hAnsi="Georgia" w:cs="Georgia"/>
          <w:sz w:val="34"/>
          <w:sz-cs w:val="34"/>
          <w:spacing w:val="0"/>
          <w:color w:val="121826"/>
        </w:rPr>
        <w:t xml:space="preserve"> A published correction also exists against S38 (SYMPATICO, Lancet Oncol 2025; correction DOI 10.1016/S1470-2045(25)00210-4, PMID 40318652) and its content has not been retrieved. Every figure drawn from S38 is therefore marked CORRECTION_UNRESOLVED at the point of use, on the same basis as sonrotoclax: the prose in section 9, the relapsed algorithm, the evidence-to-recommendation row in section 15 and the status card in section 18. The first-line SYMPATICO cohort figures are reported separately in S36, against which no editorial notice was found, and are not marked. The sonrotoclax erratum (S20C, PMID 42447415, DOI 10.1200/JCO-26-01699) carries no abstract in PubMed, Europe PMC or scite, and the publisher returned HTTP 403. What was corrected in S20 remains unknown, so every sonrotoclax figure in this document is quoted from a record known to have been corrected in an unknown respect. Manual retrieval of the publisher PDF remains outstanding.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Editorial-notice audit.</w:t>
      </w:r>
      <w:r>
        <w:rPr>
          <w:rFonts w:ascii="Georgia" w:hAnsi="Georgia" w:cs="Georgia"/>
          <w:sz w:val="34"/>
          <w:sz-cs w:val="34"/>
          <w:spacing w:val="0"/>
          <w:color w:val="121826"/>
        </w:rPr>
        <w:t xml:space="preserve"> All records S01 to S31 were re-checked on 30 July 2026. No retraction and no expression of concern affects any of them. Linked comment articles were identified for S04, S17, S24, S25, S29 and S31; comments are commentary, not corrections, and do not change the extracted findings. New records S32 to S43 were checked on the same basis, with one correction identified and recorded against S38.</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 not admitted.</w:t>
      </w:r>
      <w:r>
        <w:rPr>
          <w:rFonts w:ascii="Georgia" w:hAnsi="Georgia" w:cs="Georgia"/>
          <w:sz w:val="34"/>
          <w:sz-cs w:val="34"/>
          <w:spacing w:val="0"/>
          <w:color w:val="121826"/>
        </w:rPr>
        <w:t xml:space="preserve"> Topline MANGROVE results circulating through company communication and secondary reporting have been excluded because no peer-reviewed primary publication was retrievable. Conference abstracts, including preclinical proteasome and BTK-degrader material, have been excluded from the ledger. No figure from an excluded source appears anywhere in this document.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20. Evidence references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Bibliographic identity and integrity status are retained with each record. A verified citation identity does not support claims absent from the checked evidence text.</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w:t>
        <w:tab/>
        <w:t xml:space="preserve"/>
      </w:r>
      <w:r>
        <w:rPr>
          <w:rFonts w:ascii="Georgia" w:hAnsi="Georgia" w:cs="Georgia"/>
          <w:sz w:val="34"/>
          <w:sz-cs w:val="34"/>
          <w:b/>
          <w:spacing w:val="0"/>
          <w:color w:val="121826"/>
        </w:rPr>
        <w:t xml:space="preserve">S01:</w:t>
      </w:r>
      <w:r>
        <w:rPr>
          <w:rFonts w:ascii="Georgia" w:hAnsi="Georgia" w:cs="Georgia"/>
          <w:sz w:val="34"/>
          <w:sz-cs w:val="34"/>
          <w:spacing w:val="0"/>
          <w:color w:val="121826"/>
        </w:rPr>
        <w:t xml:space="preserve"> Jerkeman M et al. EHA–EU MCL network guidelines for diagnosis and treatment of mantle cell lymphoma. HemaSphere. 2025. PMID 41132246; DOI 10.1002/hem3.70233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Clinical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Verified full text supports integrated diagnosis, morphology/Ki-67/TP53 assessment, observation of selected asymptomatic low-risk disease, re-biopsy at relapse and long-term follow-up</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full text checked at PMCID PMC12541557;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w:t>
        <w:tab/>
        <w:t xml:space="preserve"/>
      </w:r>
      <w:r>
        <w:rPr>
          <w:rFonts w:ascii="Georgia" w:hAnsi="Georgia" w:cs="Georgia"/>
          <w:sz w:val="34"/>
          <w:sz-cs w:val="34"/>
          <w:b/>
          <w:spacing w:val="0"/>
          <w:color w:val="121826"/>
        </w:rPr>
        <w:t xml:space="preserve">S02:</w:t>
      </w:r>
      <w:r>
        <w:rPr>
          <w:rFonts w:ascii="Georgia" w:hAnsi="Georgia" w:cs="Georgia"/>
          <w:sz w:val="34"/>
          <w:sz-cs w:val="34"/>
          <w:spacing w:val="0"/>
          <w:color w:val="121826"/>
        </w:rPr>
        <w:t xml:space="preserve"> Jain P et al. High-risk MCL: recognition and treatment. Blood. 2025. PMID 39786418; DOI 10.1182/blood.2023022354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Review</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High-risk clinical, pathological and molecular features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secondary evidence</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w:t>
        <w:tab/>
        <w:t xml:space="preserve"/>
      </w:r>
      <w:r>
        <w:rPr>
          <w:rFonts w:ascii="Georgia" w:hAnsi="Georgia" w:cs="Georgia"/>
          <w:sz w:val="34"/>
          <w:sz-cs w:val="34"/>
          <w:b/>
          <w:spacing w:val="0"/>
          <w:color w:val="121826"/>
        </w:rPr>
        <w:t xml:space="preserve">S03:</w:t>
      </w:r>
      <w:r>
        <w:rPr>
          <w:rFonts w:ascii="Georgia" w:hAnsi="Georgia" w:cs="Georgia"/>
          <w:sz w:val="34"/>
          <w:sz-cs w:val="34"/>
          <w:spacing w:val="0"/>
          <w:color w:val="121826"/>
        </w:rPr>
        <w:t xml:space="preserve"> Bastos-Boente M et al. Development and validation of a novel prognostic index for mantle cell lymphoma integrating TP53 mutations (MIPI53). Br J Haematol. 2026. PMID 42134850; DOI 10.1111/bjh.70535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Development/validation; N=143 plus external cohort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5-year PFS 83.1%/35.4%/12.0%; external c-index 0.732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w:t>
        <w:tab/>
        <w:t xml:space="preserve"/>
      </w:r>
      <w:r>
        <w:rPr>
          <w:rFonts w:ascii="Georgia" w:hAnsi="Georgia" w:cs="Georgia"/>
          <w:sz w:val="34"/>
          <w:sz-cs w:val="34"/>
          <w:b/>
          <w:spacing w:val="0"/>
          <w:color w:val="121826"/>
        </w:rPr>
        <w:t xml:space="preserve">S04:</w:t>
      </w:r>
      <w:r>
        <w:rPr>
          <w:rFonts w:ascii="Georgia" w:hAnsi="Georgia" w:cs="Georgia"/>
          <w:sz w:val="34"/>
          <w:sz-cs w:val="34"/>
          <w:spacing w:val="0"/>
          <w:color w:val="121826"/>
        </w:rPr>
        <w:t xml:space="preserve"> Eskelund CW et al. TP53 mutations identify younger mantle cell lymphoma patients who do not benefit from intensive chemoimmunotherapy. Blood. 2017. PMID 28819011; DOI 10.1182/blood-2017-04-779736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Molecular cohort; N=183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TP53 OS HR 6.2; median OS 1.8 vs 12.7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comment linked, no correction/retraction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w:t>
        <w:tab/>
        <w:t xml:space="preserve"/>
      </w:r>
      <w:r>
        <w:rPr>
          <w:rFonts w:ascii="Georgia" w:hAnsi="Georgia" w:cs="Georgia"/>
          <w:sz w:val="34"/>
          <w:sz-cs w:val="34"/>
          <w:b/>
          <w:spacing w:val="0"/>
          <w:color w:val="121826"/>
        </w:rPr>
        <w:t xml:space="preserve">S05:</w:t>
      </w:r>
      <w:r>
        <w:rPr>
          <w:rFonts w:ascii="Georgia" w:hAnsi="Georgia" w:cs="Georgia"/>
          <w:sz w:val="34"/>
          <w:sz-cs w:val="34"/>
          <w:spacing w:val="0"/>
          <w:color w:val="121826"/>
        </w:rPr>
        <w:t xml:space="preserve"> Moia R et al. Molecular biomarkers as key determinants of outcome in mantle cell lymphoma: results from the FIL V-RBAC trial. Blood Adv. 2026. PMID 42498280; DOI 10.1182/bloodadvances.2026020780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Biomarker analysis; N=132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Four independently associated molecular variables/model</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newly indexed 24 July 2026</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6</w:t>
        <w:tab/>
        <w:t xml:space="preserve"/>
      </w:r>
      <w:r>
        <w:rPr>
          <w:rFonts w:ascii="Georgia" w:hAnsi="Georgia" w:cs="Georgia"/>
          <w:sz w:val="34"/>
          <w:sz-cs w:val="34"/>
          <w:b/>
          <w:spacing w:val="0"/>
          <w:color w:val="121826"/>
        </w:rPr>
        <w:t xml:space="preserve">S06:</w:t>
      </w:r>
      <w:r>
        <w:rPr>
          <w:rFonts w:ascii="Georgia" w:hAnsi="Georgia" w:cs="Georgia"/>
          <w:sz w:val="34"/>
          <w:sz-cs w:val="34"/>
          <w:spacing w:val="0"/>
          <w:color w:val="121826"/>
        </w:rPr>
        <w:t xml:space="preserve"> Dreyling M et al. Addition of autologous stem-cell transplantation to an ibrutinib-containing first-line treatment… (TRIANGLE): 4·5-year follow-up… Lancet. 2026. PMID 42134356; DOI 10.1016/S0140-6736(26)00362-4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N=870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4-year FFS 82%/81%/70%; no added ASCT benefit; both ibrutinib arms improved 4-year OS versus control; grade 3-5 infections 34%/26%/15%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7</w:t>
        <w:tab/>
        <w:t xml:space="preserve"/>
      </w:r>
      <w:r>
        <w:rPr>
          <w:rFonts w:ascii="Georgia" w:hAnsi="Georgia" w:cs="Georgia"/>
          <w:sz w:val="34"/>
          <w:sz-cs w:val="34"/>
          <w:b/>
          <w:spacing w:val="0"/>
          <w:color w:val="121826"/>
        </w:rPr>
        <w:t xml:space="preserve">S07:</w:t>
      </w:r>
      <w:r>
        <w:rPr>
          <w:rFonts w:ascii="Georgia" w:hAnsi="Georgia" w:cs="Georgia"/>
          <w:sz w:val="34"/>
          <w:sz-cs w:val="34"/>
          <w:spacing w:val="0"/>
          <w:color w:val="121826"/>
        </w:rPr>
        <w:t xml:space="preserve"> Lewis DJ et al. Ibrutinib and rituximab versus immunochemotherapy… (ENRICH). Lancet. 2025. PMID 41052510; DOI 10.1016/S0140-6736(25)01432-1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II/III; N=397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HR 0.69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8</w:t>
        <w:tab/>
        <w:t xml:space="preserve"/>
      </w:r>
      <w:r>
        <w:rPr>
          <w:rFonts w:ascii="Georgia" w:hAnsi="Georgia" w:cs="Georgia"/>
          <w:sz w:val="34"/>
          <w:sz-cs w:val="34"/>
          <w:b/>
          <w:spacing w:val="0"/>
          <w:color w:val="121826"/>
        </w:rPr>
        <w:t xml:space="preserve">S08:</w:t>
      </w:r>
      <w:r>
        <w:rPr>
          <w:rFonts w:ascii="Georgia" w:hAnsi="Georgia" w:cs="Georgia"/>
          <w:sz w:val="34"/>
          <w:sz-cs w:val="34"/>
          <w:spacing w:val="0"/>
          <w:color w:val="121826"/>
        </w:rPr>
        <w:t xml:space="preserve"> Wang M et al. Acalabrutinib Plus Bendamustine-Rituximab in Untreated Mantle Cell Lymphoma. J Clin Oncol. 2025. PMID 40311141; DOI 10.1200/JCO-25-00690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ECHO, randomised phase III; N=598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66.4 vs 49.6 months; OS NS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9</w:t>
        <w:tab/>
        <w:t xml:space="preserve"/>
      </w:r>
      <w:r>
        <w:rPr>
          <w:rFonts w:ascii="Georgia" w:hAnsi="Georgia" w:cs="Georgia"/>
          <w:sz w:val="34"/>
          <w:sz-cs w:val="34"/>
          <w:b/>
          <w:spacing w:val="0"/>
          <w:color w:val="121826"/>
        </w:rPr>
        <w:t xml:space="preserve">S09:</w:t>
      </w:r>
      <w:r>
        <w:rPr>
          <w:rFonts w:ascii="Georgia" w:hAnsi="Georgia" w:cs="Georgia"/>
          <w:sz w:val="34"/>
          <w:sz-cs w:val="34"/>
          <w:spacing w:val="0"/>
          <w:color w:val="121826"/>
        </w:rPr>
        <w:t xml:space="preserve"> Kumar A et al. Zanubrutinib, obinutuzumab, and venetoclax for first-line treatment of mantle cell lymphoma with a TP53 mutation. Blood. 2025. PMID 39437708; DOI 10.1182/blood.2024025563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BOVen phase II; N=25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96%; CR 88%; 2-year PFS 72%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10</w:t>
        <w:tab/>
        <w:t xml:space="preserve"/>
      </w:r>
      <w:r>
        <w:rPr>
          <w:rFonts w:ascii="Georgia" w:hAnsi="Georgia" w:cs="Georgia"/>
          <w:sz w:val="34"/>
          <w:sz-cs w:val="34"/>
          <w:b/>
          <w:spacing w:val="0"/>
          <w:color w:val="121826"/>
        </w:rPr>
        <w:t xml:space="preserve">S10:</w:t>
      </w:r>
      <w:r>
        <w:rPr>
          <w:rFonts w:ascii="Georgia" w:hAnsi="Georgia" w:cs="Georgia"/>
          <w:sz w:val="34"/>
          <w:sz-cs w:val="34"/>
          <w:spacing w:val="0"/>
          <w:color w:val="121826"/>
        </w:rPr>
        <w:t xml:space="preserve"> Visco C et al. Rituximab, bendamustine, and cytarabine followed by venetoclax… (FIL_V-RBAC). Lancet Haematol. 2025. PMID 40975105; DOI 10.1016/S2352-3026(25)00252-2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Single-arm phase II; N=140, high-risk n=54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High-risk 2-year PFS 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11</w:t>
        <w:tab/>
        <w:t xml:space="preserve"/>
      </w:r>
      <w:r>
        <w:rPr>
          <w:rFonts w:ascii="Georgia" w:hAnsi="Georgia" w:cs="Georgia"/>
          <w:sz w:val="34"/>
          <w:sz-cs w:val="34"/>
          <w:b/>
          <w:spacing w:val="0"/>
          <w:color w:val="121826"/>
        </w:rPr>
        <w:t xml:space="preserve">S11:</w:t>
      </w:r>
      <w:r>
        <w:rPr>
          <w:rFonts w:ascii="Georgia" w:hAnsi="Georgia" w:cs="Georgia"/>
          <w:sz w:val="34"/>
          <w:sz-cs w:val="34"/>
          <w:spacing w:val="0"/>
          <w:color w:val="121826"/>
        </w:rPr>
        <w:t xml:space="preserve"> Ruan J et al. MRD-driven initial therapy of acalabrutinib and lenalidomide plus rituximab or obinutuzumab for mantle cell lymphoma. Blood Adv. 2026. PMID 41289154; DOI 10.1182/bloodadvances.2025017760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ALR ORR 100%; molecular CR 67% after 12 cycles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cohort denominators incomplete in abstract</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12</w:t>
        <w:tab/>
        <w:t xml:space="preserve"/>
      </w:r>
      <w:r>
        <w:rPr>
          <w:rFonts w:ascii="Georgia" w:hAnsi="Georgia" w:cs="Georgia"/>
          <w:sz w:val="34"/>
          <w:sz-cs w:val="34"/>
          <w:b/>
          <w:spacing w:val="0"/>
          <w:color w:val="121826"/>
        </w:rPr>
        <w:t xml:space="preserve">S12:</w:t>
      </w:r>
      <w:r>
        <w:rPr>
          <w:rFonts w:ascii="Georgia" w:hAnsi="Georgia" w:cs="Georgia"/>
          <w:sz w:val="34"/>
          <w:sz-cs w:val="34"/>
          <w:spacing w:val="0"/>
          <w:color w:val="121826"/>
        </w:rPr>
        <w:t xml:space="preserve"> Jerkeman M et al. MRD-driven treatment with venetoclax-R2… MCL7 VALERIA trial. Blood Adv. 2024. PMID 38113470; DOI 10.1182/bloodadvances.2023011920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Ib/II; N=59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63%; PFS 21 months; 28 stopped in molecular remission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V2-CORRECTED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13</w:t>
        <w:tab/>
        <w:t xml:space="preserve"/>
      </w:r>
      <w:r>
        <w:rPr>
          <w:rFonts w:ascii="Georgia" w:hAnsi="Georgia" w:cs="Georgia"/>
          <w:sz w:val="34"/>
          <w:sz-cs w:val="34"/>
          <w:b/>
          <w:spacing w:val="0"/>
          <w:color w:val="121826"/>
        </w:rPr>
        <w:t xml:space="preserve">S12C:</w:t>
      </w:r>
      <w:r>
        <w:rPr>
          <w:rFonts w:ascii="Georgia" w:hAnsi="Georgia" w:cs="Georgia"/>
          <w:sz w:val="34"/>
          <w:sz-cs w:val="34"/>
          <w:spacing w:val="0"/>
          <w:color w:val="121826"/>
        </w:rPr>
        <w:t xml:space="preserve"> Erratum: Jerkeman M… VALERIA trial. Blood Adv. 2024. PMID 39392649; DOI 10.1182/bloodadvances.2024013955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Published erratum</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Correct lenalidomide phase II dose: 15 mg, not 20 mg</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CORRECTION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14</w:t>
        <w:tab/>
        <w:t xml:space="preserve"/>
      </w:r>
      <w:r>
        <w:rPr>
          <w:rFonts w:ascii="Georgia" w:hAnsi="Georgia" w:cs="Georgia"/>
          <w:sz w:val="34"/>
          <w:sz-cs w:val="34"/>
          <w:b/>
          <w:spacing w:val="0"/>
          <w:color w:val="121826"/>
        </w:rPr>
        <w:t xml:space="preserve">S13:</w:t>
      </w:r>
      <w:r>
        <w:rPr>
          <w:rFonts w:ascii="Georgia" w:hAnsi="Georgia" w:cs="Georgia"/>
          <w:sz w:val="34"/>
          <w:sz-cs w:val="34"/>
          <w:spacing w:val="0"/>
          <w:color w:val="121826"/>
        </w:rPr>
        <w:t xml:space="preserve"> Hoster E et al. Predictive Value of Minimal Residual Disease for Efficacy of Rituximab Maintenance… J Clin Oncol. 2024. PMID 37992261; DOI 10.1200/JCO.23.00899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planned trial analysis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MRD-negative PFS HR 0.38 with maintenance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15</w:t>
        <w:tab/>
        <w:t xml:space="preserve"/>
      </w:r>
      <w:r>
        <w:rPr>
          <w:rFonts w:ascii="Georgia" w:hAnsi="Georgia" w:cs="Georgia"/>
          <w:sz w:val="34"/>
          <w:sz-cs w:val="34"/>
          <w:b/>
          <w:spacing w:val="0"/>
          <w:color w:val="121826"/>
        </w:rPr>
        <w:t xml:space="preserve">S14:</w:t>
      </w:r>
      <w:r>
        <w:rPr>
          <w:rFonts w:ascii="Georgia" w:hAnsi="Georgia" w:cs="Georgia"/>
          <w:sz w:val="34"/>
          <w:sz-cs w:val="34"/>
          <w:spacing w:val="0"/>
          <w:color w:val="121826"/>
        </w:rPr>
        <w:t xml:space="preserve"> Wang ML et al. Pirtobrutinib in Covalent Bruton Tyrosine Kinase Inhibitor Pretreated Mantle-Cell Lymphoma. J Clin Oncol. 2023. PMID 37192437; DOI 10.1200/JCO.23.00562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BRUIN phase I/II; efficacy n=90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57.8%; CR 20%; DOR 21.6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16</w:t>
        <w:tab/>
        <w:t xml:space="preserve"/>
      </w:r>
      <w:r>
        <w:rPr>
          <w:rFonts w:ascii="Georgia" w:hAnsi="Georgia" w:cs="Georgia"/>
          <w:sz w:val="34"/>
          <w:sz-cs w:val="34"/>
          <w:b/>
          <w:spacing w:val="0"/>
          <w:color w:val="121826"/>
        </w:rPr>
        <w:t xml:space="preserve">S15:</w:t>
      </w:r>
      <w:r>
        <w:rPr>
          <w:rFonts w:ascii="Georgia" w:hAnsi="Georgia" w:cs="Georgia"/>
          <w:sz w:val="34"/>
          <w:sz-cs w:val="34"/>
          <w:spacing w:val="0"/>
          <w:color w:val="121826"/>
        </w:rPr>
        <w:t xml:space="preserve"> Muñoz J et al. Five-year follow-up… ZUMA-2, Cohorts 1 and 2. J Hematol Oncol. 2026. PMID 42036693; DOI 10.1186/s13045-026-01797-4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Five-year single-arm follow-up; ZUMA-2 cohort 1 N=68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At median follow-up 67.8 months, median DOR was 36.5 months and median OS was 46.5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17</w:t>
        <w:tab/>
        <w:t xml:space="preserve"/>
      </w:r>
      <w:r>
        <w:rPr>
          <w:rFonts w:ascii="Georgia" w:hAnsi="Georgia" w:cs="Georgia"/>
          <w:sz w:val="34"/>
          <w:sz-cs w:val="34"/>
          <w:b/>
          <w:spacing w:val="0"/>
          <w:color w:val="121826"/>
        </w:rPr>
        <w:t xml:space="preserve">S16:</w:t>
      </w:r>
      <w:r>
        <w:rPr>
          <w:rFonts w:ascii="Georgia" w:hAnsi="Georgia" w:cs="Georgia"/>
          <w:sz w:val="34"/>
          <w:sz-cs w:val="34"/>
          <w:spacing w:val="0"/>
          <w:color w:val="121826"/>
        </w:rPr>
        <w:t xml:space="preserve"> Wang M et al. Lisocabtagene Maraleucel in Relapsed/Refractory Mantle Cell Lymphoma… TRANSCEND NHL 001. J Clin Oncol. 2024. PMID 38072625; DOI 10.1200/JCO.23.02214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 104 leukapheresed, 88 infused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83.1%; CR 72.3%; PFS 15.3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18</w:t>
        <w:tab/>
        <w:t xml:space="preserve"/>
      </w:r>
      <w:r>
        <w:rPr>
          <w:rFonts w:ascii="Georgia" w:hAnsi="Georgia" w:cs="Georgia"/>
          <w:sz w:val="34"/>
          <w:sz-cs w:val="34"/>
          <w:b/>
          <w:spacing w:val="0"/>
          <w:color w:val="121826"/>
        </w:rPr>
        <w:t xml:space="preserve">S17:</w:t>
      </w:r>
      <w:r>
        <w:rPr>
          <w:rFonts w:ascii="Georgia" w:hAnsi="Georgia" w:cs="Georgia"/>
          <w:sz w:val="34"/>
          <w:sz-cs w:val="34"/>
          <w:spacing w:val="0"/>
          <w:color w:val="121826"/>
        </w:rPr>
        <w:t xml:space="preserve"> Ahmed N et al. Real-world outcomes of brexucabtagene autoleucel… a CIBMTR analysis. Blood Adv. 2025. PMID 40706035; DOI 10.1182/bloodadvances.2024015014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registry; N=476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91%; CR 82%; 1-year PFS 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observational</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19</w:t>
        <w:tab/>
        <w:t xml:space="preserve"/>
      </w:r>
      <w:r>
        <w:rPr>
          <w:rFonts w:ascii="Georgia" w:hAnsi="Georgia" w:cs="Georgia"/>
          <w:sz w:val="34"/>
          <w:sz-cs w:val="34"/>
          <w:b/>
          <w:spacing w:val="0"/>
          <w:color w:val="121826"/>
        </w:rPr>
        <w:t xml:space="preserve">S18:</w:t>
      </w:r>
      <w:r>
        <w:rPr>
          <w:rFonts w:ascii="Georgia" w:hAnsi="Georgia" w:cs="Georgia"/>
          <w:sz w:val="34"/>
          <w:sz-cs w:val="34"/>
          <w:spacing w:val="0"/>
          <w:color w:val="121826"/>
        </w:rPr>
        <w:t xml:space="preserve"> O’Reilly MA et al. Brexucabtagene autoleucel… in the United Kingdom: A real-world intention-to-treat analysis. HemaSphere. 2024. PMID 38873532; DOI 10.1002/hem3.87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UK ITT; 119 approved, 83 infused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Infused ORR 87%; 24-month NRM 25%, mainly infection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observational</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20</w:t>
        <w:tab/>
        <w:t xml:space="preserve"/>
      </w:r>
      <w:r>
        <w:rPr>
          <w:rFonts w:ascii="Georgia" w:hAnsi="Georgia" w:cs="Georgia"/>
          <w:sz w:val="34"/>
          <w:sz-cs w:val="34"/>
          <w:b/>
          <w:spacing w:val="0"/>
          <w:color w:val="121826"/>
        </w:rPr>
        <w:t xml:space="preserve">S19:</w:t>
      </w:r>
      <w:r>
        <w:rPr>
          <w:rFonts w:ascii="Georgia" w:hAnsi="Georgia" w:cs="Georgia"/>
          <w:sz w:val="34"/>
          <w:sz-cs w:val="34"/>
          <w:spacing w:val="0"/>
          <w:color w:val="121826"/>
        </w:rPr>
        <w:t xml:space="preserve"> Phillips TJ et al. Glofitamab in Relapsed/Refractory Mantle Cell Lymphoma: Results From a Phase I/II Study. J Clin Oncol. 2025. PMID 39365960; DOI 10.1200/JCO.23.02470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evaluable n=60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85%; CR 78.3%; prior-BTKi ORR 74.2%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21</w:t>
        <w:tab/>
        <w:t xml:space="preserve"/>
      </w:r>
      <w:r>
        <w:rPr>
          <w:rFonts w:ascii="Georgia" w:hAnsi="Georgia" w:cs="Georgia"/>
          <w:sz w:val="34"/>
          <w:sz-cs w:val="34"/>
          <w:b/>
          <w:spacing w:val="0"/>
          <w:color w:val="121826"/>
        </w:rPr>
        <w:t xml:space="preserve">S20:</w:t>
      </w:r>
      <w:r>
        <w:rPr>
          <w:rFonts w:ascii="Georgia" w:hAnsi="Georgia" w:cs="Georgia"/>
          <w:sz w:val="34"/>
          <w:sz-cs w:val="34"/>
          <w:spacing w:val="0"/>
          <w:color w:val="121826"/>
        </w:rPr>
        <w:t xml:space="preserve"> Eyre TA et al. Phase I/II Study of Sonrotoclax (BGB-11417) Monotherapy… J Clin Oncol. 2026. PMID 42385124; DOI 10.1200/JCO-26-00550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efficacy n=103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Abstract reports ORR 52.4%; PFS 6.5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V2-CORRECTED; correction content unresolved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22</w:t>
        <w:tab/>
        <w:t xml:space="preserve"/>
      </w:r>
      <w:r>
        <w:rPr>
          <w:rFonts w:ascii="Georgia" w:hAnsi="Georgia" w:cs="Georgia"/>
          <w:sz w:val="34"/>
          <w:sz-cs w:val="34"/>
          <w:b/>
          <w:spacing w:val="0"/>
          <w:color w:val="121826"/>
        </w:rPr>
        <w:t xml:space="preserve">S20C:</w:t>
      </w:r>
      <w:r>
        <w:rPr>
          <w:rFonts w:ascii="Georgia" w:hAnsi="Georgia" w:cs="Georgia"/>
          <w:sz w:val="34"/>
          <w:sz-cs w:val="34"/>
          <w:spacing w:val="0"/>
          <w:color w:val="121826"/>
        </w:rPr>
        <w:t xml:space="preserve"> Eyre TA et al. Erratum: Phase I/II Study of Sonrotoclax… J Clin Oncol. 2026. PMID 42447415; DOI 10.1200/JCO-26-01699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Published erratum</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Correction relationship established; corrected field not available in checked metadata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CORRECTION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23</w:t>
        <w:tab/>
        <w:t xml:space="preserve"/>
      </w:r>
      <w:r>
        <w:rPr>
          <w:rFonts w:ascii="Georgia" w:hAnsi="Georgia" w:cs="Georgia"/>
          <w:sz w:val="34"/>
          <w:sz-cs w:val="34"/>
          <w:b/>
          <w:spacing w:val="0"/>
          <w:color w:val="121826"/>
        </w:rPr>
        <w:t xml:space="preserve">S21:</w:t>
      </w:r>
      <w:r>
        <w:rPr>
          <w:rFonts w:ascii="Georgia" w:hAnsi="Georgia" w:cs="Georgia"/>
          <w:sz w:val="34"/>
          <w:sz-cs w:val="34"/>
          <w:spacing w:val="0"/>
          <w:color w:val="121826"/>
        </w:rPr>
        <w:t xml:space="preserve"> Kluin-Nelemans HC et al. Treatment of Older Patients With Mantle Cell Lymphoma: Long-Term Follow-Up of the Randomized European MCL Elderly Trial. J Clin Oncol. 2020. PMID 31804876; DOI 10.1200/JCO.19.01294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After R-CHOP, maintenance PFS 5.4 vs 1.9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24</w:t>
        <w:tab/>
        <w:t xml:space="preserve"/>
      </w:r>
      <w:r>
        <w:rPr>
          <w:rFonts w:ascii="Georgia" w:hAnsi="Georgia" w:cs="Georgia"/>
          <w:sz w:val="34"/>
          <w:sz-cs w:val="34"/>
          <w:b/>
          <w:spacing w:val="0"/>
          <w:color w:val="121826"/>
        </w:rPr>
        <w:t xml:space="preserve">S22:</w:t>
      </w:r>
      <w:r>
        <w:rPr>
          <w:rFonts w:ascii="Georgia" w:hAnsi="Georgia" w:cs="Georgia"/>
          <w:sz w:val="34"/>
          <w:sz-cs w:val="34"/>
          <w:spacing w:val="0"/>
          <w:color w:val="121826"/>
        </w:rPr>
        <w:t xml:space="preserve"> Wang ML et al. Ibrutinib plus Bendamustine and Rituximab in Untreated Mantle-Cell Lymphoma. N Engl J Med. 2022. PMID 35657079; DOI 10.1056/NEJMoa2201817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SHINE randomised; N=523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80.6 vs 52.9 months; OS similar</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comments linked, no correction/retraction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25</w:t>
        <w:tab/>
        <w:t xml:space="preserve"/>
      </w:r>
      <w:r>
        <w:rPr>
          <w:rFonts w:ascii="Georgia" w:hAnsi="Georgia" w:cs="Georgia"/>
          <w:sz w:val="34"/>
          <w:sz-cs w:val="34"/>
          <w:b/>
          <w:spacing w:val="0"/>
          <w:color w:val="121826"/>
        </w:rPr>
        <w:t xml:space="preserve">S23:</w:t>
      </w:r>
      <w:r>
        <w:rPr>
          <w:rFonts w:ascii="Georgia" w:hAnsi="Georgia" w:cs="Georgia"/>
          <w:sz w:val="34"/>
          <w:sz-cs w:val="34"/>
          <w:spacing w:val="0"/>
          <w:color w:val="121826"/>
        </w:rPr>
        <w:t xml:space="preserve"> Ladetto M et al. Rituximab Maintenance Added to Ibrutinib-Containing Therapy in Younger, Untreated Patients With Mantle Cell Lymphoma: Results From the TRIANGLE Trial. J Clin Oncol. 2026. PMID 42447409; DOI 10.1200/JCO-26-00705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Non-randomised secondary TRIANGLE analysis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Higher 4-year PFS and grade 3–5 infections with maintenance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residual confounding</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26</w:t>
        <w:tab/>
        <w:t xml:space="preserve"/>
      </w:r>
      <w:r>
        <w:rPr>
          <w:rFonts w:ascii="Georgia" w:hAnsi="Georgia" w:cs="Georgia"/>
          <w:sz w:val="34"/>
          <w:sz-cs w:val="34"/>
          <w:b/>
          <w:spacing w:val="0"/>
          <w:color w:val="121826"/>
        </w:rPr>
        <w:t xml:space="preserve">S24:</w:t>
      </w:r>
      <w:r>
        <w:rPr>
          <w:rFonts w:ascii="Georgia" w:hAnsi="Georgia" w:cs="Georgia"/>
          <w:sz w:val="34"/>
          <w:sz-cs w:val="34"/>
          <w:spacing w:val="0"/>
          <w:color w:val="121826"/>
        </w:rPr>
        <w:t xml:space="preserve"> Dreyling M et al. Ibrutinib combined with immunochemotherapy with or without autologous stem-cell transplantation… (TRIANGLE). Lancet. 2024. PMID 38705160; DOI 10.1016/S0140-6736(24)00184-3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N=870; untreated stage II–IV MCL, age 18–65 years, suitable for 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At 31 months, 3-year FFS was 88% with ibrutinib plus ASCT, 86% with ibrutinib without ASCT and 72% with conventional ASCT; conventional ASCT superiority over ibrutinib without ASCT was not shown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27</w:t>
        <w:tab/>
        <w:t xml:space="preserve"/>
      </w:r>
      <w:r>
        <w:rPr>
          <w:rFonts w:ascii="Georgia" w:hAnsi="Georgia" w:cs="Georgia"/>
          <w:sz w:val="34"/>
          <w:sz-cs w:val="34"/>
          <w:b/>
          <w:spacing w:val="0"/>
          <w:color w:val="121826"/>
        </w:rPr>
        <w:t xml:space="preserve">S25:</w:t>
      </w:r>
      <w:r>
        <w:rPr>
          <w:rFonts w:ascii="Georgia" w:hAnsi="Georgia" w:cs="Georgia"/>
          <w:sz w:val="34"/>
          <w:sz-cs w:val="34"/>
          <w:spacing w:val="0"/>
          <w:color w:val="121826"/>
        </w:rPr>
        <w:t xml:space="preserve"> Rummel MJ et al. Bendamustine plus rituximab versus CHOP plus rituximab as first-line treatment for patients with indolent and mantle-cell lymphomas. Lancet. 2013. PMID 23433739; DOI 10.1016/S0140-6736(12)61763-2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mixed indolent lymphoma and MCL population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Pooled trial results favoured BR over R-CHOP for PFS and several toxicities; the abstract does not provide an MCL-specific treatment effect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V2.1-CORRECTED; published erratum DOI 10.1016/S0140-6736(13)60801-6 </w:t>
      </w:r>
      <w:r>
        <w:rPr>
          <w:rFonts w:ascii="Georgia" w:hAnsi="Georgia" w:cs="Georgia"/>
          <w:sz w:val="34"/>
          <w:sz-cs w:val="34"/>
          <w:b/>
          <w:spacing w:val="0"/>
          <w:color w:val="121826"/>
        </w:rPr>
        <w:t xml:space="preserve">retrieved and read</w:t>
      </w:r>
      <w:r>
        <w:rPr>
          <w:rFonts w:ascii="Georgia" w:hAnsi="Georgia" w:cs="Georgia"/>
          <w:sz w:val="34"/>
          <w:sz-cs w:val="34"/>
          <w:spacing w:val="0"/>
          <w:color w:val="121826"/>
        </w:rPr>
        <w:t xml:space="preserve"> — it corrects the intermediate-risk FLIPI count in the bendamustine–rituximab group and the pooled R-CHOP overall-response count; neither correction changes the trial’s non-inferiority conclusion. Keep pooled findings qualified because no mantle cell-specific effect is given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28</w:t>
        <w:tab/>
        <w:t xml:space="preserve"/>
      </w:r>
      <w:r>
        <w:rPr>
          <w:rFonts w:ascii="Georgia" w:hAnsi="Georgia" w:cs="Georgia"/>
          <w:sz w:val="34"/>
          <w:sz-cs w:val="34"/>
          <w:b/>
          <w:spacing w:val="0"/>
          <w:color w:val="121826"/>
        </w:rPr>
        <w:t xml:space="preserve">S26:</w:t>
      </w:r>
      <w:r>
        <w:rPr>
          <w:rFonts w:ascii="Georgia" w:hAnsi="Georgia" w:cs="Georgia"/>
          <w:sz w:val="34"/>
          <w:sz-cs w:val="34"/>
          <w:spacing w:val="0"/>
          <w:color w:val="121826"/>
        </w:rPr>
        <w:t xml:space="preserve"> Hermine O et al. High-Dose Cytarabine and Autologous Stem-Cell Transplantation in Mantle Cell Lymphoma: Long-Term Follow-Up of the Randomized MCL Younger Trial. J Clin Oncol. 2023. PMID 36469833; DOI 10.1200/JCO.22.01780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long-term update; advanced MCL, age under 66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The bundled R-CHOP/R-DHAP, cytarabine-containing conditioning and ASCT strategy improved median time to treatment failure to 8.4 versus 3.9 years compared with R-CHOP/ASCT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29</w:t>
        <w:tab/>
        <w:t xml:space="preserve"/>
      </w:r>
      <w:r>
        <w:rPr>
          <w:rFonts w:ascii="Georgia" w:hAnsi="Georgia" w:cs="Georgia"/>
          <w:sz w:val="34"/>
          <w:sz-cs w:val="34"/>
          <w:b/>
          <w:spacing w:val="0"/>
          <w:color w:val="121826"/>
        </w:rPr>
        <w:t xml:space="preserve">S27:</w:t>
      </w:r>
      <w:r>
        <w:rPr>
          <w:rFonts w:ascii="Georgia" w:hAnsi="Georgia" w:cs="Georgia"/>
          <w:sz w:val="34"/>
          <w:sz-cs w:val="34"/>
          <w:spacing w:val="0"/>
          <w:color w:val="121826"/>
        </w:rPr>
        <w:t xml:space="preserve"> Le Gouill S et al. Rituximab after Autologous Stem-Cell Transplantation in Mantle-Cell Lymphoma. N Engl J Med. 2017. PMID 28953447; DOI 10.1056/NEJMoa1701769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240 patients randomised after 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Rituximab 375 mg/m² every 2 months for 3 years improved 4-year EFS, PFS and OS versus observation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30</w:t>
        <w:tab/>
        <w:t xml:space="preserve"/>
      </w:r>
      <w:r>
        <w:rPr>
          <w:rFonts w:ascii="Georgia" w:hAnsi="Georgia" w:cs="Georgia"/>
          <w:sz w:val="34"/>
          <w:sz-cs w:val="34"/>
          <w:b/>
          <w:spacing w:val="0"/>
          <w:color w:val="121826"/>
        </w:rPr>
        <w:t xml:space="preserve">S28:</w:t>
      </w:r>
      <w:r>
        <w:rPr>
          <w:rFonts w:ascii="Georgia" w:hAnsi="Georgia" w:cs="Georgia"/>
          <w:sz w:val="34"/>
          <w:sz-cs w:val="34"/>
          <w:spacing w:val="0"/>
          <w:color w:val="121826"/>
        </w:rPr>
        <w:t xml:space="preserve"> Sarkozy C et al. Long-Term Follow-Up of Rituximab Maintenance in Young Patients With Mantle-Cell Lymphoma Included in the LYMA Trial. J Clin Oncol. 2024. PMID 38109684; DOI 10.1200/JCO.23.01586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Long-term LYMA trial follow-up; median follow-up 7.5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Seven-year PFS was 78.5% with rituximab maintenance versus 47.4% with observation; the prolonged-follow-up OS difference was not statistically significant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31</w:t>
        <w:tab/>
        <w:t xml:space="preserve"/>
      </w:r>
      <w:r>
        <w:rPr>
          <w:rFonts w:ascii="Georgia" w:hAnsi="Georgia" w:cs="Georgia"/>
          <w:sz w:val="34"/>
          <w:sz-cs w:val="34"/>
          <w:b/>
          <w:spacing w:val="0"/>
          <w:color w:val="121826"/>
        </w:rPr>
        <w:t xml:space="preserve">S29:</w:t>
      </w:r>
      <w:r>
        <w:rPr>
          <w:rFonts w:ascii="Georgia" w:hAnsi="Georgia" w:cs="Georgia"/>
          <w:sz w:val="34"/>
          <w:sz-cs w:val="34"/>
          <w:spacing w:val="0"/>
          <w:color w:val="121826"/>
        </w:rPr>
        <w:t xml:space="preserve"> Martin P et al. Treatment Outcomes and Roles of Transplantation and Maintenance Rituximab in Patients With Previously Untreated Mantle Cell Lymphoma: Results From Large Real-World Cohorts. J Clin Oncol. 2023. PMID 35763708; DOI 10.1200/JCO.21.02698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real-world cohorts; Flatiron N=4,216 plus independent validation N=1,168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Maintenance rituximab after BR was associated with longer real-world time to next treatment and OS than BR alone; observational design does not prove causality</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32</w:t>
        <w:tab/>
        <w:t xml:space="preserve"/>
      </w:r>
      <w:r>
        <w:rPr>
          <w:rFonts w:ascii="Georgia" w:hAnsi="Georgia" w:cs="Georgia"/>
          <w:sz w:val="34"/>
          <w:sz-cs w:val="34"/>
          <w:b/>
          <w:spacing w:val="0"/>
          <w:color w:val="121826"/>
        </w:rPr>
        <w:t xml:space="preserve">S30:</w:t>
      </w:r>
      <w:r>
        <w:rPr>
          <w:rFonts w:ascii="Georgia" w:hAnsi="Georgia" w:cs="Georgia"/>
          <w:sz w:val="34"/>
          <w:sz-cs w:val="34"/>
          <w:spacing w:val="0"/>
          <w:color w:val="121826"/>
        </w:rPr>
        <w:t xml:space="preserve"> Tisi MC et al. Long-term follow-up of rituximab plus bendamustine and cytarabine in older patients with newly diagnosed MCL. Blood Adv. 2023. PMID 37171620; DOI 10.1182/bloodadvances.2023009744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Single-arm phase II follow-up; N=57 previously untreated older patients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R-BAC produced CR 91%, 7-year PFS 55% and OS 63%; no maintenance was given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33</w:t>
        <w:tab/>
        <w:t xml:space="preserve"/>
      </w:r>
      <w:r>
        <w:rPr>
          <w:rFonts w:ascii="Georgia" w:hAnsi="Georgia" w:cs="Georgia"/>
          <w:sz w:val="34"/>
          <w:sz-cs w:val="34"/>
          <w:b/>
          <w:spacing w:val="0"/>
          <w:color w:val="121826"/>
        </w:rPr>
        <w:t xml:space="preserve">S31:</w:t>
      </w:r>
      <w:r>
        <w:rPr>
          <w:rFonts w:ascii="Georgia" w:hAnsi="Georgia" w:cs="Georgia"/>
          <w:sz w:val="34"/>
          <w:sz-cs w:val="34"/>
          <w:spacing w:val="0"/>
          <w:color w:val="121826"/>
        </w:rPr>
        <w:t xml:space="preserve"> Robak T et al. Bortezomib-based therapy for newly diagnosed mantle-cell lymphoma. N Engl J Med. 2015. PMID 25738670; DOI 10.1056/NEJMoa1412096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N=487 transplant-ineligible or not considered for transplantation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VR-CAP improved independently assessed median PFS to 24.7 versus 14.4 months compared with R-CHOP, with more neutropenia and thrombocytopenia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comments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34</w:t>
        <w:tab/>
        <w:t xml:space="preserve"/>
      </w:r>
      <w:r>
        <w:rPr>
          <w:rFonts w:ascii="Georgia" w:hAnsi="Georgia" w:cs="Georgia"/>
          <w:sz w:val="34"/>
          <w:sz-cs w:val="34"/>
          <w:b/>
          <w:spacing w:val="0"/>
          <w:color w:val="121826"/>
        </w:rPr>
        <w:t xml:space="preserve">S32:</w:t>
      </w:r>
      <w:r>
        <w:rPr>
          <w:rFonts w:ascii="Georgia" w:hAnsi="Georgia" w:cs="Georgia"/>
          <w:sz w:val="34"/>
          <w:sz-cs w:val="34"/>
          <w:spacing w:val="0"/>
          <w:color w:val="121826"/>
        </w:rPr>
        <w:t xml:space="preserve"> Sarkozy C et al. Obinutuzumab versus rituximab for transplant-eligible patients with mantle cell lymphoma. Blood. 2024. PMID 38669626; DOI 10.1182/blood.2024023944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LyMa-101 cohort, N=85, with propensity-score matching against LYMA rituximab controls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5-year PFS 83.4% and OS 86.9%; matched comparison PFS 82.8% versus 66.6% and OS 86.4% versus 71.4%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non-randomised comparison, residual confounding;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35</w:t>
        <w:tab/>
        <w:t xml:space="preserve"/>
      </w:r>
      <w:r>
        <w:rPr>
          <w:rFonts w:ascii="Georgia" w:hAnsi="Georgia" w:cs="Georgia"/>
          <w:sz w:val="34"/>
          <w:sz-cs w:val="34"/>
          <w:b/>
          <w:spacing w:val="0"/>
          <w:color w:val="121826"/>
        </w:rPr>
        <w:t xml:space="preserve">S33:</w:t>
      </w:r>
      <w:r>
        <w:rPr>
          <w:rFonts w:ascii="Georgia" w:hAnsi="Georgia" w:cs="Georgia"/>
          <w:sz w:val="34"/>
          <w:sz-cs w:val="34"/>
          <w:spacing w:val="0"/>
          <w:color w:val="121826"/>
        </w:rPr>
        <w:t xml:space="preserve"> Khouja M et al. Noninvasive genotyping and early disease dynamics in the TRIANGLE trial. Leukemia. 2026. PMID 41184633; DOI 10.1038/s41375-025-02787-0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Biomarker substudy within randomised phase III TRIANGLE; n=57 genotyped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Faster ctDNA clearance in ibrutinib-containing arms (59% versus 24%); attenuated TP53-mutation hazard relative to control</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exploratory subset analysis, not a demonstration that TP53 risk is removed;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36</w:t>
        <w:tab/>
        <w:t xml:space="preserve"/>
      </w:r>
      <w:r>
        <w:rPr>
          <w:rFonts w:ascii="Georgia" w:hAnsi="Georgia" w:cs="Georgia"/>
          <w:sz w:val="34"/>
          <w:sz-cs w:val="34"/>
          <w:b/>
          <w:spacing w:val="0"/>
          <w:color w:val="121826"/>
        </w:rPr>
        <w:t xml:space="preserve">S34:</w:t>
      </w:r>
      <w:r>
        <w:rPr>
          <w:rFonts w:ascii="Georgia" w:hAnsi="Georgia" w:cs="Georgia"/>
          <w:sz w:val="34"/>
          <w:sz-cs w:val="34"/>
          <w:spacing w:val="0"/>
          <w:color w:val="121826"/>
        </w:rPr>
        <w:t xml:space="preserve"> Jiang L et al. Marked survival gains in patients aged 65 years or younger with advanced-stage mantle cell lymphoma: pooled analysis of six randomised phase III trials, 1996–2020. Haematologica. 2026. PMID 41163573; DOI 10.3324/haematol.2025.288929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Pooled individual-patient analysis of six randomised trials; N=2,541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OS in patients aged ≤65 rose from 4.9 years to 13.8 years to not reached across successive eras, 5-year OS 49% to 84%; older or transplant-ineligible patients 3.8 to 4.8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pooled across trials with differing eligibility;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37</w:t>
        <w:tab/>
        <w:t xml:space="preserve"/>
      </w:r>
      <w:r>
        <w:rPr>
          <w:rFonts w:ascii="Georgia" w:hAnsi="Georgia" w:cs="Georgia"/>
          <w:sz w:val="34"/>
          <w:sz-cs w:val="34"/>
          <w:b/>
          <w:spacing w:val="0"/>
          <w:color w:val="121826"/>
        </w:rPr>
        <w:t xml:space="preserve">S35:</w:t>
      </w:r>
      <w:r>
        <w:rPr>
          <w:rFonts w:ascii="Georgia" w:hAnsi="Georgia" w:cs="Georgia"/>
          <w:sz w:val="34"/>
          <w:sz-cs w:val="34"/>
          <w:spacing w:val="0"/>
          <w:color w:val="121826"/>
        </w:rPr>
        <w:t xml:space="preserve"> Smith MR, Jegede OA, Martin P et al. Randomized study of induction with bendamustine-rituximab with or without bortezomib and maintenance with rituximab with or without lenalidomide for mantle cell lymphoma (E1411). Blood. 2024;144(10):1083–1092. PMID 38820500; DOI 10.1182/blood.2024023962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randomised phase II, two-by-two design; N=373 treatment-naive, 87% aged 60 or over; median follow-up 7.5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Bortezomib addition median PFS 6.4 versus 5.5 years, HR 0.90 (90% CI 0.70–1.16); lenalidomide maintenance median PFS 7.2 versus 5.9 years, HR 0.84 (90% CI 0.62–1.15); both randomised comparisons negative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 correction or retraction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38</w:t>
        <w:tab/>
        <w:t xml:space="preserve"/>
      </w:r>
      <w:r>
        <w:rPr>
          <w:rFonts w:ascii="Georgia" w:hAnsi="Georgia" w:cs="Georgia"/>
          <w:sz w:val="34"/>
          <w:sz-cs w:val="34"/>
          <w:b/>
          <w:spacing w:val="0"/>
          <w:color w:val="121826"/>
        </w:rPr>
        <w:t xml:space="preserve">S36:</w:t>
      </w:r>
      <w:r>
        <w:rPr>
          <w:rFonts w:ascii="Georgia" w:hAnsi="Georgia" w:cs="Georgia"/>
          <w:sz w:val="34"/>
          <w:sz-cs w:val="34"/>
          <w:spacing w:val="0"/>
          <w:color w:val="121826"/>
        </w:rPr>
        <w:t xml:space="preserve"> Wang M et al. First-line ibrutinib plus venetoclax for non-blastoid mantle cell lymphoma in patients aged 65 years or older or with TP53 mutations. Blood. 2026. PMID 42462092; DOI 10.1182/blood.2025032833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first-line cohort of the phase III SYMPATICO study; N=78 treated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Complete response 69%, overall response 95%, median PFS 40.2 months, 3-year OS 79%; TP53-mutated aged ≥65 complete response 44%, median PFS 22.0 months, 3-year OS 66%; TP53-mutated aged &lt;65 complete response 73%, median PFS 15.4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open-label cohort; no editorial notice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39</w:t>
        <w:tab/>
        <w:t xml:space="preserve"/>
      </w:r>
      <w:r>
        <w:rPr>
          <w:rFonts w:ascii="Georgia" w:hAnsi="Georgia" w:cs="Georgia"/>
          <w:sz w:val="34"/>
          <w:sz-cs w:val="34"/>
          <w:b/>
          <w:spacing w:val="0"/>
          <w:color w:val="121826"/>
        </w:rPr>
        <w:t xml:space="preserve">S37:</w:t>
      </w:r>
      <w:r>
        <w:rPr>
          <w:rFonts w:ascii="Georgia" w:hAnsi="Georgia" w:cs="Georgia"/>
          <w:sz w:val="34"/>
          <w:sz-cs w:val="34"/>
          <w:spacing w:val="0"/>
          <w:color w:val="121826"/>
        </w:rPr>
        <w:t xml:space="preserve"> van Meerten T et al. Brexucabtagene autoleucel for BTK-inhibitor-naive relapsed or refractory mantle cell lymphoma: primary analysis of ZUMA-2 cohort 3. Blood. 2026. PMID 41160777; DOI 10.1182/blood.2025029734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registered NCT04880434 (cohort 1 was NCT02601313); 95 enrolled, 86 infused; data cut 26 November 2023; median follow-up 15.5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Treated set overall response 91%, complete response 73%, 12-month PFS 75% and OS 90%; enrolled set overall response 82%; grade 3 or higher treatment-related events 88%; four grade 5 treatment-related events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basis of the United States conversion to full approval;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40</w:t>
        <w:tab/>
        <w:t xml:space="preserve"/>
      </w:r>
      <w:r>
        <w:rPr>
          <w:rFonts w:ascii="Georgia" w:hAnsi="Georgia" w:cs="Georgia"/>
          <w:sz w:val="34"/>
          <w:sz-cs w:val="34"/>
          <w:b/>
          <w:spacing w:val="0"/>
          <w:color w:val="121826"/>
        </w:rPr>
        <w:t xml:space="preserve">S38:</w:t>
      </w:r>
      <w:r>
        <w:rPr>
          <w:rFonts w:ascii="Georgia" w:hAnsi="Georgia" w:cs="Georgia"/>
          <w:sz w:val="34"/>
          <w:sz-cs w:val="34"/>
          <w:spacing w:val="0"/>
          <w:color w:val="121826"/>
        </w:rPr>
        <w:t xml:space="preserve"> Wang M et al. Ibrutinib plus venetoclax in relapsed or refractory mantle cell lymphoma (SYMPATICO): a multicentre, randomised, double-blind, placebo-controlled, phase 3 study. Lancet Oncol. 2025;26(2):200–213. PMID 39914418; DOI 10.1016/S1470-2045(24)00682-X</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double-blind placebo-controlled phase III; N=267; one to five prior lines; median follow-up 51.2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PFS 31.9 months (95% CI 22.8–47.0) versus 22.1 months (16.5–29.5), HR 0.65 (0.47–0.88), p=0.0052; grade 3–4 neutropenia 31% versus 11%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V2.1-CORRECTED; published correction Lancet Oncol 2025;26(5):e238, DOI 10.1016/S1470-2045(25)00210-4, PMID 40318652, correction content not retrieved; a final analysis is published as Br J Haematol 2026, PMID 42438219, whose abstract was not retrievable;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41</w:t>
        <w:tab/>
        <w:t xml:space="preserve"/>
      </w:r>
      <w:r>
        <w:rPr>
          <w:rFonts w:ascii="Georgia" w:hAnsi="Georgia" w:cs="Georgia"/>
          <w:sz w:val="34"/>
          <w:sz-cs w:val="34"/>
          <w:b/>
          <w:spacing w:val="0"/>
          <w:color w:val="121826"/>
        </w:rPr>
        <w:t xml:space="preserve">S39:</w:t>
      </w:r>
      <w:r>
        <w:rPr>
          <w:rFonts w:ascii="Georgia" w:hAnsi="Georgia" w:cs="Georgia"/>
          <w:sz w:val="34"/>
          <w:sz-cs w:val="34"/>
          <w:spacing w:val="0"/>
          <w:color w:val="121826"/>
        </w:rPr>
        <w:t xml:space="preserve"> Handunnetti SM et al. Seven-year outcomes of venetoclax-ibrutinib therapy in mantle cell lymphoma: durable responses and treatment-free remissions. Blood. 2024. PMID 38662991; DOI 10.1182/blood.2023023388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AIM study; N=24, of whom 23 relapsed or refractory</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7-year PFS 30% (95% CI 14–49) and OS 43% (23–62); eight patients in MRD-negative complete response entered elective treatment interruption, four recurred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very small single-arm cohort;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42</w:t>
        <w:tab/>
        <w:t xml:space="preserve"/>
      </w:r>
      <w:r>
        <w:rPr>
          <w:rFonts w:ascii="Georgia" w:hAnsi="Georgia" w:cs="Georgia"/>
          <w:sz w:val="34"/>
          <w:sz-cs w:val="34"/>
          <w:b/>
          <w:spacing w:val="0"/>
          <w:color w:val="121826"/>
        </w:rPr>
        <w:t xml:space="preserve">S40:</w:t>
      </w:r>
      <w:r>
        <w:rPr>
          <w:rFonts w:ascii="Georgia" w:hAnsi="Georgia" w:cs="Georgia"/>
          <w:sz w:val="34"/>
          <w:sz-cs w:val="34"/>
          <w:spacing w:val="0"/>
          <w:color w:val="121826"/>
        </w:rPr>
        <w:t xml:space="preserve"> Budde LE et al. Mosunetuzumab plus polatuzumab vedotin in relapsed or refractory mantle cell lymphoma after BTK-inhibitor therapy: a phase 2 study. Blood. 2026. PMID 42013019; DOI 10.1182/blood.2025032422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Multicentre phase II; N=42; median three prior lines; 26% prior CAR-T; TP53 aberrant 48%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Overall response 88.1% (74.4–96.0), complete response 78.6% (63.2–89.7), median PFS 18.6 months at median follow-up 15.9 months; cytokine release syndrome 42.9%, all grade 1–2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neither agent licensed for mantle cell lymphoma in any checked jurisdiction;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43</w:t>
        <w:tab/>
        <w:t xml:space="preserve"/>
      </w:r>
      <w:r>
        <w:rPr>
          <w:rFonts w:ascii="Georgia" w:hAnsi="Georgia" w:cs="Georgia"/>
          <w:sz w:val="34"/>
          <w:sz-cs w:val="34"/>
          <w:b/>
          <w:spacing w:val="0"/>
          <w:color w:val="121826"/>
        </w:rPr>
        <w:t xml:space="preserve">S41:</w:t>
      </w:r>
      <w:r>
        <w:rPr>
          <w:rFonts w:ascii="Georgia" w:hAnsi="Georgia" w:cs="Georgia"/>
          <w:sz w:val="34"/>
          <w:sz-cs w:val="34"/>
          <w:spacing w:val="0"/>
          <w:color w:val="121826"/>
        </w:rPr>
        <w:t xml:space="preserve"> Fischer L et al. The addition of bortezomib to rituximab, high-dose cytarabine and dexamethasone in relapsed or refractory mantle cell lymphoma: a randomised, open-label phase III trial of the European MCL Network. Leukemia. 2024. PMID 38678093; DOI 10.1038/s41375-024-02254-2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N=128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time to treatment failure 12 versus 2.6 months with nominal p=0.045, but the MIPI-adjusted hazard ratio was 0.69 (95% CI 0.47–1.02), crossing the null; overall response 63% versus 45% (p=0.049); complete response 42% versus 19% (p=0.0062); greater grade 3 or higher haematological toxicity; the trial was under-recruited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 correction or retraction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44</w:t>
        <w:tab/>
        <w:t xml:space="preserve"/>
      </w:r>
      <w:r>
        <w:rPr>
          <w:rFonts w:ascii="Georgia" w:hAnsi="Georgia" w:cs="Georgia"/>
          <w:sz w:val="34"/>
          <w:sz-cs w:val="34"/>
          <w:b/>
          <w:spacing w:val="0"/>
          <w:color w:val="121826"/>
        </w:rPr>
        <w:t xml:space="preserve">S42:</w:t>
      </w:r>
      <w:r>
        <w:rPr>
          <w:rFonts w:ascii="Georgia" w:hAnsi="Georgia" w:cs="Georgia"/>
          <w:sz w:val="34"/>
          <w:sz-cs w:val="34"/>
          <w:spacing w:val="0"/>
          <w:color w:val="121826"/>
        </w:rPr>
        <w:t xml:space="preserve"> Eyre TA, Bishton M, McCulloch R et al. Diagnosis and management of mantle cell lymphoma: a British Society for Haematology guideline. Br J Haematol. 2023;204(1):108–126. PMID 37880821; DOI 10.1111/bjh.19131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United Kingdom society clinical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Current British Society for Haematology mantle cell lymphoma guideline; first three authors verified against the indexed record on 30 July 2026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identity verified by PMID and DOI; predates the mature TRIANGLE analysis, ECHO, lisocabtagene maraleucel in mantle cell lymphoma and the 2025 EHA–EU guideline;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45</w:t>
        <w:tab/>
        <w:t xml:space="preserve"/>
      </w:r>
      <w:r>
        <w:rPr>
          <w:rFonts w:ascii="Georgia" w:hAnsi="Georgia" w:cs="Georgia"/>
          <w:sz w:val="34"/>
          <w:sz-cs w:val="34"/>
          <w:b/>
          <w:spacing w:val="0"/>
          <w:color w:val="121826"/>
        </w:rPr>
        <w:t xml:space="preserve">S43:</w:t>
      </w:r>
      <w:r>
        <w:rPr>
          <w:rFonts w:ascii="Georgia" w:hAnsi="Georgia" w:cs="Georgia"/>
          <w:sz w:val="34"/>
          <w:sz-cs w:val="34"/>
          <w:spacing w:val="0"/>
          <w:color w:val="121826"/>
        </w:rPr>
        <w:t xml:space="preserve"> Lymphomas: ESMO Clinical Practice Guideline for diagnosis, treatment and follow-up. Ann Oncol. 2025. PMID 40774601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European society clinical guideline covering seven systemic lymphomas including mantle cell lymphoma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Citation identity verified; </w:t>
      </w:r>
      <w:r>
        <w:rPr>
          <w:rFonts w:ascii="Georgia" w:hAnsi="Georgia" w:cs="Georgia"/>
          <w:sz w:val="34"/>
          <w:sz-cs w:val="34"/>
          <w:b/>
          <w:spacing w:val="0"/>
          <w:color w:val="121826"/>
        </w:rPr>
        <w:t xml:space="preserve">mantle cell lymphoma recommendation text was not retrievable</w:t>
      </w:r>
      <w:r>
        <w:rPr>
          <w:rFonts w:ascii="Georgia" w:hAnsi="Georgia" w:cs="Georgia"/>
          <w:sz w:val="34"/>
          <w:sz-cs w:val="34"/>
          <w:spacing w:val="0"/>
          <w:color w:val="121826"/>
        </w:rPr>
        <w:t xml:space="preserve"> (source returned HTTP 403) and no ESMO recommendation is quoted anywhere in this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identity only; supersedes the 2017 ESMO mantle cell lymphoma guideline;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46</w:t>
        <w:tab/>
        <w:t xml:space="preserve"/>
      </w:r>
      <w:r>
        <w:rPr>
          <w:rFonts w:ascii="Georgia" w:hAnsi="Georgia" w:cs="Georgia"/>
          <w:sz w:val="34"/>
          <w:sz-cs w:val="34"/>
          <w:b/>
          <w:spacing w:val="0"/>
          <w:color w:val="121826"/>
        </w:rPr>
        <w:t xml:space="preserve">S44:</w:t>
      </w:r>
      <w:r>
        <w:rPr>
          <w:rFonts w:ascii="Georgia" w:hAnsi="Georgia" w:cs="Georgia"/>
          <w:sz w:val="34"/>
          <w:sz-cs w:val="34"/>
          <w:spacing w:val="0"/>
          <w:color w:val="121826"/>
        </w:rPr>
        <w:t xml:space="preserve"> Tivey A, Shotton R, Eyre TA et al. Ibrutinib as first-line therapy for mantle cell lymphoma: a multicenter, real-world UK study. Blood Adv. 2024;8(5):1209–1219. DOI 10.1182/bloodadvances.2023011152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Observational cohort of patients treated under the NHS England COVID-19 interim scheme; N=149 from 43 English centres; median age 75; 92.2% not autologous transplant candidates; 36.2% high-risk; 39.0% received rituximab; median follow-up 15.6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Overall response 71.2% and complete response 20.2% among 104 response-assessed patients; median progression-free survival 26.0 months overall, 13.7 months in high-risk versus not reached in low-risk; median overall survival not reached overall, 14.8 months in high-risk; grade 3 or higher toxicity 20.3%; 8.1% discontinued for toxicity; median post-ibrutinib survival 1.4 months, 8.6 months in the 41.9% receiving subsequent treatment versus 0.6 months in those who did not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observational and non-randomised; documents an NHS commissioning scheme, not a compassionate access route;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47</w:t>
        <w:tab/>
        <w:t xml:space="preserve"/>
      </w:r>
      <w:r>
        <w:rPr>
          <w:rFonts w:ascii="Georgia" w:hAnsi="Georgia" w:cs="Georgia"/>
          <w:sz w:val="34"/>
          <w:sz-cs w:val="34"/>
          <w:b/>
          <w:spacing w:val="0"/>
          <w:color w:val="121826"/>
        </w:rPr>
        <w:t xml:space="preserve">S45:</w:t>
      </w:r>
      <w:r>
        <w:rPr>
          <w:rFonts w:ascii="Georgia" w:hAnsi="Georgia" w:cs="Georgia"/>
          <w:sz w:val="34"/>
          <w:sz-cs w:val="34"/>
          <w:spacing w:val="0"/>
          <w:color w:val="121826"/>
        </w:rPr>
        <w:t xml:space="preserve"> O'Callaghan S, Ferner RE, Barron A. Free-of-charge medicine schemes in the NHS: a local and regional drug and therapeutic committee's experience. Br J Clin Pharmacol. 88(6):2571–2580; published online 30 October 2021. DOI 10.1111/bcp.15094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review of free-of-charge medicine schemes evaluated between 2013 and 2019 by a single NHS trust and a regional drug and therapeutics committee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90% were company free-of-charge schemes and 10% were MHRA Early Access to Medicines Scheme arrangements reviewed locally; phase III data were available for 44% of schemes, phase II for 37%, and 19% were supported only by phase I, retrospective observational or preclinical data; use of company schemes increased on average by 50% per year while the MHRA scheme showed little growth; the authors record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there is no standardisation of this practice and there is no regulatory oversight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that no standardised data collection framework exists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single-centre and single-region experience, not a national census; supports the governance and visibility statements in section 17 and no clinical recommendation;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48</w:t>
        <w:tab/>
        <w:t xml:space="preserve"/>
      </w:r>
      <w:r>
        <w:rPr>
          <w:rFonts w:ascii="Georgia" w:hAnsi="Georgia" w:cs="Georgia"/>
          <w:sz w:val="34"/>
          <w:sz-cs w:val="34"/>
          <w:b/>
          <w:spacing w:val="0"/>
          <w:color w:val="121826"/>
        </w:rPr>
        <w:t xml:space="preserve">S46:</w:t>
      </w:r>
      <w:r>
        <w:rPr>
          <w:rFonts w:ascii="Georgia" w:hAnsi="Georgia" w:cs="Georgia"/>
          <w:sz w:val="34"/>
          <w:sz-cs w:val="34"/>
          <w:spacing w:val="0"/>
          <w:color w:val="121826"/>
        </w:rPr>
        <w:t xml:space="preserve"> Dreger P, Iacoboni G, Robinson S et al. Cellular therapy in mantle cell lymphoma: recommendations from the EBMT practice harmonisation and guidelines committee. Bone Marrow Transplant. 2026. DOI 10.1038/s41409-026-02963-5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International expert consensus recommendations covering autologous HCT, allogeneic HCT and CAR-T; expert meeting held in Berlin 29–30 September 2025; published 9 July 2026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Sequencing positions for each modality by line of therapy, including no role for repeat CD19-directed CAR-T once CAR-T-exposed, allogeneic HCT as a clinical option in salvage-sensitive patients, and omission of autologous consolidation where MRD is undetectable at 10⁻⁶</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recommendation wording taken from the publisher page on 30 July 2026 and not yet checked against the typeset full text; consensus guidance, not primary trial evidence;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49</w:t>
        <w:tab/>
        <w:t xml:space="preserve"/>
      </w:r>
      <w:r>
        <w:rPr>
          <w:rFonts w:ascii="Georgia" w:hAnsi="Georgia" w:cs="Georgia"/>
          <w:sz w:val="34"/>
          <w:sz-cs w:val="34"/>
          <w:b/>
          <w:spacing w:val="0"/>
          <w:color w:val="121826"/>
        </w:rPr>
        <w:t xml:space="preserve">S47:</w:t>
      </w:r>
      <w:r>
        <w:rPr>
          <w:rFonts w:ascii="Georgia" w:hAnsi="Georgia" w:cs="Georgia"/>
          <w:sz w:val="34"/>
          <w:sz-cs w:val="34"/>
          <w:spacing w:val="0"/>
          <w:color w:val="121826"/>
        </w:rPr>
        <w:t xml:space="preserve"> Santoro N, Mooyaart J, Novak U et al. Outcomes of patients over 70 years treated with brexu-cel for R/R mantle cell lymphoma: a study from the CTIWP of EBMT. Blood Adv. 2026;10(9):3135–3142. DOI 10.1182/bloodadvances.2025019367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EBMT registry analysis; N=233 aged 70 or over from 96 centres in 13 countries, 2020–2024; median age at infusion 74.6 years, 44% over 75; 62% prior BTK-inhibitor exposure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Day-100 complete remission 78% and partial remission 13%; 30-day cumulative incidence any-grade cytokine release syndrome 80% (grade ≥3, 9%) and neurotoxicity 57% (grade ≥3, 22%); 1-year overall survival 74%, progression-free survival 62%, relapse or progression 25%, non-relapse mortality 13%; outcomes in those over 75 comparable to 70–75; ECOG ≥2 strongest predictor of inferior overall survival (HR 4.50) and progression-free survival (HR 3.10), age not independently associated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retrospective registry, not randomised;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50</w:t>
        <w:tab/>
        <w:t xml:space="preserve"/>
      </w:r>
      <w:r>
        <w:rPr>
          <w:rFonts w:ascii="Georgia" w:hAnsi="Georgia" w:cs="Georgia"/>
          <w:sz w:val="34"/>
          <w:sz-cs w:val="34"/>
          <w:b/>
          <w:spacing w:val="0"/>
          <w:color w:val="121826"/>
        </w:rPr>
        <w:t xml:space="preserve">S48:</w:t>
      </w:r>
      <w:r>
        <w:rPr>
          <w:rFonts w:ascii="Georgia" w:hAnsi="Georgia" w:cs="Georgia"/>
          <w:sz w:val="34"/>
          <w:sz-cs w:val="34"/>
          <w:spacing w:val="0"/>
          <w:color w:val="121826"/>
        </w:rPr>
        <w:t xml:space="preserve"> Minson A, Hamad N, Cheah CY et al. CAR T cells and time-limited ibrutinib as treatment for relapsed/refractory mantle cell lymphoma: the phase 2 TARMAC study. Blood. 2024;143(8):673–684. DOI 10.1182/blood.2023021306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NCT04234061; N=20; median 2 prior lines; 50% previously BTK-inhibitor exposed; ibrutinib started before leukapheresis and continued through manufacture and for at least 6 months after infusion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Primary endpoint met with complete response 80% at 4 months; MRD negativity 70% by flow cytometry and 40% by molecular methods; at median follow-up 13 months estimated 12-month progression-free survival 75% and overall survival 100%; cytokine release syndrome 75% (grade 3 in 20%); reversible grade 1–2 neurotoxicity 10%; efficacy preserved irrespective of prior BTK-inhibitor exposure or TP53 mutation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small single-arm study;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51</w:t>
        <w:tab/>
        <w:t xml:space="preserve"/>
      </w:r>
      <w:r>
        <w:rPr>
          <w:rFonts w:ascii="Georgia" w:hAnsi="Georgia" w:cs="Georgia"/>
          <w:sz w:val="34"/>
          <w:sz-cs w:val="34"/>
          <w:b/>
          <w:spacing w:val="0"/>
          <w:color w:val="121826"/>
        </w:rPr>
        <w:t xml:space="preserve">S49:</w:t>
      </w:r>
      <w:r>
        <w:rPr>
          <w:rFonts w:ascii="Georgia" w:hAnsi="Georgia" w:cs="Georgia"/>
          <w:sz w:val="34"/>
          <w:sz-cs w:val="34"/>
          <w:spacing w:val="0"/>
          <w:color w:val="121826"/>
        </w:rPr>
        <w:t xml:space="preserve"> Shah NN, Colina A, Johnson BD et al. Phase I/II study of adaptive manufactured lentiviral anti-CD20/anti-CD19 chimeric antigen receptor T cells for relapsed, refractory mantle cell lymphoma. J Clin Oncol. 2025;43(20):2285–2295. DOI 10.1200/JCO-24-02158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NCT04186520; N=17 infused at 2.5 × 10⁶ cells/kg; on-site manufacture over 8–12 days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Best overall response 100% (complete response 88%, partial response 12%); phase II day-90 complete response threshold exceeded; two relapses at data cutoff and neither median progression-free nor overall survival reached at median follow-up 15.8 months; cytokine release syndrome 94%, all grade 1–2; neurotoxicity 18%, two reversible grade 3; three non-relapse mortality events, all in the setting of ongoing B-cell aplasia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very small single-centre cohort; dual-target product not licensed anywhere;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52</w:t>
        <w:tab/>
        <w:t xml:space="preserve"/>
      </w:r>
      <w:r>
        <w:rPr>
          <w:rFonts w:ascii="Georgia" w:hAnsi="Georgia" w:cs="Georgia"/>
          <w:sz w:val="34"/>
          <w:sz-cs w:val="34"/>
          <w:b/>
          <w:spacing w:val="0"/>
          <w:color w:val="121826"/>
        </w:rPr>
        <w:t xml:space="preserve">S50:</w:t>
      </w:r>
      <w:r>
        <w:rPr>
          <w:rFonts w:ascii="Georgia" w:hAnsi="Georgia" w:cs="Georgia"/>
          <w:sz w:val="34"/>
          <w:sz-cs w:val="34"/>
          <w:spacing w:val="0"/>
          <w:color w:val="121826"/>
        </w:rPr>
        <w:t xml:space="preserve"> Xie Y, Zhou K, Li L et al. Phase 2 study of relmacabtagene autoleucel (CD19 CAR-T) for relapsed/refractory mantle cell lymphoma in Chinese adults. Blood Adv. 2026;10(4):1134–1144. DOI 10.1182/bloodadvances.2024015763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single-arm multicentre phase II, NCT04718883; 70 enrolled, 59 infused at 100 × 10⁶ CAR-positive T cells; 1–9 prior therapies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3-month overall response 71.19% (95% CI 57.92–82.24), complete response 59.32% (45.75–71.93); at median follow-up 13.3 months median duration of response 18.1 months, progression-free survival 15.5 months, overall survival 19.5 months; grade ≥3 neutropenia 76.3%, leukopenia 69.5%, lymphopenia 47.5%; severe cytokine release syndrome and neurotoxicity 6.8% each, all resolved; no fatal events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product not licensed in Great Britain; Chinese population, applicability to United Kingdom practice not established;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53</w:t>
        <w:tab/>
        <w:t xml:space="preserve"/>
      </w:r>
      <w:r>
        <w:rPr>
          <w:rFonts w:ascii="Georgia" w:hAnsi="Georgia" w:cs="Georgia"/>
          <w:sz w:val="34"/>
          <w:sz-cs w:val="34"/>
          <w:b/>
          <w:spacing w:val="0"/>
          <w:color w:val="121826"/>
        </w:rPr>
        <w:t xml:space="preserve">S51:</w:t>
      </w:r>
      <w:r>
        <w:rPr>
          <w:rFonts w:ascii="Georgia" w:hAnsi="Georgia" w:cs="Georgia"/>
          <w:sz w:val="34"/>
          <w:sz-cs w:val="34"/>
          <w:spacing w:val="0"/>
          <w:color w:val="121826"/>
        </w:rPr>
        <w:t xml:space="preserve"> Yamasaki S, Shimazu Y, Misaki Y et al. Retrospective analysis of clinical outcomes and risk factors in hematopoietic cell transplantation for relapsed or refractory mantle cell lymphoma in the post-ibrutinib era. Sci Rep. 2026;16(1). DOI 10.1038/s41598-026-47347-3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Japanese retrospective registry analysis 2017–2023; N=155 with relapsed or refractory disease; autologous HCT n=105, allogeneic HCT n=50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Comparable median overall survival, 28 months autologous versus 27 months allogeneic; for autologous HCT age over 60 predicted worse overall survival (HR 2.73); for allogeneic HCT a diagnosis-to-transplant interval of 24 months or less with relapsed or refractory status at transplant (HR 4.10) and non-complete remission (HR 3.53) predicted poorer outcome; no transplant-related mortality among the 10 allogeneic patients receiving ibrutinib</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retrospective and non-randomised; Japanese population; NEW IN v2.1</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21. Release control</w:t>
      </w:r>
      <w:r>
        <w:rPr>
          <w:rFonts w:ascii="Georgia" w:hAnsi="Georgia" w:cs="Georgia"/>
          <w:sz w:val="51"/>
          <w:sz-cs w:val="51"/>
          <w:b/>
          <w:spacing w:val="0"/>
          <w:color w:val="151E39"/>
        </w:rPr>
        <w:t xml:space="preserve"/>
      </w:r>
    </w:p>
    <w:p>
      <w:pPr>
        <w:jc w:val="center"/>
      </w:pPr>
      <w:r>
        <w:rPr>
          <w:rFonts w:ascii="Georgia" w:hAnsi="Georgia" w:cs="Georgia"/>
          <w:sz w:val="34"/>
          <w:sz-cs w:val="34"/>
          <w:spacing w:val="0"/>
          <w:color w:val="121826"/>
        </w:rPr>
        <w:t xml:space="preserve">Release-control state of the published guideline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Document code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MHA-MCL-2026-v2.1</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State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PUBLISHED — 31 July 2026</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Evidence cut-off</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2026-07-30</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Access cut-off</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2026-07-30</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Owner scope approval</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APPROVED — owner directed controlled production replacement on 31 July 2026</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Independent clinical review</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PASS — reviewer identity retained privately</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Pharmacy verification</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COMPLETE — verifier identity retained privately</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Publication authority</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TRUE — exact production hashes ratified by the accountable owner, 31 July 2026</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Reviewed substantive candidate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SHA-256 </w:t>
      </w:r>
      <w:r>
        <w:rPr>
          <w:rFonts w:ascii="Menlo" w:hAnsi="Menlo" w:cs="Menlo"/>
          <w:sz w:val="34"/>
          <w:sz-cs w:val="34"/>
          <w:spacing w:val="0"/>
          <w:color w:val="121826"/>
        </w:rPr>
        <w:t xml:space="preserve">f16545565f7cb0c3619aa2ccff87f1fecd2ecc5718d4dae4d0960a09e9f77957</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Accessibility correction</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SHA-256 </w:t>
      </w:r>
      <w:r>
        <w:rPr>
          <w:rFonts w:ascii="Menlo" w:hAnsi="Menlo" w:cs="Menlo"/>
          <w:sz w:val="34"/>
          <w:sz-cs w:val="34"/>
          <w:spacing w:val="0"/>
          <w:color w:val="121826"/>
        </w:rPr>
        <w:t xml:space="preserve">3b073bcaa8887018702cb2af53d4e655c59b82e7c7e2333548feb14d3bb4fba2</w:t>
      </w:r>
      <w:r>
        <w:rPr>
          <w:rFonts w:ascii="Georgia" w:hAnsi="Georgia" w:cs="Georgia"/>
          <w:sz w:val="34"/>
          <w:sz-cs w:val="34"/>
          <w:spacing w:val="0"/>
          <w:color w:val="121826"/>
        </w:rPr>
        <w:t xml:space="preserve"> — generated diagram colour token only; no clinical-content change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Change from reviewed candidate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One generated diagram colour token plus release-control presentation; no clinical-content change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Attestation record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clinical-review and pharmacy gates were cleared by the accountable owner on 31 July 2026. Verifier identities are retained privately at the owner’s instruction and appear in no public file, manifest or commit.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The build records the owner’s attestation; it did not witness either review.</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The attestation binds to substantive candidate </w:t>
      </w:r>
      <w:r>
        <w:rPr>
          <w:rFonts w:ascii="Menlo" w:hAnsi="Menlo" w:cs="Menlo"/>
          <w:sz w:val="34"/>
          <w:sz-cs w:val="34"/>
          <w:spacing w:val="0"/>
          <w:color w:val="121826"/>
        </w:rPr>
        <w:t xml:space="preserve">f16545565f7cb0c3619aa2ccff87f1fecd2ecc5718d4dae4d0960a09e9f77957</w:t>
      </w:r>
      <w:r>
        <w:rPr>
          <w:rFonts w:ascii="Georgia" w:hAnsi="Georgia" w:cs="Georgia"/>
          <w:sz w:val="34"/>
          <w:sz-cs w:val="34"/>
          <w:spacing w:val="0"/>
          <w:color w:val="121826"/>
        </w:rPr>
        <w:t xml:space="preserve">. The C5 accessibility correction changes one generated diagram colour token only.</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Publication was authorised by the accountable owner against the exact production hashes recorded in the release manifest. The two unresolved literature corrections recorded in the evidence boundary section are still unresolved and remain marked at every point of use.</w:t>
      </w:r>
      <w:r>
        <w:rPr>
          <w:rFonts w:ascii="Georgia" w:hAnsi="Georgia" w:cs="Georgia"/>
          <w:sz w:val="34"/>
          <w:sz-cs w:val="34"/>
          <w:spacing w:val="0"/>
          <w:color w:val="121826"/>
        </w:rPr>
        <w:t xml:space="preserve"/>
      </w:r>
    </w:p>
    <w:p>
      <w:pPr/>
      <w:r>
        <w:rPr>
          <w:rFonts w:ascii="Georgia" w:hAnsi="Georgia" w:cs="Georgia"/>
          <w:sz w:val="34"/>
          <w:sz-cs w:val="34"/>
          <w:b/>
          <w:spacing w:val="0"/>
          <w:color w:val="FFFFFF"/>
        </w:rPr>
        <w:t xml:space="preserve">Mohsin Haematology Academy</w:t>
      </w:r>
      <w:r>
        <w:rPr>
          <w:rFonts w:ascii="Georgia" w:hAnsi="Georgia" w:cs="Georgia"/>
          <w:sz w:val="34"/>
          <w:sz-cs w:val="34"/>
          <w:spacing w:val="0"/>
          <w:color w:val="FFFFFF"/>
        </w:rPr>
        <w:t xml:space="preserve"> · Accountable owner: Dr Muhammad Mohsin, Consultant Haematologist · MHA-MCL-2026-v2.1 · published specialist guideline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