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MCL quick reference</w:t>
      </w:r>
    </w:p>
    <w:p>
      <w:pPr>
        <w:jc w:val="center"/>
      </w:pPr>
      <w:r>
        <w:rPr>
          <w:b/>
          <w:color w:val="C41E3A"/>
        </w:rPr>
        <w:t>v2.0 specialist working draft</w:t>
      </w:r>
    </w:p>
    <w:p>
      <w:pPr>
        <w:jc w:val="center"/>
      </w:pPr>
      <w:r>
        <w:rPr>
          <w:color w:val="6B7280"/>
          <w:sz w:val="17"/>
        </w:rPr>
        <w:t>MHA-MCL-2026-v2.0</w:t>
        <w:br/>
        <w:t>Evidence and access cut-off: 28 July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BECEF"/>
            <w:tcBorders>
              <w:top w:val="single" w:sz="10" w:color="C41E3A"/>
              <w:left w:val="single" w:sz="10" w:color="C41E3A"/>
              <w:bottom w:val="single" w:sz="10" w:color="C41E3A"/>
              <w:right w:val="single" w:sz="10" w:color="C41E3A"/>
              <w:insideH w:val="single" w:sz="10" w:color="C41E3A"/>
              <w:insideV w:val="single" w:sz="10" w:color="C41E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C41E3A"/>
                <w:sz w:val="18"/>
              </w:rPr>
              <w:t>CONTROLLED WORKING PREVIEW — NOT FOR CLINICAL USE</w:t>
            </w:r>
          </w:p>
          <w:p>
            <w:pPr>
              <w:pStyle w:val="MHACallout"/>
              <w:jc w:val="center"/>
            </w:pPr>
            <w:r>
              <w:t>Clinical and pharmacy review pending. No publication authority. Do not use for treatment, prescribing, consent, referral or commissioning decisions.</w:t>
            </w:r>
          </w:p>
        </w:tc>
      </w:tr>
    </w:tbl>
    <w:p>
      <w:pPr>
        <w:pStyle w:val="Heading1"/>
        <w:keepNext/>
      </w:pPr>
      <w:r>
        <w:t>PART 1 OF 3 — FIRST-LINE ORIENTATION</w:t>
      </w:r>
    </w:p>
    <w:p>
      <w:pPr>
        <w:pStyle w:val="Heading2"/>
      </w:pPr>
      <w:r>
        <w:t>Before treatment</w:t>
      </w:r>
    </w:p>
    <w:p>
      <w:pPr>
        <w:pStyle w:val="ListBullet"/>
        <w:spacing w:after="30"/>
      </w:pPr>
      <w:r>
        <w:t>Confirm integrated diagnosis and record blastoid or pleomorphic morphology, Ki-67 and TP53 status where technically feasible.</w:t>
      </w:r>
    </w:p>
    <w:p>
      <w:pPr>
        <w:pStyle w:val="ListBullet"/>
        <w:spacing w:after="30"/>
      </w:pPr>
      <w:r>
        <w:t>Define symptoms, tempo, organ compromise, cytopenias, performance status, comorbidity, frailty and treatment goals.</w:t>
      </w:r>
    </w:p>
    <w:p>
      <w:pPr>
        <w:pStyle w:val="ListBullet"/>
        <w:spacing w:after="30"/>
      </w:pPr>
      <w:r>
        <w:t>Separate clinical evidence from licence, NICE/HTA status and operational access.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3459"/>
            <w:shd w:fill="1B2A4A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b/>
                <w:color w:val="FFFFFF"/>
                <w:sz w:val="18"/>
              </w:rPr>
              <w:t>Clinical state</w:t>
            </w:r>
          </w:p>
        </w:tc>
        <w:tc>
          <w:tcPr>
            <w:tcW w:type="dxa" w:w="3459"/>
            <w:shd w:fill="1B2A4A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b/>
                <w:color w:val="FFFFFF"/>
                <w:sz w:val="18"/>
              </w:rPr>
              <w:t>Working orientation</w:t>
            </w:r>
          </w:p>
        </w:tc>
        <w:tc>
          <w:tcPr>
            <w:tcW w:type="dxa" w:w="3459"/>
            <w:shd w:fill="1B2A4A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b/>
                <w:color w:val="FFFFFF"/>
                <w:sz w:val="18"/>
              </w:rPr>
              <w:t>Access boundary</w:t>
            </w:r>
          </w:p>
        </w:tc>
      </w:tr>
      <w:tr>
        <w:trPr>
          <w:cantSplit/>
        </w:trPr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8"/>
              </w:rPr>
              <w:t>Younger / treatment-fit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8"/>
              </w:rPr>
              <w:t>TRIANGLE changes the evidence architecture: the studied ibrutinib-containing non-ASCT strategy had mature efficacy; adding ASCT did not improve FFS.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8"/>
              </w:rPr>
              <w:t>GB-authorised regimen; NICE recommendation remains draft and negative. No final national entitlement at cut-off.</w:t>
            </w:r>
          </w:p>
        </w:tc>
      </w:tr>
      <w:tr>
        <w:trPr>
          <w:cantSplit/>
        </w:trPr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8"/>
              </w:rPr>
              <w:t>Older / transplant-ineligible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8"/>
              </w:rPr>
              <w:t>Choose through disease risk, frailty, renal, infection, cardiac, bleeding and interaction assessment. ECHO and ENRICH inform evidence but do not erase access constraints.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8"/>
              </w:rPr>
              <w:t>VR-CAP has TA370 in its exact population. Other modern regimens require separate live access confirmation.</w:t>
            </w:r>
          </w:p>
        </w:tc>
      </w:tr>
      <w:tr>
        <w:trPr>
          <w:cantSplit/>
        </w:trPr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8"/>
              </w:rPr>
              <w:t>TP53-mutated / high risk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8"/>
              </w:rPr>
              <w:t>Early specialist and trial discussion. Single-arm novel combinations show activity but do not prove comparative superiority or elimination of TP53 risk.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8"/>
              </w:rPr>
              <w:t>Do not present trial or early-access routes as routine commissioned treatment.</w:t>
            </w:r>
          </w:p>
        </w:tc>
      </w:tr>
      <w:tr>
        <w:trPr>
          <w:cantSplit/>
        </w:trPr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8"/>
              </w:rPr>
              <w:t>Observation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8"/>
              </w:rPr>
              <w:t>Selected asymptomatic low-volume, indolent or non-nodal disease may be observed after diagnostic confidence and MDT review.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8"/>
              </w:rPr>
              <w:t>Record review interval and objective reassessment triggers.</w:t>
            </w:r>
          </w:p>
        </w:tc>
      </w:tr>
    </w:tbl>
    <w:p>
      <w:pPr>
        <w:pStyle w:val="MHACallout"/>
      </w:pPr>
      <w:r>
        <w:t>Clinical and pharmacy review pending. This quick reference does not contain prescribing schedules and cannot replace the SmPC or local SACT protocol.</w:t>
      </w:r>
    </w:p>
    <w:p>
      <w:r>
        <w:br w:type="page"/>
      </w:r>
    </w:p>
    <w:p>
      <w:pPr>
        <w:pStyle w:val="Heading1"/>
        <w:keepNext/>
      </w:pPr>
      <w:r>
        <w:t>PART 2 OF 3 — RELAPSED OR REFRACTORY PATHWAY</w:t>
      </w:r>
    </w:p>
    <w:p>
      <w:pPr>
        <w:pStyle w:val="Heading2"/>
      </w:pPr>
      <w:r>
        <w:t>At every relapse</w:t>
      </w:r>
    </w:p>
    <w:p>
      <w:pPr>
        <w:pStyle w:val="ListBullet"/>
        <w:spacing w:after="30"/>
      </w:pPr>
      <w:r>
        <w:t>Record every prior regimen and class, response depth and duration, treatment-free interval and reason for stopping.</w:t>
      </w:r>
    </w:p>
    <w:p>
      <w:pPr>
        <w:pStyle w:val="ListBullet"/>
        <w:spacing w:after="30"/>
      </w:pPr>
      <w:r>
        <w:t>Distinguish covalent-BTKi intolerance from progression.</w:t>
      </w:r>
    </w:p>
    <w:p>
      <w:pPr>
        <w:pStyle w:val="ListBullet"/>
        <w:spacing w:after="30"/>
      </w:pPr>
      <w:r>
        <w:t>Reassess tempo, tissue diagnosis where needed, performance status, organ function, infection history and trial eligibility.</w:t>
      </w:r>
    </w:p>
    <w:p>
      <w:pPr>
        <w:pStyle w:val="ListBullet"/>
        <w:spacing w:after="30"/>
      </w:pPr>
      <w:r>
        <w:t>Refer early for cellular-therapy assessment where appropriate; account for manufacturing time and bridging risk.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3459"/>
            <w:shd w:fill="1B2A4A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3459"/>
            <w:shd w:fill="1B2A4A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b/>
                <w:color w:val="FFFFFF"/>
                <w:sz w:val="18"/>
              </w:rPr>
              <w:t>Working pathway</w:t>
            </w:r>
          </w:p>
        </w:tc>
        <w:tc>
          <w:tcPr>
            <w:tcW w:type="dxa" w:w="3459"/>
            <w:shd w:fill="1B2A4A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b/>
                <w:color w:val="FFFFFF"/>
                <w:sz w:val="18"/>
              </w:rPr>
              <w:t>Do not</w:t>
            </w:r>
          </w:p>
        </w:tc>
      </w:tr>
      <w:tr>
        <w:trPr>
          <w:cantSplit/>
        </w:trPr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8"/>
              </w:rPr>
              <w:t>Exactly one previous line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8"/>
              </w:rPr>
              <w:t>Ibrutinib TA502 or zanubrutinib TA1081 in England when exact live criteria are met.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8"/>
              </w:rPr>
              <w:t>Do not generalise the NICE one-line restriction to the broader licences.</w:t>
            </w:r>
          </w:p>
        </w:tc>
      </w:tr>
      <w:tr>
        <w:trPr>
          <w:cantSplit/>
        </w:trPr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8"/>
              </w:rPr>
              <w:t>Covalent-BTKi intolerance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8"/>
              </w:rPr>
              <w:t>Consider another clinically appropriate route according to retained sensitivity, toxicity, comorbidity and access.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8"/>
              </w:rPr>
              <w:t>Do not call intolerance resistant disease.</w:t>
            </w:r>
          </w:p>
        </w:tc>
      </w:tr>
      <w:tr>
        <w:trPr>
          <w:cantSplit/>
        </w:trPr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8"/>
              </w:rPr>
              <w:t>Covalent-BTKi progression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8"/>
              </w:rPr>
              <w:t>Assess CAR-T eligibility and trial options early. Consider non-covalent BTKi evidence only with a confirmed access route.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8"/>
              </w:rPr>
              <w:t>Do not infer routine pirtobrutinib funding from its MCL licence or from CLL access.</w:t>
            </w:r>
          </w:p>
        </w:tc>
      </w:tr>
      <w:tr>
        <w:trPr>
          <w:cantSplit/>
        </w:trPr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8"/>
              </w:rPr>
              <w:t>Post-BTKi, cellular therapy eligible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8"/>
              </w:rPr>
              <w:t>Brexu-cel remains TA677 CDF managed access when live national and panel criteria are met.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8"/>
              </w:rPr>
              <w:t>Do not describe TA677 as unrestricted baseline commissioning.</w:t>
            </w:r>
          </w:p>
        </w:tc>
      </w:tr>
      <w:tr>
        <w:trPr>
          <w:cantSplit/>
        </w:trPr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8"/>
              </w:rPr>
              <w:t>No routine national route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8"/>
              </w:rPr>
              <w:t>Use trial, early-access or exceptional pathways only when explicitly confirmed and governed.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8"/>
              </w:rPr>
              <w:t>Do not equate absence of a national route with absolute unavailability.</w:t>
            </w:r>
          </w:p>
        </w:tc>
      </w:tr>
    </w:tbl>
    <w:p>
      <w:pPr>
        <w:pStyle w:val="MHACallout"/>
      </w:pPr>
      <w:r>
        <w:t>Do not use unadjusted cross-trial response rates to rank pirtobrutinib, cellular therapy, bispecific antibodies or investigational BCL2 inhibition.</w:t>
      </w:r>
    </w:p>
    <w:p>
      <w:r>
        <w:br w:type="page"/>
      </w:r>
    </w:p>
    <w:p>
      <w:pPr>
        <w:pStyle w:val="Heading1"/>
        <w:keepNext/>
      </w:pPr>
      <w:r>
        <w:t>PART 3 OF 3 — ACCESS AND SAFETY CONTROLS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3459"/>
            <w:shd w:fill="1B2A4A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b/>
                <w:color w:val="FFFFFF"/>
                <w:sz w:val="18"/>
              </w:rPr>
              <w:t>Treatment</w:t>
            </w:r>
          </w:p>
        </w:tc>
        <w:tc>
          <w:tcPr>
            <w:tcW w:type="dxa" w:w="3459"/>
            <w:shd w:fill="1B2A4A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b/>
                <w:color w:val="FFFFFF"/>
                <w:sz w:val="18"/>
              </w:rPr>
              <w:t>Exact population</w:t>
            </w:r>
          </w:p>
        </w:tc>
        <w:tc>
          <w:tcPr>
            <w:tcW w:type="dxa" w:w="3459"/>
            <w:shd w:fill="1B2A4A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b/>
                <w:color w:val="FFFFFF"/>
                <w:sz w:val="18"/>
              </w:rPr>
              <w:t>England position at cut-off</w:t>
            </w:r>
          </w:p>
        </w:tc>
      </w:tr>
      <w:tr>
        <w:trPr>
          <w:cantSplit/>
        </w:trPr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8"/>
              </w:rPr>
              <w:t>VR-CAP / bortezomib combination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8"/>
              </w:rPr>
              <w:t>Previously untreated adults for whom haematopoietic stem-cell transplantation is unsuitable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8"/>
              </w:rPr>
              <w:t>Licensed and NICE-recommended in England for previously untreated adults for whom HSCT is unsuitable.</w:t>
            </w:r>
          </w:p>
        </w:tc>
      </w:tr>
      <w:tr>
        <w:trPr>
          <w:cantSplit/>
        </w:trPr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8"/>
              </w:rPr>
              <w:t>Ibrutinib monotherapy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8"/>
              </w:rPr>
              <w:t>Relapsed or refractory MCL after exactly one previous line for the NICE-funded population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8"/>
              </w:rPr>
              <w:t>Routinely funded in England after exactly one previous line when TA502 and live Blueteq criteria are met.</w:t>
            </w:r>
          </w:p>
        </w:tc>
      </w:tr>
      <w:tr>
        <w:trPr>
          <w:cantSplit/>
        </w:trPr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8"/>
              </w:rPr>
              <w:t>Zanubrutinib monotherapy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8"/>
              </w:rPr>
              <w:t>Relapsed or refractory MCL after exactly one previous line for the NICE-funded population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8"/>
              </w:rPr>
              <w:t>Routinely funded in England after exactly one previous line when TA1081 and live Blueteq criteria are met.</w:t>
            </w:r>
          </w:p>
        </w:tc>
      </w:tr>
      <w:tr>
        <w:trPr>
          <w:cantSplit/>
        </w:trPr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8"/>
              </w:rPr>
              <w:t>Brexucabtagene autoleucel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8"/>
              </w:rPr>
              <w:t>Adult relapsed or refractory MCL after at least two systemic lines including a BTK inhibitor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8"/>
              </w:rPr>
              <w:t>Available in England through TA677 Cancer Drugs Fund managed access when all live national eligibility and panel criteria are met.</w:t>
            </w:r>
          </w:p>
        </w:tc>
      </w:tr>
    </w:tbl>
    <w:p>
      <w:pPr>
        <w:pStyle w:val="Heading2"/>
      </w:pPr>
      <w:r>
        <w:t>Time-sensitive non-routine or unfinished routes</w:t>
      </w:r>
    </w:p>
    <w:p>
      <w:pPr>
        <w:pStyle w:val="ListBullet"/>
        <w:spacing w:after="30"/>
      </w:pPr>
      <w:r>
        <w:t>TRIANGLE ibrutinib: licensed; current NICE recommendation is draft and negative, not final guidance.</w:t>
      </w:r>
    </w:p>
    <w:p>
      <w:pPr>
        <w:pStyle w:val="ListBullet"/>
        <w:spacing w:after="30"/>
      </w:pPr>
      <w:r>
        <w:t>Acalabrutinib–BR: licensed for previously untreated adults not eligible for ASCT, but no demonstrated final positive national MCL route at cut-off.</w:t>
      </w:r>
    </w:p>
    <w:p>
      <w:pPr>
        <w:pStyle w:val="ListBullet"/>
        <w:spacing w:after="30"/>
      </w:pPr>
      <w:r>
        <w:t>Acalabrutinib monotherapy: licensed for relapsed or refractory MCL not previously treated with a BTKi, but no demonstrated national England MCL commissioning route.</w:t>
      </w:r>
    </w:p>
    <w:p>
      <w:pPr>
        <w:pStyle w:val="ListBullet"/>
        <w:spacing w:after="30"/>
      </w:pPr>
      <w:r>
        <w:t>Pirtobrutinib: licensed after previous BTKi treatment, but no demonstrated national England MCL commissioning route at cut-off.</w:t>
      </w:r>
    </w:p>
    <w:p>
      <w:pPr>
        <w:pStyle w:val="ListBullet"/>
        <w:spacing w:after="30"/>
      </w:pPr>
      <w:r>
        <w:t>Liso-cel: licensed after at least two systemic lines including a BTKi, but no demonstrated national England MCL commissioning route at cut-off.</w:t>
      </w:r>
    </w:p>
    <w:p>
      <w:pPr>
        <w:pStyle w:val="ListBullet"/>
        <w:spacing w:after="30"/>
      </w:pPr>
      <w:r>
        <w:t>Ibrutinib–venetoclax: no current MCL marketing authorisation; NICE appraisal suspended.</w:t>
      </w:r>
    </w:p>
    <w:p>
      <w:pPr>
        <w:pStyle w:val="ListBullet"/>
        <w:spacing w:after="30"/>
      </w:pPr>
      <w:r>
        <w:t>Glofitamab and epcoritamab: do not extrapolate licences or funding from other lymphoma indications.</w:t>
      </w:r>
    </w:p>
    <w:p>
      <w:pPr>
        <w:pStyle w:val="Heading2"/>
      </w:pPr>
      <w:r>
        <w:t>Pharmacy and supportive-care hold points</w:t>
      </w:r>
    </w:p>
    <w:p>
      <w:pPr>
        <w:pStyle w:val="ListBullet"/>
        <w:spacing w:after="30"/>
      </w:pPr>
      <w:r>
        <w:t>Use the current SmPC and local SACT protocol for formulation, dose, schedule, modifications and administration.</w:t>
      </w:r>
    </w:p>
    <w:p>
      <w:pPr>
        <w:pStyle w:val="ListBullet"/>
        <w:spacing w:after="30"/>
      </w:pPr>
      <w:r>
        <w:t>Complete infection, vaccination, viral-screening, interaction, bleeding, cardiac, renal and tumour-lysis assessment.</w:t>
      </w:r>
    </w:p>
    <w:p>
      <w:pPr>
        <w:pStyle w:val="ListBullet"/>
        <w:spacing w:after="30"/>
      </w:pPr>
      <w:r>
        <w:t>Use dedicated CAR-T and bispecific toxicity-management pathways.</w:t>
      </w:r>
    </w:p>
    <w:p>
      <w:pPr>
        <w:pStyle w:val="ListBullet"/>
        <w:spacing w:after="30"/>
      </w:pPr>
      <w:r>
        <w:t>Human pharmacy verification is mandatory before any publication candidate is frozen.</w:t>
      </w:r>
    </w:p>
    <w:p>
      <w:pPr>
        <w:pStyle w:val="MHACallout"/>
      </w:pPr>
      <w:r>
        <w:t>Clinical and pharmacy review pending — no publication authority. Recheck official national sources before treatment and before any release decision.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65" w:right="765" w:bottom="765" w:left="76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280"/>
        <w:sz w:val="16"/>
      </w:rPr>
      <w:t>MHA-MCL-2026-v2.0 | Three-part quick reference | cut-off 28 July 2026 | non-public working preview</w:t>
    </w:r>
  </w:p>
  <w:p>
    <w:pPr>
      <w:jc w:val="right"/>
    </w:pPr>
    <w:r>
      <w:rPr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046"/>
      <w:gridCol w:w="5046"/>
    </w:tblGrid>
    <w:tr>
      <w:tc>
        <w:tcPr>
          <w:tcW w:type="dxa" w:w="5046"/>
          <w:shd w:fill="1B2A4A"/>
        </w:tcPr>
        <w:p>
          <w:pPr>
            <w:jc w:val="left"/>
          </w:pPr>
          <w:r>
            <w:rPr>
              <w:rFonts w:ascii="Arial" w:hAnsi="Arial"/>
              <w:b/>
              <w:color w:val="FFFFFF"/>
              <w:sz w:val="16"/>
            </w:rPr>
            <w:t>MOHSIN HAEMATOLOGY ACADEMY</w:t>
          </w:r>
        </w:p>
      </w:tc>
      <w:tc>
        <w:tcPr>
          <w:tcW w:type="dxa" w:w="5046"/>
          <w:shd w:fill="C41E3A"/>
        </w:tcPr>
        <w:p>
          <w:pPr>
            <w:jc w:val="center"/>
          </w:pPr>
          <w:r>
            <w:rPr>
              <w:rFonts w:ascii="Arial" w:hAnsi="Arial"/>
              <w:b/>
              <w:color w:val="FFFFFF"/>
              <w:sz w:val="16"/>
            </w:rPr>
            <w:t>WORKING PREVIEW v2.0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4" w:line="252" w:lineRule="auto"/>
    </w:pPr>
    <w:rPr>
      <w:rFonts w:ascii="Georgia" w:hAnsi="Georgia"/>
      <w:color w:val="1B2A4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Georgia" w:hAnsi="Georgia"/>
      <w:b/>
      <w:bCs/>
      <w:color w:val="1B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Georgia" w:hAnsi="Georgia"/>
      <w:b/>
      <w:bCs/>
      <w:color w:val="C41E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Georgia" w:hAnsi="Georgia"/>
      <w:b/>
      <w:bCs/>
      <w:color w:val="1B2A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Georgia" w:hAnsi="Georgia"/>
      <w:b/>
      <w:color w:val="1B2A4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HACallout">
    <w:name w:val="MHA Callout"/>
    <w:pPr>
      <w:spacing w:after="60"/>
    </w:pPr>
    <w:rPr>
      <w:rFonts w:ascii="Georgia" w:hAnsi="Georgia"/>
      <w:color w:val="1B2A4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2" Type="http://schemas.openxmlformats.org/officeDocument/2006/relationships/numbering" Target="numbering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Mohsin Haematology Academy controlled generator</Application>
  <AppVersion>2.0</AppVersion>
  <DocSecurity>0</DocSecurity>
  <ScaleCrop>false</ScaleCrop>
  <Company>Mohsin Haematology Academy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MCL v2.0 — Three-part quick reference — working preview</dc:title>
  <dc:subject>Non-public specialist clinical working draft</dc:subject>
  <dc:creator>Dr Muhammad Mohsin, Consultant Haematologist</dc:creator>
  <cp:keywords>mantle cell lymphoma, MCL, working preview</cp:keywords>
  <dc:description>Clinical, pharmacy and publication review pending. No publication authority.</dc:description>
  <cp:lastModifiedBy/>
  <cp:revision>1</cp:revision>
  <dcterms:created xsi:type="dcterms:W3CDTF">2026-07-28T07:00:00Z</dcterms:created>
  <dcterms:modified xsi:type="dcterms:W3CDTF">2026-07-28T07:00:00Z</dcterms:modified>
  <cp:category/>
</cp:coreProperties>
</file>