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40" w:before="1200"/>
        <w:jc w:val="center"/>
      </w:pPr>
      <w:r>
        <w:rPr>
          <w:rFonts w:ascii="Georgia" w:cs="Georgia" w:eastAsia="Georgia" w:hAnsi="Georgia"/>
          <w:b/>
          <w:bCs/>
          <w:color w:val="7A1F2B"/>
          <w:sz w:val="22"/>
          <w:szCs w:val="22"/>
        </w:rPr>
        <w:t xml:space="preserve">MOHSIN HAEMATOLOGY ACADEMY</w:t>
      </w:r>
    </w:p>
    <w:p>
      <w:pPr>
        <w:spacing w:after="480" w:before="60"/>
        <w:jc w:val="center"/>
      </w:pPr>
      <w:r>
        <w:rPr>
          <w:rFonts w:ascii="Georgia" w:cs="Georgia" w:eastAsia="Georgia" w:hAnsi="Georgia"/>
          <w:i/>
          <w:iCs/>
          <w:color w:val="4A4A4A"/>
          <w:sz w:val="20"/>
          <w:szCs w:val="20"/>
        </w:rPr>
        <w:t xml:space="preserve">Evidence — Education — Practice</w:t>
      </w:r>
    </w:p>
    <w:p>
      <w:pPr>
        <w:spacing w:after="240" w:before="240"/>
        <w:jc w:val="center"/>
      </w:pPr>
      <w:r>
        <w:rPr>
          <w:rFonts w:ascii="Georgia" w:cs="Georgia" w:eastAsia="Georgia" w:hAnsi="Georgia"/>
          <w:b/>
          <w:bCs/>
          <w:color w:val="7A1F2B"/>
          <w:sz w:val="56"/>
          <w:szCs w:val="56"/>
        </w:rPr>
        <w:t xml:space="preserve">Multiple Myeloma</w:t>
      </w:r>
    </w:p>
    <w:p>
      <w:pPr>
        <w:spacing w:after="480" w:before="60"/>
        <w:jc w:val="center"/>
      </w:pPr>
      <w:r>
        <w:rPr>
          <w:rFonts w:ascii="Georgia" w:cs="Georgia" w:eastAsia="Georgia" w:hAnsi="Georgia"/>
          <w:color w:val="1D1D1D"/>
          <w:sz w:val="32"/>
          <w:szCs w:val="32"/>
        </w:rPr>
        <w:t xml:space="preserve">Unified UK Practice Guideline</w:t>
      </w:r>
    </w:p>
    <w:p>
      <w:pPr>
        <w:spacing w:after="120" w:before="480"/>
        <w:jc w:val="center"/>
      </w:pPr>
      <w:r>
        <w:rPr>
          <w:rFonts w:ascii="Georgia" w:cs="Georgia" w:eastAsia="Georgia" w:hAnsi="Georgia"/>
          <w:b/>
          <w:bCs/>
          <w:color w:val="7A1F2B"/>
          <w:sz w:val="22"/>
          <w:szCs w:val="22"/>
        </w:rPr>
        <w:t xml:space="preserve">MHA-MYELOMA-2026-v0.4.1-GOVERNANCE-POLISH</w:t>
      </w:r>
    </w:p>
    <w:p>
      <w:pPr>
        <w:spacing w:after="60" w:before="60"/>
        <w:jc w:val="center"/>
      </w:pPr>
      <w:r>
        <w:rPr>
          <w:rFonts w:ascii="Georgia" w:cs="Georgia" w:eastAsia="Georgia" w:hAnsi="Georgia"/>
          <w:b/>
          <w:bCs/>
          <w:color w:val="C87A00"/>
          <w:sz w:val="22"/>
          <w:szCs w:val="22"/>
        </w:rPr>
        <w:t xml:space="preserve">PROPOSAL ONLY — DRAFT — GOVERNANCE REVIEW</w:t>
      </w:r>
    </w:p>
    <w:p>
      <w:pPr>
        <w:spacing w:after="60" w:before="60"/>
        <w:jc w:val="center"/>
      </w:pPr>
      <w:r>
        <w:rPr>
          <w:rFonts w:ascii="Georgia" w:cs="Georgia" w:eastAsia="Georgia" w:hAnsi="Georgia"/>
          <w:i/>
          <w:iCs/>
          <w:color w:val="4A4A4A"/>
          <w:sz w:val="20"/>
          <w:szCs w:val="20"/>
        </w:rPr>
        <w:t xml:space="preserve">Not for publication, deployment or clinical use without consultant and pharmacy sign-off</w:t>
      </w:r>
    </w:p>
    <w:p>
      <w:pPr>
        <w:spacing w:after="60" w:before="60"/>
        <w:jc w:val="center"/>
      </w:pPr>
      <w:r>
        <w:rPr>
          <w:rFonts w:ascii="Georgia" w:cs="Georgia" w:eastAsia="Georgia" w:hAnsi="Georgia"/>
          <w:color w:val="4A4A4A"/>
          <w:sz w:val="22"/>
          <w:szCs w:val="22"/>
        </w:rPr>
        <w:t xml:space="preserve">May 2026</w:t>
      </w:r>
    </w:p>
    <w:p>
      <w:pPr>
        <w:spacing w:after="60" w:before="720"/>
        <w:jc w:val="center"/>
      </w:pPr>
      <w:r>
        <w:rPr>
          <w:rFonts w:ascii="Georgia" w:cs="Georgia" w:eastAsia="Georgia" w:hAnsi="Georgia"/>
          <w:b/>
          <w:bCs/>
          <w:color w:val="1D1D1D"/>
          <w:sz w:val="22"/>
          <w:szCs w:val="22"/>
        </w:rPr>
        <w:t xml:space="preserve">Dr Muhammad Mohsin</w:t>
      </w:r>
    </w:p>
    <w:p>
      <w:pPr>
        <w:spacing w:after="60" w:before="30"/>
        <w:jc w:val="center"/>
      </w:pPr>
      <w:r>
        <w:rPr>
          <w:rFonts w:ascii="Georgia" w:cs="Georgia" w:eastAsia="Georgia" w:hAnsi="Georgia"/>
          <w:i/>
          <w:iCs/>
          <w:color w:val="4A4A4A"/>
          <w:sz w:val="22"/>
          <w:szCs w:val="22"/>
        </w:rPr>
        <w:t xml:space="preserve">Consultant Haematologist</w:t>
      </w:r>
    </w:p>
    <w:p>
      <w:pPr>
        <w:spacing w:after="0" w:before="0"/>
        <w:jc w:val="center"/>
      </w:pPr>
      <w:r>
        <w:rPr>
          <w:rFonts w:ascii="Georgia" w:cs="Georgia" w:eastAsia="Georgia" w:hAnsi="Georgia"/>
          <w:color w:val="4A4A4A"/>
          <w:sz w:val="20"/>
          <w:szCs w:val="20"/>
        </w:rPr>
        <w:t xml:space="preserve">mohsinhaemacademy.com</w:t>
      </w:r>
    </w:p>
    <w:p>
      <w:r>
        <w:br w:type="page"/>
      </w:r>
    </w:p>
    <w:p>
      <w:pPr>
        <w:pStyle w:val="Heading2"/>
        <w:spacing w:after="120" w:before="240"/>
      </w:pPr>
      <w:r>
        <w:rPr>
          <w:rFonts w:ascii="Georgia" w:cs="Georgia" w:eastAsia="Georgia" w:hAnsi="Georgia"/>
          <w:b/>
          <w:bCs/>
          <w:color w:val="7A1F2B"/>
          <w:sz w:val="26"/>
          <w:szCs w:val="26"/>
        </w:rPr>
        <w:t xml:space="preserve">Document Identity</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0"/>
        <w:gridCol w:w="6026"/>
      </w:tblGrid>
      <w:tr>
        <w:trPr>
          <w:tblHeader/>
        </w:trPr>
        <w:tc>
          <w:tcPr>
            <w:tcW w:type="dxa" w:w="3000"/>
            <w:tcBorders>
              <w:top w:val="single" w:color="D8C9CB" w:sz="4"/>
              <w:left w:val="single" w:color="D8C9CB" w:sz="4"/>
              <w:bottom w:val="single" w:color="D8C9CB" w:sz="4"/>
              <w:right w:val="single" w:color="D8C9CB" w:sz="4"/>
            </w:tcBorders>
            <w:shd w:fill="F5E9EB" w:val="clear"/>
            <w:tcMar>
              <w:top w:type="dxa" w:w="80"/>
              <w:left w:type="dxa" w:w="120"/>
              <w:bottom w:type="dxa" w:w="80"/>
              <w:right w:type="dxa" w:w="120"/>
            </w:tcMar>
          </w:tcPr>
          <w:p>
            <w:pPr>
              <w:spacing w:after="0" w:before="0" w:line="260"/>
            </w:pPr>
            <w:r>
              <w:rPr>
                <w:rFonts w:ascii="Georgia" w:cs="Georgia" w:eastAsia="Georgia" w:hAnsi="Georgia"/>
                <w:b/>
                <w:bCs/>
                <w:color w:val="7A1F2B"/>
                <w:sz w:val="20"/>
                <w:szCs w:val="20"/>
              </w:rPr>
              <w:t xml:space="preserve">Field</w:t>
            </w:r>
          </w:p>
        </w:tc>
        <w:tc>
          <w:tcPr>
            <w:tcW w:type="dxa" w:w="6026"/>
            <w:tcBorders>
              <w:top w:val="single" w:color="D8C9CB" w:sz="4"/>
              <w:left w:val="single" w:color="D8C9CB" w:sz="4"/>
              <w:bottom w:val="single" w:color="D8C9CB" w:sz="4"/>
              <w:right w:val="single" w:color="D8C9CB" w:sz="4"/>
            </w:tcBorders>
            <w:shd w:fill="F5E9EB" w:val="clear"/>
            <w:tcMar>
              <w:top w:type="dxa" w:w="80"/>
              <w:left w:type="dxa" w:w="120"/>
              <w:bottom w:type="dxa" w:w="80"/>
              <w:right w:type="dxa" w:w="120"/>
            </w:tcMar>
          </w:tcPr>
          <w:p>
            <w:pPr>
              <w:spacing w:after="0" w:before="0" w:line="260"/>
            </w:pPr>
            <w:r>
              <w:rPr>
                <w:rFonts w:ascii="Georgia" w:cs="Georgia" w:eastAsia="Georgia" w:hAnsi="Georgia"/>
                <w:b/>
                <w:bCs/>
                <w:color w:val="7A1F2B"/>
                <w:sz w:val="20"/>
                <w:szCs w:val="20"/>
              </w:rPr>
              <w:t xml:space="preserve">Value</w:t>
            </w:r>
          </w:p>
        </w:tc>
      </w:tr>
      <w:tr>
        <w:tc>
          <w:tcPr>
            <w:tcW w:type="dxa" w:w="3000"/>
            <w:tcBorders>
              <w:top w:val="single" w:color="D8C9CB" w:sz="4"/>
              <w:left w:val="single" w:color="D8C9CB" w:sz="4"/>
              <w:bottom w:val="single" w:color="D8C9CB" w:sz="4"/>
              <w:right w:val="single" w:color="D8C9CB" w:sz="4"/>
            </w:tcBorders>
            <w:tcMar>
              <w:top w:type="dxa" w:w="80"/>
              <w:left w:type="dxa" w:w="120"/>
              <w:bottom w:type="dxa" w:w="80"/>
              <w:right w:type="dxa" w:w="120"/>
            </w:tcMar>
          </w:tcPr>
          <w:p>
            <w:pPr>
              <w:spacing w:after="0" w:before="0" w:line="260"/>
            </w:pPr>
            <w:r>
              <w:rPr>
                <w:rFonts w:ascii="Georgia" w:cs="Georgia" w:eastAsia="Georgia" w:hAnsi="Georgia"/>
                <w:b w:val="false"/>
                <w:bCs w:val="false"/>
                <w:color w:val="1D1D1D"/>
                <w:sz w:val="20"/>
                <w:szCs w:val="20"/>
              </w:rPr>
              <w:t xml:space="preserve">Document code</w:t>
            </w:r>
          </w:p>
        </w:tc>
        <w:tc>
          <w:tcPr>
            <w:tcW w:type="dxa" w:w="6026"/>
            <w:tcBorders>
              <w:top w:val="single" w:color="D8C9CB" w:sz="4"/>
              <w:left w:val="single" w:color="D8C9CB" w:sz="4"/>
              <w:bottom w:val="single" w:color="D8C9CB" w:sz="4"/>
              <w:right w:val="single" w:color="D8C9CB" w:sz="4"/>
            </w:tcBorders>
            <w:tcMar>
              <w:top w:type="dxa" w:w="80"/>
              <w:left w:type="dxa" w:w="120"/>
              <w:bottom w:type="dxa" w:w="80"/>
              <w:right w:type="dxa" w:w="120"/>
            </w:tcMar>
          </w:tcPr>
          <w:p>
            <w:pPr>
              <w:spacing w:after="0" w:before="0" w:line="260"/>
            </w:pPr>
            <w:r>
              <w:rPr>
                <w:rFonts w:ascii="Georgia" w:cs="Georgia" w:eastAsia="Georgia" w:hAnsi="Georgia"/>
                <w:b w:val="false"/>
                <w:bCs w:val="false"/>
                <w:color w:val="1D1D1D"/>
                <w:sz w:val="20"/>
                <w:szCs w:val="20"/>
              </w:rPr>
              <w:t xml:space="preserve">MHA-MYELOMA-2026-v0.4.1-GOVERNANCE-POLISH</w:t>
            </w:r>
          </w:p>
        </w:tc>
      </w:tr>
      <w:tr>
        <w:tc>
          <w:tcPr>
            <w:tcW w:type="dxa" w:w="3000"/>
            <w:tcBorders>
              <w:top w:val="single" w:color="D8C9CB" w:sz="4"/>
              <w:left w:val="single" w:color="D8C9CB" w:sz="4"/>
              <w:bottom w:val="single" w:color="D8C9CB" w:sz="4"/>
              <w:right w:val="single" w:color="D8C9CB" w:sz="4"/>
            </w:tcBorders>
            <w:tcMar>
              <w:top w:type="dxa" w:w="80"/>
              <w:left w:type="dxa" w:w="120"/>
              <w:bottom w:type="dxa" w:w="80"/>
              <w:right w:type="dxa" w:w="120"/>
            </w:tcMar>
          </w:tcPr>
          <w:p>
            <w:pPr>
              <w:spacing w:after="0" w:before="0" w:line="260"/>
            </w:pPr>
            <w:r>
              <w:rPr>
                <w:rFonts w:ascii="Georgia" w:cs="Georgia" w:eastAsia="Georgia" w:hAnsi="Georgia"/>
                <w:b w:val="false"/>
                <w:bCs w:val="false"/>
                <w:color w:val="1D1D1D"/>
                <w:sz w:val="20"/>
                <w:szCs w:val="20"/>
              </w:rPr>
              <w:t xml:space="preserve">Division</w:t>
            </w:r>
          </w:p>
        </w:tc>
        <w:tc>
          <w:tcPr>
            <w:tcW w:type="dxa" w:w="6026"/>
            <w:tcBorders>
              <w:top w:val="single" w:color="D8C9CB" w:sz="4"/>
              <w:left w:val="single" w:color="D8C9CB" w:sz="4"/>
              <w:bottom w:val="single" w:color="D8C9CB" w:sz="4"/>
              <w:right w:val="single" w:color="D8C9CB" w:sz="4"/>
            </w:tcBorders>
            <w:tcMar>
              <w:top w:type="dxa" w:w="80"/>
              <w:left w:type="dxa" w:w="120"/>
              <w:bottom w:type="dxa" w:w="80"/>
              <w:right w:type="dxa" w:w="120"/>
            </w:tcMar>
          </w:tcPr>
          <w:p>
            <w:pPr>
              <w:spacing w:after="0" w:before="0" w:line="260"/>
            </w:pPr>
            <w:r>
              <w:rPr>
                <w:rFonts w:ascii="Georgia" w:cs="Georgia" w:eastAsia="Georgia" w:hAnsi="Georgia"/>
                <w:b w:val="false"/>
                <w:bCs w:val="false"/>
                <w:color w:val="1D1D1D"/>
                <w:sz w:val="20"/>
                <w:szCs w:val="20"/>
              </w:rPr>
              <w:t xml:space="preserve">Haematological Malignancy</w:t>
            </w:r>
          </w:p>
        </w:tc>
      </w:tr>
      <w:tr>
        <w:tc>
          <w:tcPr>
            <w:tcW w:type="dxa" w:w="3000"/>
            <w:tcBorders>
              <w:top w:val="single" w:color="D8C9CB" w:sz="4"/>
              <w:left w:val="single" w:color="D8C9CB" w:sz="4"/>
              <w:bottom w:val="single" w:color="D8C9CB" w:sz="4"/>
              <w:right w:val="single" w:color="D8C9CB" w:sz="4"/>
            </w:tcBorders>
            <w:tcMar>
              <w:top w:type="dxa" w:w="80"/>
              <w:left w:type="dxa" w:w="120"/>
              <w:bottom w:type="dxa" w:w="80"/>
              <w:right w:type="dxa" w:w="120"/>
            </w:tcMar>
          </w:tcPr>
          <w:p>
            <w:pPr>
              <w:spacing w:after="0" w:before="0" w:line="260"/>
            </w:pPr>
            <w:r>
              <w:rPr>
                <w:rFonts w:ascii="Georgia" w:cs="Georgia" w:eastAsia="Georgia" w:hAnsi="Georgia"/>
                <w:b w:val="false"/>
                <w:bCs w:val="false"/>
                <w:color w:val="1D1D1D"/>
                <w:sz w:val="20"/>
                <w:szCs w:val="20"/>
              </w:rPr>
              <w:t xml:space="preserve">Current version</w:t>
            </w:r>
          </w:p>
        </w:tc>
        <w:tc>
          <w:tcPr>
            <w:tcW w:type="dxa" w:w="6026"/>
            <w:tcBorders>
              <w:top w:val="single" w:color="D8C9CB" w:sz="4"/>
              <w:left w:val="single" w:color="D8C9CB" w:sz="4"/>
              <w:bottom w:val="single" w:color="D8C9CB" w:sz="4"/>
              <w:right w:val="single" w:color="D8C9CB" w:sz="4"/>
            </w:tcBorders>
            <w:tcMar>
              <w:top w:type="dxa" w:w="80"/>
              <w:left w:type="dxa" w:w="120"/>
              <w:bottom w:type="dxa" w:w="80"/>
              <w:right w:type="dxa" w:w="120"/>
            </w:tcMar>
          </w:tcPr>
          <w:p>
            <w:pPr>
              <w:spacing w:after="0" w:before="0" w:line="260"/>
            </w:pPr>
            <w:r>
              <w:rPr>
                <w:rFonts w:ascii="Georgia" w:cs="Georgia" w:eastAsia="Georgia" w:hAnsi="Georgia"/>
                <w:b w:val="false"/>
                <w:bCs w:val="false"/>
                <w:color w:val="1D1D1D"/>
                <w:sz w:val="20"/>
                <w:szCs w:val="20"/>
              </w:rPr>
              <w:t xml:space="preserve">May 2026 (governance-review draft)</w:t>
            </w:r>
          </w:p>
        </w:tc>
      </w:tr>
      <w:tr>
        <w:tc>
          <w:tcPr>
            <w:tcW w:type="dxa" w:w="3000"/>
            <w:tcBorders>
              <w:top w:val="single" w:color="D8C9CB" w:sz="4"/>
              <w:left w:val="single" w:color="D8C9CB" w:sz="4"/>
              <w:bottom w:val="single" w:color="D8C9CB" w:sz="4"/>
              <w:right w:val="single" w:color="D8C9CB" w:sz="4"/>
            </w:tcBorders>
            <w:tcMar>
              <w:top w:type="dxa" w:w="80"/>
              <w:left w:type="dxa" w:w="120"/>
              <w:bottom w:type="dxa" w:w="80"/>
              <w:right w:type="dxa" w:w="120"/>
            </w:tcMar>
          </w:tcPr>
          <w:p>
            <w:pPr>
              <w:spacing w:after="0" w:before="0" w:line="260"/>
            </w:pPr>
            <w:r>
              <w:rPr>
                <w:rFonts w:ascii="Georgia" w:cs="Georgia" w:eastAsia="Georgia" w:hAnsi="Georgia"/>
                <w:b w:val="false"/>
                <w:bCs w:val="false"/>
                <w:color w:val="1D1D1D"/>
                <w:sz w:val="20"/>
                <w:szCs w:val="20"/>
              </w:rPr>
              <w:t xml:space="preserve">Review due</w:t>
            </w:r>
          </w:p>
        </w:tc>
        <w:tc>
          <w:tcPr>
            <w:tcW w:type="dxa" w:w="6026"/>
            <w:tcBorders>
              <w:top w:val="single" w:color="D8C9CB" w:sz="4"/>
              <w:left w:val="single" w:color="D8C9CB" w:sz="4"/>
              <w:bottom w:val="single" w:color="D8C9CB" w:sz="4"/>
              <w:right w:val="single" w:color="D8C9CB" w:sz="4"/>
            </w:tcBorders>
            <w:tcMar>
              <w:top w:type="dxa" w:w="80"/>
              <w:left w:type="dxa" w:w="120"/>
              <w:bottom w:type="dxa" w:w="80"/>
              <w:right w:type="dxa" w:w="120"/>
            </w:tcMar>
          </w:tcPr>
          <w:p>
            <w:pPr>
              <w:spacing w:after="0" w:before="0" w:line="260"/>
            </w:pPr>
            <w:r>
              <w:rPr>
                <w:rFonts w:ascii="Georgia" w:cs="Georgia" w:eastAsia="Georgia" w:hAnsi="Georgia"/>
                <w:b w:val="false"/>
                <w:bCs w:val="false"/>
                <w:color w:val="1D1D1D"/>
                <w:sz w:val="20"/>
                <w:szCs w:val="20"/>
              </w:rPr>
              <w:t xml:space="preserve">Before any deployment: consultant and pharmacy sign-off; then May 2027 or sooner on NICE / BSH / UKMS / EHA-EMN update</w:t>
            </w:r>
          </w:p>
        </w:tc>
      </w:tr>
      <w:tr>
        <w:tc>
          <w:tcPr>
            <w:tcW w:type="dxa" w:w="3000"/>
            <w:tcBorders>
              <w:top w:val="single" w:color="D8C9CB" w:sz="4"/>
              <w:left w:val="single" w:color="D8C9CB" w:sz="4"/>
              <w:bottom w:val="single" w:color="D8C9CB" w:sz="4"/>
              <w:right w:val="single" w:color="D8C9CB" w:sz="4"/>
            </w:tcBorders>
            <w:tcMar>
              <w:top w:type="dxa" w:w="80"/>
              <w:left w:type="dxa" w:w="120"/>
              <w:bottom w:type="dxa" w:w="80"/>
              <w:right w:type="dxa" w:w="120"/>
            </w:tcMar>
          </w:tcPr>
          <w:p>
            <w:pPr>
              <w:spacing w:after="0" w:before="0" w:line="260"/>
            </w:pPr>
            <w:r>
              <w:rPr>
                <w:rFonts w:ascii="Georgia" w:cs="Georgia" w:eastAsia="Georgia" w:hAnsi="Georgia"/>
                <w:b w:val="false"/>
                <w:bCs w:val="false"/>
                <w:color w:val="1D1D1D"/>
                <w:sz w:val="20"/>
                <w:szCs w:val="20"/>
              </w:rPr>
              <w:t xml:space="preserve">Author</w:t>
            </w:r>
          </w:p>
        </w:tc>
        <w:tc>
          <w:tcPr>
            <w:tcW w:type="dxa" w:w="6026"/>
            <w:tcBorders>
              <w:top w:val="single" w:color="D8C9CB" w:sz="4"/>
              <w:left w:val="single" w:color="D8C9CB" w:sz="4"/>
              <w:bottom w:val="single" w:color="D8C9CB" w:sz="4"/>
              <w:right w:val="single" w:color="D8C9CB" w:sz="4"/>
            </w:tcBorders>
            <w:tcMar>
              <w:top w:type="dxa" w:w="80"/>
              <w:left w:type="dxa" w:w="120"/>
              <w:bottom w:type="dxa" w:w="80"/>
              <w:right w:type="dxa" w:w="120"/>
            </w:tcMar>
          </w:tcPr>
          <w:p>
            <w:pPr>
              <w:spacing w:after="0" w:before="0" w:line="260"/>
            </w:pPr>
            <w:r>
              <w:rPr>
                <w:rFonts w:ascii="Georgia" w:cs="Georgia" w:eastAsia="Georgia" w:hAnsi="Georgia"/>
                <w:b w:val="false"/>
                <w:bCs w:val="false"/>
                <w:color w:val="1D1D1D"/>
                <w:sz w:val="20"/>
                <w:szCs w:val="20"/>
              </w:rPr>
              <w:t xml:space="preserve">Dr Muhammad Mohsin, Consultant Haematologist</w:t>
            </w:r>
          </w:p>
        </w:tc>
      </w:tr>
      <w:tr>
        <w:tc>
          <w:tcPr>
            <w:tcW w:type="dxa" w:w="3000"/>
            <w:tcBorders>
              <w:top w:val="single" w:color="D8C9CB" w:sz="4"/>
              <w:left w:val="single" w:color="D8C9CB" w:sz="4"/>
              <w:bottom w:val="single" w:color="D8C9CB" w:sz="4"/>
              <w:right w:val="single" w:color="D8C9CB" w:sz="4"/>
            </w:tcBorders>
            <w:tcMar>
              <w:top w:type="dxa" w:w="80"/>
              <w:left w:type="dxa" w:w="120"/>
              <w:bottom w:type="dxa" w:w="80"/>
              <w:right w:type="dxa" w:w="120"/>
            </w:tcMar>
          </w:tcPr>
          <w:p>
            <w:pPr>
              <w:spacing w:after="0" w:before="0" w:line="260"/>
            </w:pPr>
            <w:r>
              <w:rPr>
                <w:rFonts w:ascii="Georgia" w:cs="Georgia" w:eastAsia="Georgia" w:hAnsi="Georgia"/>
                <w:b w:val="false"/>
                <w:bCs w:val="false"/>
                <w:color w:val="1D1D1D"/>
                <w:sz w:val="20"/>
                <w:szCs w:val="20"/>
              </w:rPr>
              <w:t xml:space="preserve">Status</w:t>
            </w:r>
          </w:p>
        </w:tc>
        <w:tc>
          <w:tcPr>
            <w:tcW w:type="dxa" w:w="6026"/>
            <w:tcBorders>
              <w:top w:val="single" w:color="D8C9CB" w:sz="4"/>
              <w:left w:val="single" w:color="D8C9CB" w:sz="4"/>
              <w:bottom w:val="single" w:color="D8C9CB" w:sz="4"/>
              <w:right w:val="single" w:color="D8C9CB" w:sz="4"/>
            </w:tcBorders>
            <w:tcMar>
              <w:top w:type="dxa" w:w="80"/>
              <w:left w:type="dxa" w:w="120"/>
              <w:bottom w:type="dxa" w:w="80"/>
              <w:right w:type="dxa" w:w="120"/>
            </w:tcMar>
          </w:tcPr>
          <w:p>
            <w:pPr>
              <w:spacing w:after="0" w:before="0" w:line="260"/>
            </w:pPr>
            <w:r>
              <w:rPr>
                <w:rFonts w:ascii="Georgia" w:cs="Georgia" w:eastAsia="Georgia" w:hAnsi="Georgia"/>
                <w:b w:val="false"/>
                <w:bCs w:val="false"/>
                <w:color w:val="1D1D1D"/>
                <w:sz w:val="20"/>
                <w:szCs w:val="20"/>
              </w:rPr>
              <w:t xml:space="preserve">PROPOSAL ONLY — not for publication, deployment or clinical use without consultant and pharmacy sign-off</w:t>
            </w:r>
          </w:p>
        </w:tc>
      </w:tr>
    </w:tbl>
    <w:p>
      <w:pPr>
        <w:pStyle w:val="Heading2"/>
        <w:spacing w:after="120" w:before="240"/>
      </w:pPr>
      <w:r>
        <w:rPr>
          <w:rFonts w:ascii="Georgia" w:cs="Georgia" w:eastAsia="Georgia" w:hAnsi="Georgia"/>
          <w:b/>
          <w:bCs/>
          <w:color w:val="7A1F2B"/>
          <w:sz w:val="26"/>
          <w:szCs w:val="26"/>
        </w:rPr>
        <w:t xml:space="preserve">Tool Metadata</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400"/>
        <w:gridCol w:w="6626"/>
      </w:tblGrid>
      <w:tr>
        <w:trPr>
          <w:tblHeader/>
        </w:trPr>
        <w:tc>
          <w:tcPr>
            <w:tcW w:type="dxa" w:w="2400"/>
            <w:tcBorders>
              <w:top w:val="single" w:color="D8C9CB" w:sz="4"/>
              <w:left w:val="single" w:color="D8C9CB" w:sz="4"/>
              <w:bottom w:val="single" w:color="D8C9CB" w:sz="4"/>
              <w:right w:val="single" w:color="D8C9CB" w:sz="4"/>
            </w:tcBorders>
            <w:shd w:fill="F5E9EB" w:val="clear"/>
            <w:tcMar>
              <w:top w:type="dxa" w:w="80"/>
              <w:left w:type="dxa" w:w="120"/>
              <w:bottom w:type="dxa" w:w="80"/>
              <w:right w:type="dxa" w:w="120"/>
            </w:tcMar>
          </w:tcPr>
          <w:p>
            <w:pPr>
              <w:spacing w:after="0" w:before="0" w:line="260"/>
            </w:pPr>
            <w:r>
              <w:rPr>
                <w:rFonts w:ascii="Georgia" w:cs="Georgia" w:eastAsia="Georgia" w:hAnsi="Georgia"/>
                <w:b/>
                <w:bCs/>
                <w:color w:val="7A1F2B"/>
                <w:sz w:val="20"/>
                <w:szCs w:val="20"/>
              </w:rPr>
              <w:t xml:space="preserve">Field</w:t>
            </w:r>
          </w:p>
        </w:tc>
        <w:tc>
          <w:tcPr>
            <w:tcW w:type="dxa" w:w="6626"/>
            <w:tcBorders>
              <w:top w:val="single" w:color="D8C9CB" w:sz="4"/>
              <w:left w:val="single" w:color="D8C9CB" w:sz="4"/>
              <w:bottom w:val="single" w:color="D8C9CB" w:sz="4"/>
              <w:right w:val="single" w:color="D8C9CB" w:sz="4"/>
            </w:tcBorders>
            <w:shd w:fill="F5E9EB" w:val="clear"/>
            <w:tcMar>
              <w:top w:type="dxa" w:w="80"/>
              <w:left w:type="dxa" w:w="120"/>
              <w:bottom w:type="dxa" w:w="80"/>
              <w:right w:type="dxa" w:w="120"/>
            </w:tcMar>
          </w:tcPr>
          <w:p>
            <w:pPr>
              <w:spacing w:after="0" w:before="0" w:line="260"/>
            </w:pPr>
            <w:r>
              <w:rPr>
                <w:rFonts w:ascii="Georgia" w:cs="Georgia" w:eastAsia="Georgia" w:hAnsi="Georgia"/>
                <w:b/>
                <w:bCs/>
                <w:color w:val="7A1F2B"/>
                <w:sz w:val="20"/>
                <w:szCs w:val="20"/>
              </w:rPr>
              <w:t xml:space="preserve">Detail</w:t>
            </w:r>
          </w:p>
        </w:tc>
      </w:tr>
      <w:tr>
        <w:tc>
          <w:tcPr>
            <w:tcW w:type="dxa" w:w="2400"/>
            <w:tcBorders>
              <w:top w:val="single" w:color="D8C9CB" w:sz="4"/>
              <w:left w:val="single" w:color="D8C9CB" w:sz="4"/>
              <w:bottom w:val="single" w:color="D8C9CB" w:sz="4"/>
              <w:right w:val="single" w:color="D8C9CB" w:sz="4"/>
            </w:tcBorders>
            <w:tcMar>
              <w:top w:type="dxa" w:w="80"/>
              <w:left w:type="dxa" w:w="120"/>
              <w:bottom w:type="dxa" w:w="80"/>
              <w:right w:type="dxa" w:w="120"/>
            </w:tcMar>
          </w:tcPr>
          <w:p>
            <w:pPr>
              <w:spacing w:after="0" w:before="0" w:line="260"/>
            </w:pPr>
            <w:r>
              <w:rPr>
                <w:rFonts w:ascii="Georgia" w:cs="Georgia" w:eastAsia="Georgia" w:hAnsi="Georgia"/>
                <w:b w:val="false"/>
                <w:bCs w:val="false"/>
                <w:color w:val="1D1D1D"/>
                <w:sz w:val="20"/>
                <w:szCs w:val="20"/>
              </w:rPr>
              <w:t xml:space="preserve">Scope</w:t>
            </w:r>
          </w:p>
        </w:tc>
        <w:tc>
          <w:tcPr>
            <w:tcW w:type="dxa" w:w="6626"/>
            <w:tcBorders>
              <w:top w:val="single" w:color="D8C9CB" w:sz="4"/>
              <w:left w:val="single" w:color="D8C9CB" w:sz="4"/>
              <w:bottom w:val="single" w:color="D8C9CB" w:sz="4"/>
              <w:right w:val="single" w:color="D8C9CB" w:sz="4"/>
            </w:tcBorders>
            <w:tcMar>
              <w:top w:type="dxa" w:w="80"/>
              <w:left w:type="dxa" w:w="120"/>
              <w:bottom w:type="dxa" w:w="80"/>
              <w:right w:type="dxa" w:w="120"/>
            </w:tcMar>
          </w:tcPr>
          <w:p>
            <w:pPr>
              <w:spacing w:after="0" w:before="0" w:line="260"/>
            </w:pPr>
            <w:r>
              <w:rPr>
                <w:rFonts w:ascii="Georgia" w:cs="Georgia" w:eastAsia="Georgia" w:hAnsi="Georgia"/>
                <w:b w:val="false"/>
                <w:bCs w:val="false"/>
                <w:color w:val="1D1D1D"/>
                <w:sz w:val="20"/>
                <w:szCs w:val="20"/>
              </w:rPr>
              <w:t xml:space="preserve">Diagnosis, monitoring and management of plasma cell disorders in adults aged 18 years and over across the disease continuum: MGUS, smouldering myeloma, MGRS, newly diagnosed myeloma (transplant-eligible and ineligible, including high-risk), imaging, relapsed and refractory disease, supportive care and survivorship. Primary plasma cell leukaemia and AL amyloidosis are signposted to dedicated pathways.</w:t>
            </w:r>
          </w:p>
        </w:tc>
      </w:tr>
      <w:tr>
        <w:tc>
          <w:tcPr>
            <w:tcW w:type="dxa" w:w="2400"/>
            <w:tcBorders>
              <w:top w:val="single" w:color="D8C9CB" w:sz="4"/>
              <w:left w:val="single" w:color="D8C9CB" w:sz="4"/>
              <w:bottom w:val="single" w:color="D8C9CB" w:sz="4"/>
              <w:right w:val="single" w:color="D8C9CB" w:sz="4"/>
            </w:tcBorders>
            <w:tcMar>
              <w:top w:type="dxa" w:w="80"/>
              <w:left w:type="dxa" w:w="120"/>
              <w:bottom w:type="dxa" w:w="80"/>
              <w:right w:type="dxa" w:w="120"/>
            </w:tcMar>
          </w:tcPr>
          <w:p>
            <w:pPr>
              <w:spacing w:after="0" w:before="0" w:line="260"/>
            </w:pPr>
            <w:r>
              <w:rPr>
                <w:rFonts w:ascii="Georgia" w:cs="Georgia" w:eastAsia="Georgia" w:hAnsi="Georgia"/>
                <w:b w:val="false"/>
                <w:bCs w:val="false"/>
                <w:color w:val="1D1D1D"/>
                <w:sz w:val="20"/>
                <w:szCs w:val="20"/>
              </w:rPr>
              <w:t xml:space="preserve">Intended users</w:t>
            </w:r>
          </w:p>
        </w:tc>
        <w:tc>
          <w:tcPr>
            <w:tcW w:type="dxa" w:w="6626"/>
            <w:tcBorders>
              <w:top w:val="single" w:color="D8C9CB" w:sz="4"/>
              <w:left w:val="single" w:color="D8C9CB" w:sz="4"/>
              <w:bottom w:val="single" w:color="D8C9CB" w:sz="4"/>
              <w:right w:val="single" w:color="D8C9CB" w:sz="4"/>
            </w:tcBorders>
            <w:tcMar>
              <w:top w:type="dxa" w:w="80"/>
              <w:left w:type="dxa" w:w="120"/>
              <w:bottom w:type="dxa" w:w="80"/>
              <w:right w:type="dxa" w:w="120"/>
            </w:tcMar>
          </w:tcPr>
          <w:p>
            <w:pPr>
              <w:spacing w:after="0" w:before="0" w:line="260"/>
            </w:pPr>
            <w:r>
              <w:rPr>
                <w:rFonts w:ascii="Georgia" w:cs="Georgia" w:eastAsia="Georgia" w:hAnsi="Georgia"/>
                <w:b w:val="false"/>
                <w:bCs w:val="false"/>
                <w:color w:val="1D1D1D"/>
                <w:sz w:val="20"/>
                <w:szCs w:val="20"/>
              </w:rPr>
              <w:t xml:space="preserve">UK consultant haematologists, haematology registrars and SHOs, myeloma clinical nurse specialists, CNS teams, MDT coordinators, and renal/nephrology and palliative-care colleagues working in joint MDT pathways. Not intended for patients.</w:t>
            </w:r>
          </w:p>
        </w:tc>
      </w:tr>
      <w:tr>
        <w:tc>
          <w:tcPr>
            <w:tcW w:type="dxa" w:w="2400"/>
            <w:tcBorders>
              <w:top w:val="single" w:color="D8C9CB" w:sz="4"/>
              <w:left w:val="single" w:color="D8C9CB" w:sz="4"/>
              <w:bottom w:val="single" w:color="D8C9CB" w:sz="4"/>
              <w:right w:val="single" w:color="D8C9CB" w:sz="4"/>
            </w:tcBorders>
            <w:tcMar>
              <w:top w:type="dxa" w:w="80"/>
              <w:left w:type="dxa" w:w="120"/>
              <w:bottom w:type="dxa" w:w="80"/>
              <w:right w:type="dxa" w:w="120"/>
            </w:tcMar>
          </w:tcPr>
          <w:p>
            <w:pPr>
              <w:spacing w:after="0" w:before="0" w:line="260"/>
            </w:pPr>
            <w:r>
              <w:rPr>
                <w:rFonts w:ascii="Georgia" w:cs="Georgia" w:eastAsia="Georgia" w:hAnsi="Georgia"/>
                <w:b w:val="false"/>
                <w:bCs w:val="false"/>
                <w:color w:val="1D1D1D"/>
                <w:sz w:val="20"/>
                <w:szCs w:val="20"/>
              </w:rPr>
              <w:t xml:space="preserve">Evidence base</w:t>
            </w:r>
          </w:p>
        </w:tc>
        <w:tc>
          <w:tcPr>
            <w:tcW w:type="dxa" w:w="6626"/>
            <w:tcBorders>
              <w:top w:val="single" w:color="D8C9CB" w:sz="4"/>
              <w:left w:val="single" w:color="D8C9CB" w:sz="4"/>
              <w:bottom w:val="single" w:color="D8C9CB" w:sz="4"/>
              <w:right w:val="single" w:color="D8C9CB" w:sz="4"/>
            </w:tcBorders>
            <w:tcMar>
              <w:top w:type="dxa" w:w="80"/>
              <w:left w:type="dxa" w:w="120"/>
              <w:bottom w:type="dxa" w:w="80"/>
              <w:right w:type="dxa" w:w="120"/>
            </w:tcMar>
          </w:tcPr>
          <w:p>
            <w:pPr>
              <w:spacing w:after="0" w:before="0" w:line="260"/>
            </w:pPr>
            <w:r>
              <w:rPr>
                <w:rFonts w:ascii="Georgia" w:cs="Georgia" w:eastAsia="Georgia" w:hAnsi="Georgia"/>
                <w:b w:val="false"/>
                <w:bCs w:val="false"/>
                <w:color w:val="1D1D1D"/>
                <w:sz w:val="20"/>
                <w:szCs w:val="20"/>
              </w:rPr>
              <w:t xml:space="preserve">BSH 2017 to 2025 and UK Myeloma Society / UK Myeloma Forum guidelines (Snowden 2017, Sive 2021, Stern 2023, Hughes 2024, Kaiser 2024 high-risk TE-NDMM, Kaiser 2024 advanced imaging, Pinney 2025, Jenner 2025); NICE NG35; NICE technology appraisals; IMWG 2014 diagnostic criteria; IMWG 2021 PCL; IKMG 2019; EHA-EMN 2025 (Dimopoulos, Nat Rev Clin Oncol).</w:t>
            </w:r>
          </w:p>
        </w:tc>
      </w:tr>
      <w:tr>
        <w:tc>
          <w:tcPr>
            <w:tcW w:type="dxa" w:w="2400"/>
            <w:tcBorders>
              <w:top w:val="single" w:color="D8C9CB" w:sz="4"/>
              <w:left w:val="single" w:color="D8C9CB" w:sz="4"/>
              <w:bottom w:val="single" w:color="D8C9CB" w:sz="4"/>
              <w:right w:val="single" w:color="D8C9CB" w:sz="4"/>
            </w:tcBorders>
            <w:tcMar>
              <w:top w:type="dxa" w:w="80"/>
              <w:left w:type="dxa" w:w="120"/>
              <w:bottom w:type="dxa" w:w="80"/>
              <w:right w:type="dxa" w:w="120"/>
            </w:tcMar>
          </w:tcPr>
          <w:p>
            <w:pPr>
              <w:spacing w:after="0" w:before="0" w:line="260"/>
            </w:pPr>
            <w:r>
              <w:rPr>
                <w:rFonts w:ascii="Georgia" w:cs="Georgia" w:eastAsia="Georgia" w:hAnsi="Georgia"/>
                <w:b w:val="false"/>
                <w:bCs w:val="false"/>
                <w:color w:val="1D1D1D"/>
                <w:sz w:val="20"/>
                <w:szCs w:val="20"/>
              </w:rPr>
              <w:t xml:space="preserve">Tags</w:t>
            </w:r>
          </w:p>
        </w:tc>
        <w:tc>
          <w:tcPr>
            <w:tcW w:type="dxa" w:w="6626"/>
            <w:tcBorders>
              <w:top w:val="single" w:color="D8C9CB" w:sz="4"/>
              <w:left w:val="single" w:color="D8C9CB" w:sz="4"/>
              <w:bottom w:val="single" w:color="D8C9CB" w:sz="4"/>
              <w:right w:val="single" w:color="D8C9CB" w:sz="4"/>
            </w:tcBorders>
            <w:tcMar>
              <w:top w:type="dxa" w:w="80"/>
              <w:left w:type="dxa" w:w="120"/>
              <w:bottom w:type="dxa" w:w="80"/>
              <w:right w:type="dxa" w:w="120"/>
            </w:tcMar>
          </w:tcPr>
          <w:p>
            <w:pPr>
              <w:spacing w:after="0" w:before="0" w:line="260"/>
            </w:pPr>
            <w:r>
              <w:rPr>
                <w:rFonts w:ascii="Georgia" w:cs="Georgia" w:eastAsia="Georgia" w:hAnsi="Georgia"/>
                <w:b w:val="false"/>
                <w:bCs w:val="false"/>
                <w:color w:val="1D1D1D"/>
                <w:sz w:val="20"/>
                <w:szCs w:val="20"/>
              </w:rPr>
              <w:t xml:space="preserve">Interpretation, MDT, BSH, NICE, UKMS, IMWG</w:t>
            </w:r>
          </w:p>
        </w:tc>
      </w:tr>
      <w:tr>
        <w:tc>
          <w:tcPr>
            <w:tcW w:type="dxa" w:w="2400"/>
            <w:tcBorders>
              <w:top w:val="single" w:color="D8C9CB" w:sz="4"/>
              <w:left w:val="single" w:color="D8C9CB" w:sz="4"/>
              <w:bottom w:val="single" w:color="D8C9CB" w:sz="4"/>
              <w:right w:val="single" w:color="D8C9CB" w:sz="4"/>
            </w:tcBorders>
            <w:tcMar>
              <w:top w:type="dxa" w:w="80"/>
              <w:left w:type="dxa" w:w="120"/>
              <w:bottom w:type="dxa" w:w="80"/>
              <w:right w:type="dxa" w:w="120"/>
            </w:tcMar>
          </w:tcPr>
          <w:p>
            <w:pPr>
              <w:spacing w:after="0" w:before="0" w:line="260"/>
            </w:pPr>
            <w:r>
              <w:rPr>
                <w:rFonts w:ascii="Georgia" w:cs="Georgia" w:eastAsia="Georgia" w:hAnsi="Georgia"/>
                <w:b w:val="false"/>
                <w:bCs w:val="false"/>
                <w:color w:val="1D1D1D"/>
                <w:sz w:val="20"/>
                <w:szCs w:val="20"/>
              </w:rPr>
              <w:t xml:space="preserve">Last reviewed</w:t>
            </w:r>
          </w:p>
        </w:tc>
        <w:tc>
          <w:tcPr>
            <w:tcW w:type="dxa" w:w="6626"/>
            <w:tcBorders>
              <w:top w:val="single" w:color="D8C9CB" w:sz="4"/>
              <w:left w:val="single" w:color="D8C9CB" w:sz="4"/>
              <w:bottom w:val="single" w:color="D8C9CB" w:sz="4"/>
              <w:right w:val="single" w:color="D8C9CB" w:sz="4"/>
            </w:tcBorders>
            <w:tcMar>
              <w:top w:type="dxa" w:w="80"/>
              <w:left w:type="dxa" w:w="120"/>
              <w:bottom w:type="dxa" w:w="80"/>
              <w:right w:type="dxa" w:w="120"/>
            </w:tcMar>
          </w:tcPr>
          <w:p>
            <w:pPr>
              <w:spacing w:after="0" w:before="0" w:line="260"/>
            </w:pPr>
            <w:r>
              <w:rPr>
                <w:rFonts w:ascii="Georgia" w:cs="Georgia" w:eastAsia="Georgia" w:hAnsi="Georgia"/>
                <w:b w:val="false"/>
                <w:bCs w:val="false"/>
                <w:color w:val="1D1D1D"/>
                <w:sz w:val="20"/>
                <w:szCs w:val="20"/>
              </w:rPr>
              <w:t xml:space="preserve">v0.4.1 GOVERNANCE POLISH: belantamab + Pd repositioned per TA1133 indication; D-VRd clarified as transplant-unsuitable horizon scanning (GID-TA10726 / ID3843); star symbol wording softened; TA763 reworded ("within NICE criteria"); algorithm safety footers added; May 2026; Dr Muhammad Mohsin.</w:t>
            </w:r>
          </w:p>
        </w:tc>
      </w:tr>
    </w:tbl>
    <w:p>
      <w:pPr>
        <w:spacing w:after="80" w:before="80" w:line="300"/>
        <w:jc w:val="left"/>
      </w:pPr>
      <w:r>
        <w:rPr>
          <w:rFonts w:ascii="Georgia" w:cs="Georgia" w:eastAsia="Georgia" w:hAnsi="Georgia"/>
          <w:b w:val="false"/>
          <w:bCs w:val="false"/>
          <w:i w:val="false"/>
          <w:iCs w:val="false"/>
          <w:color w:val="1D1D1D"/>
          <w:sz w:val="22"/>
          <w:szCs w:val="22"/>
        </w:rP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D8C9CB" w:sz="4"/>
              <w:left w:val="single" w:color="7A1F2B" w:sz="16"/>
              <w:bottom w:val="single" w:color="D8C9CB" w:sz="4"/>
              <w:right w:val="single" w:color="D8C9CB" w:sz="4"/>
            </w:tcBorders>
            <w:shd w:fill="F5E9EB" w:val="clear"/>
            <w:tcMar>
              <w:top w:type="dxa" w:w="140"/>
              <w:left w:type="dxa" w:w="200"/>
              <w:bottom w:type="dxa" w:w="140"/>
              <w:right w:type="dxa" w:w="160"/>
            </w:tcMar>
          </w:tcPr>
          <w:p>
            <w:pPr>
              <w:spacing w:after="80" w:before="0"/>
            </w:pPr>
            <w:r>
              <w:rPr>
                <w:rFonts w:ascii="Georgia" w:cs="Georgia" w:eastAsia="Georgia" w:hAnsi="Georgia"/>
                <w:b/>
                <w:bCs/>
                <w:color w:val="7A1F2B"/>
                <w:sz w:val="22"/>
                <w:szCs w:val="22"/>
              </w:rPr>
              <w:t xml:space="preserve">Disclaimer</w:t>
            </w:r>
          </w:p>
          <w:p>
            <w:pPr>
              <w:spacing w:after="0" w:before="0" w:line="280"/>
            </w:pPr>
            <w:r>
              <w:rPr>
                <w:rFonts w:ascii="Georgia" w:cs="Georgia" w:eastAsia="Georgia" w:hAnsi="Georgia"/>
                <w:color w:val="1D1D1D"/>
                <w:sz w:val="22"/>
                <w:szCs w:val="22"/>
              </w:rPr>
              <w:t xml:space="preserve">Clinical decision-support only. Not for direct patient use. Use alongside local trust policy, senior clinical judgement and patient-specific context. Local trust policies take precedence over any content in this document. This document synthesises BSH/UKMS, EHA-EMN and IMWG recommendations for educational purposes. For UK clinical practice, only BSH-aligned regimens commissioned by NICE apply. EHA-EMN and IMWG content is used for European/international diagnostic, staging and response-assessment context. UK practice should follow NICE commissioning, BSH/UKMS guidance, Blueteq criteria and local MDT policy. Always verify current NICE commissioning status, Blueteq eligibility and local formulary before prescribing. Off-label use must be clearly flagged.</w:t>
            </w:r>
          </w:p>
        </w:tc>
      </w:tr>
    </w:tbl>
    <w:p>
      <w:pPr>
        <w:pStyle w:val="Heading2"/>
        <w:spacing w:after="120" w:before="240"/>
      </w:pPr>
      <w:r>
        <w:rPr>
          <w:rFonts w:ascii="Georgia" w:cs="Georgia" w:eastAsia="Georgia" w:hAnsi="Georgia"/>
          <w:b/>
          <w:bCs/>
          <w:color w:val="7A1F2B"/>
          <w:sz w:val="26"/>
          <w:szCs w:val="26"/>
        </w:rPr>
        <w:t xml:space="preserve">Quick Decision Summary</w:t>
      </w:r>
    </w:p>
    <w:p>
      <w:pPr>
        <w:spacing w:after="80" w:before="80" w:line="300"/>
        <w:jc w:val="left"/>
      </w:pPr>
      <w:r>
        <w:rPr>
          <w:rFonts w:ascii="Georgia" w:cs="Georgia" w:eastAsia="Georgia" w:hAnsi="Georgia"/>
          <w:b w:val="false"/>
          <w:bCs w:val="false"/>
          <w:i/>
          <w:iCs/>
          <w:color w:val="4A4A4A"/>
          <w:sz w:val="22"/>
          <w:szCs w:val="22"/>
        </w:rPr>
        <w:t xml:space="preserve">Summary only. Full reasoning, evidence levels and references are in the sections below.</w:t>
      </w:r>
    </w:p>
    <w:p>
      <w:pPr>
        <w:pStyle w:val="ListParagraph"/>
        <w:numPr>
          <w:ilvl w:val="0"/>
          <w:numId w:val="2"/>
        </w:numPr>
        <w:spacing w:after="40" w:before="40" w:line="280"/>
      </w:pPr>
      <w:r>
        <w:rPr>
          <w:rFonts w:ascii="Georgia" w:cs="Georgia" w:eastAsia="Georgia" w:hAnsi="Georgia"/>
          <w:b/>
          <w:bCs/>
          <w:i w:val="false"/>
          <w:iCs w:val="false"/>
          <w:color w:val="7A1F2B"/>
          <w:sz w:val="22"/>
          <w:szCs w:val="22"/>
        </w:rPr>
        <w:t xml:space="preserve">MGUS: </w:t>
      </w:r>
      <w:r>
        <w:rPr>
          <w:rFonts w:ascii="Georgia" w:cs="Georgia" w:eastAsia="Georgia" w:hAnsi="Georgia"/>
          <w:b w:val="false"/>
          <w:bCs w:val="false"/>
          <w:i w:val="false"/>
          <w:iCs w:val="false"/>
          <w:color w:val="1D1D1D"/>
          <w:sz w:val="22"/>
          <w:szCs w:val="22"/>
        </w:rPr>
        <w:t xml:space="preserve">risk-stratify all new cases with the Mayo 2005 model. Low and low-intermediate risk need no bone marrow and no imaging at diagnosis; discharge low-risk to primary care after the 6-month confirmation visit. High-intermediate and high-risk need bone marrow plus whole-body imaging.</w:t>
      </w:r>
    </w:p>
    <w:p>
      <w:pPr>
        <w:pStyle w:val="ListParagraph"/>
        <w:numPr>
          <w:ilvl w:val="0"/>
          <w:numId w:val="2"/>
        </w:numPr>
        <w:spacing w:after="40" w:before="40" w:line="280"/>
      </w:pPr>
      <w:r>
        <w:rPr>
          <w:rFonts w:ascii="Georgia" w:cs="Georgia" w:eastAsia="Georgia" w:hAnsi="Georgia"/>
          <w:b/>
          <w:bCs/>
          <w:i w:val="false"/>
          <w:iCs w:val="false"/>
          <w:color w:val="7A1F2B"/>
          <w:sz w:val="22"/>
          <w:szCs w:val="22"/>
        </w:rPr>
        <w:t xml:space="preserve">Smouldering myeloma: </w:t>
      </w:r>
      <w:r>
        <w:rPr>
          <w:rFonts w:ascii="Georgia" w:cs="Georgia" w:eastAsia="Georgia" w:hAnsi="Georgia"/>
          <w:b w:val="false"/>
          <w:bCs w:val="false"/>
          <w:i w:val="false"/>
          <w:iCs w:val="false"/>
          <w:color w:val="1D1D1D"/>
          <w:sz w:val="22"/>
          <w:szCs w:val="22"/>
        </w:rPr>
        <w:t xml:space="preserve">stratify with Mayo 20-2-20 or IMWG 2020. Treatment is not NHS standard of care outside trials. High-risk SMM is for clinical-trial consideration.</w:t>
      </w:r>
    </w:p>
    <w:p>
      <w:pPr>
        <w:pStyle w:val="ListParagraph"/>
        <w:numPr>
          <w:ilvl w:val="0"/>
          <w:numId w:val="2"/>
        </w:numPr>
        <w:spacing w:after="40" w:before="40" w:line="280"/>
      </w:pPr>
      <w:r>
        <w:rPr>
          <w:rFonts w:ascii="Georgia" w:cs="Georgia" w:eastAsia="Georgia" w:hAnsi="Georgia"/>
          <w:b/>
          <w:bCs/>
          <w:i w:val="false"/>
          <w:iCs w:val="false"/>
          <w:color w:val="7A1F2B"/>
          <w:sz w:val="22"/>
          <w:szCs w:val="22"/>
        </w:rPr>
        <w:t xml:space="preserve">MGRS: </w:t>
      </w:r>
      <w:r>
        <w:rPr>
          <w:rFonts w:ascii="Georgia" w:cs="Georgia" w:eastAsia="Georgia" w:hAnsi="Georgia"/>
          <w:b w:val="false"/>
          <w:bCs w:val="false"/>
          <w:i w:val="false"/>
          <w:iCs w:val="false"/>
          <w:color w:val="1D1D1D"/>
          <w:sz w:val="22"/>
          <w:szCs w:val="22"/>
        </w:rPr>
        <w:t xml:space="preserve">renal biopsy plus full haematological workup, joint nephrology-haematology MDT. Treat the clone where renal function is at risk; depth of haematological response drives renal outcome.</w:t>
      </w:r>
    </w:p>
    <w:p>
      <w:pPr>
        <w:pStyle w:val="ListParagraph"/>
        <w:numPr>
          <w:ilvl w:val="0"/>
          <w:numId w:val="2"/>
        </w:numPr>
        <w:spacing w:after="40" w:before="40" w:line="280"/>
      </w:pPr>
      <w:r>
        <w:rPr>
          <w:rFonts w:ascii="Georgia" w:cs="Georgia" w:eastAsia="Georgia" w:hAnsi="Georgia"/>
          <w:b/>
          <w:bCs/>
          <w:i w:val="false"/>
          <w:iCs w:val="false"/>
          <w:color w:val="7A1F2B"/>
          <w:sz w:val="22"/>
          <w:szCs w:val="22"/>
        </w:rPr>
        <w:t xml:space="preserve">NDMM transplant-eligible (standard risk): </w:t>
      </w:r>
      <w:r>
        <w:rPr>
          <w:rFonts w:ascii="Georgia" w:cs="Georgia" w:eastAsia="Georgia" w:hAnsi="Georgia"/>
          <w:b w:val="false"/>
          <w:bCs w:val="false"/>
          <w:i w:val="false"/>
          <w:iCs w:val="false"/>
          <w:color w:val="1D1D1D"/>
          <w:sz w:val="22"/>
          <w:szCs w:val="22"/>
        </w:rPr>
        <w:t xml:space="preserve">daratumumab-containing quadruplet induction per current NICE technology appraisal (currently D-VTd per TA763, within NICE criteria), plus single ASCT, plus lenalidomide maintenance until progression (TA680). D-VRd (PERSEUS-based, GID-TA10726 / ID3843) is in development for transplant-unsuitable NDMM and is not a commissioned TE-NDMM option.</w:t>
      </w:r>
    </w:p>
    <w:p>
      <w:pPr>
        <w:pStyle w:val="ListParagraph"/>
        <w:numPr>
          <w:ilvl w:val="0"/>
          <w:numId w:val="2"/>
        </w:numPr>
        <w:spacing w:after="40" w:before="40" w:line="280"/>
      </w:pPr>
      <w:r>
        <w:rPr>
          <w:rFonts w:ascii="Georgia" w:cs="Georgia" w:eastAsia="Georgia" w:hAnsi="Georgia"/>
          <w:b/>
          <w:bCs/>
          <w:i w:val="false"/>
          <w:iCs w:val="false"/>
          <w:color w:val="7A1F2B"/>
          <w:sz w:val="22"/>
          <w:szCs w:val="22"/>
        </w:rPr>
        <w:t xml:space="preserve">NDMM transplant-eligible (high-risk by 2+ HRCA, SKY92 or primary PCL): </w:t>
      </w:r>
      <w:r>
        <w:rPr>
          <w:rFonts w:ascii="Georgia" w:cs="Georgia" w:eastAsia="Georgia" w:hAnsi="Georgia"/>
          <w:b w:val="false"/>
          <w:bCs w:val="false"/>
          <w:i w:val="false"/>
          <w:iCs w:val="false"/>
          <w:color w:val="1D1D1D"/>
          <w:sz w:val="22"/>
          <w:szCs w:val="22"/>
        </w:rPr>
        <w:t xml:space="preserve">consider stratified induction-consolidation-maintenance evidence (OPTIMUM/MUKnine, GMMG-CONCEPT, IFM 2018-04, EMN12) within the limits of current NHS commissioning.</w:t>
      </w:r>
    </w:p>
    <w:p>
      <w:pPr>
        <w:pStyle w:val="ListParagraph"/>
        <w:numPr>
          <w:ilvl w:val="0"/>
          <w:numId w:val="2"/>
        </w:numPr>
        <w:spacing w:after="40" w:before="40" w:line="280"/>
      </w:pPr>
      <w:r>
        <w:rPr>
          <w:rFonts w:ascii="Georgia" w:cs="Georgia" w:eastAsia="Georgia" w:hAnsi="Georgia"/>
          <w:b/>
          <w:bCs/>
          <w:i w:val="false"/>
          <w:iCs w:val="false"/>
          <w:color w:val="7A1F2B"/>
          <w:sz w:val="22"/>
          <w:szCs w:val="22"/>
        </w:rPr>
        <w:t xml:space="preserve">Relapse: </w:t>
      </w:r>
      <w:r>
        <w:rPr>
          <w:rFonts w:ascii="Georgia" w:cs="Georgia" w:eastAsia="Georgia" w:hAnsi="Georgia"/>
          <w:b w:val="false"/>
          <w:bCs w:val="false"/>
          <w:i w:val="false"/>
          <w:iCs w:val="false"/>
          <w:color w:val="1D1D1D"/>
          <w:sz w:val="22"/>
          <w:szCs w:val="22"/>
        </w:rPr>
        <w:t xml:space="preserve">class-switch principle, triplet preferred over doublet, repeat FISH and TP53. Bispecifics (teclistamab TA1015) and CAR-T are reserved for triple-class exposed disease in approved centres. Always consider clinical trial.</w:t>
      </w:r>
    </w:p>
    <w:p>
      <w:pPr>
        <w:pStyle w:val="ListParagraph"/>
        <w:numPr>
          <w:ilvl w:val="0"/>
          <w:numId w:val="2"/>
        </w:numPr>
        <w:spacing w:after="40" w:before="40" w:line="280"/>
      </w:pPr>
      <w:r>
        <w:rPr>
          <w:rFonts w:ascii="Georgia" w:cs="Georgia" w:eastAsia="Georgia" w:hAnsi="Georgia"/>
          <w:b/>
          <w:bCs/>
          <w:i w:val="false"/>
          <w:iCs w:val="false"/>
          <w:color w:val="7A1F2B"/>
          <w:sz w:val="22"/>
          <w:szCs w:val="22"/>
        </w:rPr>
        <w:t xml:space="preserve">Always MDT. </w:t>
      </w:r>
      <w:r>
        <w:rPr>
          <w:rFonts w:ascii="Georgia" w:cs="Georgia" w:eastAsia="Georgia" w:hAnsi="Georgia"/>
          <w:b w:val="false"/>
          <w:bCs w:val="false"/>
          <w:i w:val="false"/>
          <w:iCs w:val="false"/>
          <w:color w:val="1D1D1D"/>
          <w:sz w:val="22"/>
          <w:szCs w:val="22"/>
        </w:rPr>
        <w:t xml:space="preserve">Escalate to consultant haematology for any treatment decision. Local trust policies and current NICE commissioning status take precedence.</w:t>
      </w:r>
    </w:p>
    <w:p>
      <w:r>
        <w:br w:type="page"/>
      </w:r>
    </w:p>
    <w:p>
      <w:pPr>
        <w:pStyle w:val="Heading1"/>
        <w:spacing w:after="160" w:before="360"/>
      </w:pPr>
      <w:r>
        <w:rPr>
          <w:rFonts w:ascii="Georgia" w:cs="Georgia" w:eastAsia="Georgia" w:hAnsi="Georgia"/>
          <w:b/>
          <w:bCs/>
          <w:color w:val="7A1F2B"/>
          <w:sz w:val="30"/>
          <w:szCs w:val="30"/>
        </w:rPr>
        <w:t xml:space="preserve">1. </w:t>
      </w:r>
      <w:r>
        <w:rPr>
          <w:rFonts w:ascii="Georgia" w:cs="Georgia" w:eastAsia="Georgia" w:hAnsi="Georgia"/>
          <w:b/>
          <w:bCs/>
          <w:color w:val="7A1F2B"/>
          <w:sz w:val="30"/>
          <w:szCs w:val="30"/>
        </w:rPr>
        <w:t xml:space="preserve">Scope and Purpose</w:t>
      </w:r>
    </w:p>
    <w:p>
      <w:pPr>
        <w:spacing w:after="80" w:before="80" w:line="300"/>
        <w:jc w:val="left"/>
      </w:pPr>
      <w:r>
        <w:rPr>
          <w:rFonts w:ascii="Georgia" w:cs="Georgia" w:eastAsia="Georgia" w:hAnsi="Georgia"/>
          <w:b w:val="false"/>
          <w:bCs w:val="false"/>
          <w:i w:val="false"/>
          <w:iCs w:val="false"/>
          <w:color w:val="1D1D1D"/>
          <w:sz w:val="22"/>
          <w:szCs w:val="22"/>
        </w:rPr>
        <w:t xml:space="preserve">This document covers the diagnosis, monitoring and management of plasma cell disorders in adults aged 18 years and over across the full disease continuum, integrating BSH and UK Myeloma Society / UK Myeloma Forum recommendations with NICE technology appraisals, NICE NG35 and EHA-EMN 2025 evidence-based guidelines. It applies in outpatient haematology, day-case and inpatient settings, and in shared-care pathways with nephrology, palliative care, transplant centres and approved cellular-therapy centres.</w:t>
      </w:r>
    </w:p>
    <w:p>
      <w:pPr>
        <w:spacing w:after="80" w:before="80" w:line="300"/>
        <w:jc w:val="left"/>
      </w:pPr>
      <w:r>
        <w:rPr>
          <w:rFonts w:ascii="Georgia" w:cs="Georgia" w:eastAsia="Georgia" w:hAnsi="Georgia"/>
          <w:b w:val="false"/>
          <w:bCs w:val="false"/>
          <w:i w:val="false"/>
          <w:iCs w:val="false"/>
          <w:color w:val="1D1D1D"/>
          <w:sz w:val="22"/>
          <w:szCs w:val="22"/>
        </w:rPr>
        <w:t xml:space="preserve">Primary plasma cell leukaemia, AL amyloidosis and Waldenstrom macroglobulinaemia are biologically related but follow separate UK pathways and are signposted only.</w:t>
      </w:r>
    </w:p>
    <w:p>
      <w:pPr>
        <w:spacing w:after="80" w:before="180"/>
      </w:pPr>
      <w:r>
        <w:rPr>
          <w:rFonts w:ascii="Georgia" w:cs="Georgia" w:eastAsia="Georgia" w:hAnsi="Georgia"/>
          <w:b/>
          <w:bCs/>
          <w:color w:val="1D1D1D"/>
          <w:sz w:val="24"/>
          <w:szCs w:val="24"/>
        </w:rPr>
        <w:t xml:space="preserve">UK Clinical Practice — Applicable NICE Technology Appraisals</w:t>
      </w:r>
    </w:p>
    <w:p>
      <w:pPr>
        <w:spacing w:after="80" w:before="80" w:line="300"/>
        <w:jc w:val="left"/>
      </w:pPr>
      <w:r>
        <w:rPr>
          <w:rFonts w:ascii="Georgia" w:cs="Georgia" w:eastAsia="Georgia" w:hAnsi="Georgia"/>
          <w:b w:val="false"/>
          <w:bCs w:val="false"/>
          <w:i w:val="false"/>
          <w:iCs w:val="false"/>
          <w:color w:val="1D1D1D"/>
          <w:sz w:val="22"/>
          <w:szCs w:val="22"/>
        </w:rPr>
        <w:t xml:space="preserve">The following NICE-commissioned technology appraisals govern UK clinical practice for myeloma at the time of writing. Selected entries checked May 2026; live NICE verification required before prescribing. TA numbers and commissioning criteria are subject to revision. Several relevant appraisals are in development, in managed-access, or have been terminated, see Section 1A for the active landscape.</w:t>
      </w:r>
    </w:p>
    <w:p>
      <w:pPr>
        <w:spacing w:after="80" w:before="80" w:line="300"/>
        <w:jc w:val="left"/>
      </w:pPr>
      <w:r>
        <w:rPr>
          <w:rFonts w:ascii="Georgia" w:cs="Georgia" w:eastAsia="Georgia" w:hAnsi="Georgia"/>
          <w:b/>
          <w:bCs/>
          <w:i w:val="false"/>
          <w:iCs w:val="false"/>
          <w:color w:val="1D1D1D"/>
          <w:sz w:val="22"/>
          <w:szCs w:val="22"/>
        </w:rPr>
        <w:t xml:space="preserve">Newly diagnosed, transplant-eligible:</w:t>
      </w:r>
    </w:p>
    <w:p>
      <w:pPr>
        <w:pStyle w:val="ListParagraph"/>
        <w:numPr>
          <w:ilvl w:val="0"/>
          <w:numId w:val="2"/>
        </w:numPr>
        <w:spacing w:after="40" w:before="40" w:line="280"/>
      </w:pPr>
      <w:r>
        <w:rPr>
          <w:rFonts w:ascii="Georgia" w:cs="Georgia" w:eastAsia="Georgia" w:hAnsi="Georgia"/>
          <w:b w:val="false"/>
          <w:bCs w:val="false"/>
          <w:i w:val="false"/>
          <w:iCs w:val="false"/>
          <w:color w:val="1D1D1D"/>
          <w:sz w:val="22"/>
          <w:szCs w:val="22"/>
        </w:rPr>
        <w:t xml:space="preserve">TA763 — D-VTd induction/consolidation for newly diagnosed transplant-eligible myeloma, within NICE criteria (February 2022).</w:t>
      </w:r>
    </w:p>
    <w:p>
      <w:pPr>
        <w:pStyle w:val="ListParagraph"/>
        <w:numPr>
          <w:ilvl w:val="0"/>
          <w:numId w:val="2"/>
        </w:numPr>
        <w:spacing w:after="40" w:before="40" w:line="280"/>
      </w:pPr>
      <w:r>
        <w:rPr>
          <w:rFonts w:ascii="Georgia" w:cs="Georgia" w:eastAsia="Georgia" w:hAnsi="Georgia"/>
          <w:b w:val="false"/>
          <w:bCs w:val="false"/>
          <w:i w:val="false"/>
          <w:iCs w:val="false"/>
          <w:color w:val="1D1D1D"/>
          <w:sz w:val="22"/>
          <w:szCs w:val="22"/>
        </w:rPr>
        <w:t xml:space="preserve">TA228 — Bortezomib + thalidomide for first-line transplant-eligible induction (older TA; superseded in routine practice by quadruplet regimens where available).</w:t>
      </w:r>
    </w:p>
    <w:p>
      <w:pPr>
        <w:pStyle w:val="ListParagraph"/>
        <w:numPr>
          <w:ilvl w:val="0"/>
          <w:numId w:val="2"/>
        </w:numPr>
        <w:spacing w:after="40" w:before="40" w:line="280"/>
      </w:pPr>
      <w:r>
        <w:rPr>
          <w:rFonts w:ascii="Georgia" w:cs="Georgia" w:eastAsia="Georgia" w:hAnsi="Georgia"/>
          <w:b w:val="false"/>
          <w:bCs w:val="false"/>
          <w:i w:val="false"/>
          <w:iCs w:val="false"/>
          <w:color w:val="1D1D1D"/>
          <w:sz w:val="22"/>
          <w:szCs w:val="22"/>
        </w:rPr>
        <w:t xml:space="preserve">TA311 — Bortezomib induction before HDT/ASCT (2014).</w:t>
      </w:r>
    </w:p>
    <w:p>
      <w:pPr>
        <w:spacing w:after="80" w:before="80" w:line="300"/>
        <w:jc w:val="left"/>
      </w:pPr>
      <w:r>
        <w:rPr>
          <w:rFonts w:ascii="Georgia" w:cs="Georgia" w:eastAsia="Georgia" w:hAnsi="Georgia"/>
          <w:b/>
          <w:bCs/>
          <w:i w:val="false"/>
          <w:iCs w:val="false"/>
          <w:color w:val="1D1D1D"/>
          <w:sz w:val="22"/>
          <w:szCs w:val="22"/>
        </w:rPr>
        <w:t xml:space="preserve">Newly diagnosed, transplant-ineligible:</w:t>
      </w:r>
    </w:p>
    <w:p>
      <w:pPr>
        <w:pStyle w:val="ListParagraph"/>
        <w:numPr>
          <w:ilvl w:val="0"/>
          <w:numId w:val="2"/>
        </w:numPr>
        <w:spacing w:after="40" w:before="40" w:line="280"/>
      </w:pPr>
      <w:r>
        <w:rPr>
          <w:rFonts w:ascii="Georgia" w:cs="Georgia" w:eastAsia="Georgia" w:hAnsi="Georgia"/>
          <w:b w:val="false"/>
          <w:bCs w:val="false"/>
          <w:i w:val="false"/>
          <w:iCs w:val="false"/>
          <w:color w:val="1D1D1D"/>
          <w:sz w:val="22"/>
          <w:szCs w:val="22"/>
        </w:rPr>
        <w:t xml:space="preserve">TA587 — Lenalidomide + dexamethasone for previously untreated myeloma (2019).</w:t>
      </w:r>
    </w:p>
    <w:p>
      <w:pPr>
        <w:pStyle w:val="ListParagraph"/>
        <w:numPr>
          <w:ilvl w:val="0"/>
          <w:numId w:val="2"/>
        </w:numPr>
        <w:spacing w:after="40" w:before="40" w:line="280"/>
      </w:pPr>
      <w:r>
        <w:rPr>
          <w:rFonts w:ascii="Georgia" w:cs="Georgia" w:eastAsia="Georgia" w:hAnsi="Georgia"/>
          <w:b w:val="false"/>
          <w:bCs w:val="false"/>
          <w:i w:val="false"/>
          <w:iCs w:val="false"/>
          <w:color w:val="1D1D1D"/>
          <w:sz w:val="22"/>
          <w:szCs w:val="22"/>
        </w:rPr>
        <w:t xml:space="preserve">TA1098 — Isatuximab + bortezomib + lenalidomide + dexamethasone (Isa-VRd, IMROZ-based) for untreated myeloma when stem cell transplant is unsuitable (September 2025). Verify final recommendation wording, restrictions and commercial arrangement before prescribing.</w:t>
      </w:r>
    </w:p>
    <w:p>
      <w:pPr>
        <w:pStyle w:val="ListParagraph"/>
        <w:numPr>
          <w:ilvl w:val="0"/>
          <w:numId w:val="2"/>
        </w:numPr>
        <w:spacing w:after="40" w:before="40" w:line="280"/>
      </w:pPr>
      <w:r>
        <w:rPr>
          <w:rFonts w:ascii="Georgia" w:cs="Georgia" w:eastAsia="Georgia" w:hAnsi="Georgia"/>
          <w:b w:val="false"/>
          <w:bCs w:val="false"/>
          <w:i w:val="false"/>
          <w:iCs w:val="false"/>
          <w:color w:val="1D1D1D"/>
          <w:sz w:val="22"/>
          <w:szCs w:val="22"/>
        </w:rPr>
        <w:t xml:space="preserve">GID-TA10726 / ID3843 — Daratumumab + bortezomib + lenalidomide + dexamethasone (D-VRd, PERSEUS-based) for untreated myeloma when stem cell transplant is unsuitable. Horizon / evidence only; NICE appraisal in development. Cited NICE in-development reference currently relates to transplant-unsuitable NDMM; verify live NICE indication before pathway placement. See Section 1A.</w:t>
      </w:r>
    </w:p>
    <w:p>
      <w:pPr>
        <w:spacing w:after="80" w:before="80" w:line="300"/>
        <w:jc w:val="left"/>
      </w:pPr>
      <w:r>
        <w:rPr>
          <w:rFonts w:ascii="Georgia" w:cs="Georgia" w:eastAsia="Georgia" w:hAnsi="Georgia"/>
          <w:b/>
          <w:bCs/>
          <w:i w:val="false"/>
          <w:iCs w:val="false"/>
          <w:color w:val="1D1D1D"/>
          <w:sz w:val="22"/>
          <w:szCs w:val="22"/>
        </w:rPr>
        <w:t xml:space="preserve">Maintenance after ASCT:</w:t>
      </w:r>
    </w:p>
    <w:p>
      <w:pPr>
        <w:pStyle w:val="ListParagraph"/>
        <w:numPr>
          <w:ilvl w:val="0"/>
          <w:numId w:val="2"/>
        </w:numPr>
        <w:spacing w:after="40" w:before="40" w:line="280"/>
      </w:pPr>
      <w:r>
        <w:rPr>
          <w:rFonts w:ascii="Georgia" w:cs="Georgia" w:eastAsia="Georgia" w:hAnsi="Georgia"/>
          <w:b w:val="false"/>
          <w:bCs w:val="false"/>
          <w:i w:val="false"/>
          <w:iCs w:val="false"/>
          <w:color w:val="1D1D1D"/>
          <w:sz w:val="22"/>
          <w:szCs w:val="22"/>
        </w:rPr>
        <w:t xml:space="preserve">TA680 — Lenalidomide maintenance for newly diagnosed myeloma after ASCT (2021).</w:t>
      </w:r>
    </w:p>
    <w:p>
      <w:pPr>
        <w:pStyle w:val="ListParagraph"/>
        <w:numPr>
          <w:ilvl w:val="0"/>
          <w:numId w:val="2"/>
        </w:numPr>
        <w:spacing w:after="40" w:before="40" w:line="280"/>
      </w:pPr>
      <w:r>
        <w:rPr>
          <w:rFonts w:ascii="Georgia" w:cs="Georgia" w:eastAsia="Georgia" w:hAnsi="Georgia"/>
          <w:b w:val="false"/>
          <w:bCs w:val="false"/>
          <w:i w:val="false"/>
          <w:iCs w:val="false"/>
          <w:color w:val="1D1D1D"/>
          <w:sz w:val="22"/>
          <w:szCs w:val="22"/>
        </w:rPr>
        <w:t xml:space="preserve">GID-TA11846 / ID6639 — Isatuximab maintenance after ASCT. NICE awaiting development; horizon scanning only.</w:t>
      </w:r>
    </w:p>
    <w:p>
      <w:pPr>
        <w:pStyle w:val="ListParagraph"/>
        <w:numPr>
          <w:ilvl w:val="0"/>
          <w:numId w:val="2"/>
        </w:numPr>
        <w:spacing w:after="40" w:before="40" w:line="280"/>
      </w:pPr>
      <w:r>
        <w:rPr>
          <w:rFonts w:ascii="Georgia" w:cs="Georgia" w:eastAsia="Georgia" w:hAnsi="Georgia"/>
          <w:b w:val="false"/>
          <w:bCs w:val="false"/>
          <w:i w:val="false"/>
          <w:iCs w:val="false"/>
          <w:color w:val="1D1D1D"/>
          <w:sz w:val="22"/>
          <w:szCs w:val="22"/>
        </w:rPr>
        <w:t xml:space="preserve">GID-TA10843 / ID1517 — Ixazomib citrate maintenance after ASCT. NICE appraisal DISCONTINUED 25 February 2026 after prior suspension. Not anticipated as a routine NICE-commissioned maintenance option.</w:t>
      </w:r>
    </w:p>
    <w:p>
      <w:pPr>
        <w:spacing w:after="80" w:before="80" w:line="300"/>
        <w:jc w:val="left"/>
      </w:pPr>
      <w:r>
        <w:rPr>
          <w:rFonts w:ascii="Georgia" w:cs="Georgia" w:eastAsia="Georgia" w:hAnsi="Georgia"/>
          <w:b/>
          <w:bCs/>
          <w:i w:val="false"/>
          <w:iCs w:val="false"/>
          <w:color w:val="1D1D1D"/>
          <w:sz w:val="22"/>
          <w:szCs w:val="22"/>
        </w:rPr>
        <w:t xml:space="preserve">Relapsed and refractory:</w:t>
      </w:r>
    </w:p>
    <w:p>
      <w:pPr>
        <w:pStyle w:val="ListParagraph"/>
        <w:numPr>
          <w:ilvl w:val="0"/>
          <w:numId w:val="2"/>
        </w:numPr>
        <w:spacing w:after="40" w:before="40" w:line="280"/>
      </w:pPr>
      <w:r>
        <w:rPr>
          <w:rFonts w:ascii="Georgia" w:cs="Georgia" w:eastAsia="Georgia" w:hAnsi="Georgia"/>
          <w:b w:val="false"/>
          <w:bCs w:val="false"/>
          <w:i w:val="false"/>
          <w:iCs w:val="false"/>
          <w:color w:val="1D1D1D"/>
          <w:sz w:val="22"/>
          <w:szCs w:val="22"/>
        </w:rPr>
        <w:t xml:space="preserve">TA586 — Lenalidomide + dexamethasone after one prior bortezomib regimen.</w:t>
      </w:r>
    </w:p>
    <w:p>
      <w:pPr>
        <w:pStyle w:val="ListParagraph"/>
        <w:numPr>
          <w:ilvl w:val="0"/>
          <w:numId w:val="2"/>
        </w:numPr>
        <w:spacing w:after="40" w:before="40" w:line="280"/>
      </w:pPr>
      <w:r>
        <w:rPr>
          <w:rFonts w:ascii="Georgia" w:cs="Georgia" w:eastAsia="Georgia" w:hAnsi="Georgia"/>
          <w:b w:val="false"/>
          <w:bCs w:val="false"/>
          <w:i w:val="false"/>
          <w:iCs w:val="false"/>
          <w:color w:val="1D1D1D"/>
          <w:sz w:val="22"/>
          <w:szCs w:val="22"/>
        </w:rPr>
        <w:t xml:space="preserve">TA695 — Carfilzomib + lenalidomide + dexamethasone (KRd) for previously treated myeloma (partially replaces TA657).</w:t>
      </w:r>
    </w:p>
    <w:p>
      <w:pPr>
        <w:pStyle w:val="ListParagraph"/>
        <w:numPr>
          <w:ilvl w:val="0"/>
          <w:numId w:val="2"/>
        </w:numPr>
        <w:spacing w:after="40" w:before="40" w:line="280"/>
      </w:pPr>
      <w:r>
        <w:rPr>
          <w:rFonts w:ascii="Georgia" w:cs="Georgia" w:eastAsia="Georgia" w:hAnsi="Georgia"/>
          <w:b w:val="false"/>
          <w:bCs w:val="false"/>
          <w:i w:val="false"/>
          <w:iCs w:val="false"/>
          <w:color w:val="1D1D1D"/>
          <w:sz w:val="22"/>
          <w:szCs w:val="22"/>
        </w:rPr>
        <w:t xml:space="preserve">TA657 — Carfilzomib for previously treated myeloma (2020), partially replaced by TA695.</w:t>
      </w:r>
    </w:p>
    <w:p>
      <w:pPr>
        <w:pStyle w:val="ListParagraph"/>
        <w:numPr>
          <w:ilvl w:val="0"/>
          <w:numId w:val="2"/>
        </w:numPr>
        <w:spacing w:after="40" w:before="40" w:line="280"/>
      </w:pPr>
      <w:r>
        <w:rPr>
          <w:rFonts w:ascii="Georgia" w:cs="Georgia" w:eastAsia="Georgia" w:hAnsi="Georgia"/>
          <w:b w:val="false"/>
          <w:bCs w:val="false"/>
          <w:i w:val="false"/>
          <w:iCs w:val="false"/>
          <w:color w:val="1D1D1D"/>
          <w:sz w:val="22"/>
          <w:szCs w:val="22"/>
        </w:rPr>
        <w:t xml:space="preserve">TA510 — Daratumumab monotherapy for R/R myeloma.</w:t>
      </w:r>
    </w:p>
    <w:p>
      <w:pPr>
        <w:pStyle w:val="ListParagraph"/>
        <w:numPr>
          <w:ilvl w:val="0"/>
          <w:numId w:val="2"/>
        </w:numPr>
        <w:spacing w:after="40" w:before="40" w:line="280"/>
      </w:pPr>
      <w:r>
        <w:rPr>
          <w:rFonts w:ascii="Georgia" w:cs="Georgia" w:eastAsia="Georgia" w:hAnsi="Georgia"/>
          <w:b w:val="false"/>
          <w:bCs w:val="false"/>
          <w:i w:val="false"/>
          <w:iCs w:val="false"/>
          <w:color w:val="1D1D1D"/>
          <w:sz w:val="22"/>
          <w:szCs w:val="22"/>
        </w:rPr>
        <w:t xml:space="preserve">TA129 — Bortezomib monotherapy at first relapse (older TA).</w:t>
      </w:r>
    </w:p>
    <w:p>
      <w:pPr>
        <w:pStyle w:val="ListParagraph"/>
        <w:numPr>
          <w:ilvl w:val="0"/>
          <w:numId w:val="2"/>
        </w:numPr>
        <w:spacing w:after="40" w:before="40" w:line="280"/>
      </w:pPr>
      <w:r>
        <w:rPr>
          <w:rFonts w:ascii="Georgia" w:cs="Georgia" w:eastAsia="Georgia" w:hAnsi="Georgia"/>
          <w:b w:val="false"/>
          <w:bCs w:val="false"/>
          <w:i w:val="false"/>
          <w:iCs w:val="false"/>
          <w:color w:val="1D1D1D"/>
          <w:sz w:val="22"/>
          <w:szCs w:val="22"/>
        </w:rPr>
        <w:t xml:space="preserve">TA427 — Pomalidomide + dexamethasone for R/R myeloma.</w:t>
      </w:r>
    </w:p>
    <w:p>
      <w:pPr>
        <w:pStyle w:val="ListParagraph"/>
        <w:numPr>
          <w:ilvl w:val="0"/>
          <w:numId w:val="2"/>
        </w:numPr>
        <w:spacing w:after="40" w:before="40" w:line="280"/>
      </w:pPr>
      <w:r>
        <w:rPr>
          <w:rFonts w:ascii="Georgia" w:cs="Georgia" w:eastAsia="Georgia" w:hAnsi="Georgia"/>
          <w:b w:val="false"/>
          <w:bCs w:val="false"/>
          <w:i w:val="false"/>
          <w:iCs w:val="false"/>
          <w:color w:val="1D1D1D"/>
          <w:sz w:val="22"/>
          <w:szCs w:val="22"/>
        </w:rPr>
        <w:t xml:space="preserve">TA1015 — Teclistamab for R/R myeloma after 3 or more prior treatments (November 2024; replaces and updates TA869).</w:t>
      </w:r>
    </w:p>
    <w:p>
      <w:pPr>
        <w:pStyle w:val="ListParagraph"/>
        <w:numPr>
          <w:ilvl w:val="0"/>
          <w:numId w:val="2"/>
        </w:numPr>
        <w:spacing w:after="40" w:before="40" w:line="280"/>
      </w:pPr>
      <w:r>
        <w:rPr>
          <w:rFonts w:ascii="Georgia" w:cs="Georgia" w:eastAsia="Georgia" w:hAnsi="Georgia"/>
          <w:b w:val="false"/>
          <w:bCs w:val="false"/>
          <w:i w:val="false"/>
          <w:iCs w:val="false"/>
          <w:color w:val="1D1D1D"/>
          <w:sz w:val="22"/>
          <w:szCs w:val="22"/>
        </w:rPr>
        <w:t xml:space="preserve">TA1023 — Elranatamab for R/R myeloma after 3 or more prior treatments (December 2024; managed access, evidence collection arrangement).</w:t>
      </w:r>
    </w:p>
    <w:p>
      <w:pPr>
        <w:pStyle w:val="ListParagraph"/>
        <w:numPr>
          <w:ilvl w:val="0"/>
          <w:numId w:val="2"/>
        </w:numPr>
        <w:spacing w:after="40" w:before="40" w:line="280"/>
      </w:pPr>
      <w:r>
        <w:rPr>
          <w:rFonts w:ascii="Georgia" w:cs="Georgia" w:eastAsia="Georgia" w:hAnsi="Georgia"/>
          <w:b w:val="false"/>
          <w:bCs w:val="false"/>
          <w:i w:val="false"/>
          <w:iCs w:val="false"/>
          <w:color w:val="1D1D1D"/>
          <w:sz w:val="22"/>
          <w:szCs w:val="22"/>
        </w:rPr>
        <w:t xml:space="preserve">TA1114 — Talquetamab for R/R myeloma after 3 or more prior treatments (December 2025; routine NHS option within NICE criteria).</w:t>
      </w:r>
    </w:p>
    <w:p>
      <w:pPr>
        <w:pStyle w:val="ListParagraph"/>
        <w:numPr>
          <w:ilvl w:val="0"/>
          <w:numId w:val="2"/>
        </w:numPr>
        <w:spacing w:after="40" w:before="40" w:line="280"/>
      </w:pPr>
      <w:r>
        <w:rPr>
          <w:rFonts w:ascii="Georgia" w:cs="Georgia" w:eastAsia="Georgia" w:hAnsi="Georgia"/>
          <w:b w:val="false"/>
          <w:bCs w:val="false"/>
          <w:i w:val="false"/>
          <w:iCs w:val="false"/>
          <w:color w:val="1D1D1D"/>
          <w:sz w:val="22"/>
          <w:szCs w:val="22"/>
        </w:rPr>
        <w:t xml:space="preserve">TA1133 — Belantamab mafodotin + pomalidomide + dexamethasone for previously treated myeloma after at least one prior therapy including lenalidomide (February 2026). Option after one prior lenalidomide-containing line if lenalidomide is not tolerated or disease is lenalidomide-refractory; not a generic penta-refractory option. Verify recommendation restrictions, commercial arrangement, ocular-toxicity monitoring requirements, Blueteq form and local pathway before pathway placement.</w:t>
      </w:r>
    </w:p>
    <w:p>
      <w:pPr>
        <w:pStyle w:val="ListParagraph"/>
        <w:numPr>
          <w:ilvl w:val="0"/>
          <w:numId w:val="2"/>
        </w:numPr>
        <w:spacing w:after="40" w:before="40" w:line="280"/>
      </w:pPr>
      <w:r>
        <w:rPr>
          <w:rFonts w:ascii="Georgia" w:cs="Georgia" w:eastAsia="Georgia" w:hAnsi="Georgia"/>
          <w:b w:val="false"/>
          <w:bCs w:val="false"/>
          <w:i w:val="false"/>
          <w:iCs w:val="false"/>
          <w:color w:val="1D1D1D"/>
          <w:sz w:val="22"/>
          <w:szCs w:val="22"/>
        </w:rPr>
        <w:t xml:space="preserve">TA970 — Selinexor + dexamethasone for R/R myeloma after 4 or more prior treatments.</w:t>
      </w:r>
    </w:p>
    <w:p>
      <w:pPr>
        <w:pStyle w:val="ListParagraph"/>
        <w:numPr>
          <w:ilvl w:val="0"/>
          <w:numId w:val="2"/>
        </w:numPr>
        <w:spacing w:after="40" w:before="40" w:line="280"/>
      </w:pPr>
      <w:r>
        <w:rPr>
          <w:rFonts w:ascii="Georgia" w:cs="Georgia" w:eastAsia="Georgia" w:hAnsi="Georgia"/>
          <w:b w:val="false"/>
          <w:bCs w:val="false"/>
          <w:i w:val="false"/>
          <w:iCs w:val="false"/>
          <w:color w:val="1D1D1D"/>
          <w:sz w:val="22"/>
          <w:szCs w:val="22"/>
        </w:rPr>
        <w:t xml:space="preserve">TA889 — Ciltacabtagene autoleucel — terminated appraisal (Janssen withdrew submission); no NICE recommendation in routine commissioning. Cross-reference separately from in-development GID-TA10905 / ID4012.</w:t>
      </w:r>
    </w:p>
    <w:p>
      <w:pPr>
        <w:pStyle w:val="ListParagraph"/>
        <w:numPr>
          <w:ilvl w:val="0"/>
          <w:numId w:val="2"/>
        </w:numPr>
        <w:spacing w:after="40" w:before="40" w:line="280"/>
      </w:pPr>
      <w:r>
        <w:rPr>
          <w:rFonts w:ascii="Georgia" w:cs="Georgia" w:eastAsia="Georgia" w:hAnsi="Georgia"/>
          <w:b w:val="false"/>
          <w:bCs w:val="false"/>
          <w:i w:val="false"/>
          <w:iCs w:val="false"/>
          <w:color w:val="1D1D1D"/>
          <w:sz w:val="22"/>
          <w:szCs w:val="22"/>
        </w:rPr>
        <w:t xml:space="preserve">GID-TA10905 / ID4012 — Ciltacabtagene autoleucel for relapsed and lenalidomide-refractory myeloma after 1 to 3 therapies. NICE appraisal in development. Access requires final NICE guidance and approved-centre pathway; do not confuse with terminated TA889.</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D8C9CB" w:sz="4"/>
              <w:left w:val="single" w:color="1E5D8C" w:sz="16"/>
              <w:bottom w:val="single" w:color="D8C9CB" w:sz="4"/>
              <w:right w:val="single" w:color="D8C9CB" w:sz="4"/>
            </w:tcBorders>
            <w:shd w:fill="E7F0F7" w:val="clear"/>
            <w:tcMar>
              <w:top w:type="dxa" w:w="140"/>
              <w:left w:type="dxa" w:w="200"/>
              <w:bottom w:type="dxa" w:w="140"/>
              <w:right w:type="dxa" w:w="160"/>
            </w:tcMar>
          </w:tcPr>
          <w:p>
            <w:pPr>
              <w:spacing w:after="80" w:before="0"/>
            </w:pPr>
            <w:r>
              <w:rPr>
                <w:rFonts w:ascii="Georgia" w:cs="Georgia" w:eastAsia="Georgia" w:hAnsi="Georgia"/>
                <w:b/>
                <w:bCs/>
                <w:color w:val="1E5D8C"/>
                <w:sz w:val="22"/>
                <w:szCs w:val="22"/>
              </w:rPr>
              <w:t xml:space="preserve">Reviewer note</w:t>
            </w:r>
          </w:p>
          <w:p>
            <w:pPr>
              <w:spacing w:after="0" w:before="0" w:line="280"/>
            </w:pPr>
            <w:r>
              <w:rPr>
                <w:rFonts w:ascii="Georgia" w:cs="Georgia" w:eastAsia="Georgia" w:hAnsi="Georgia"/>
                <w:color w:val="1D1D1D"/>
                <w:sz w:val="22"/>
                <w:szCs w:val="22"/>
              </w:rPr>
              <w:t xml:space="preserve">Pomalidomide + dex (TA427), elotuzumab, panobinostat (TA380), isatuximab combinations and several maintenance and earlier-line bispecific or CAR-T regimens have additional or older TAs; verify against the live NICE register before publication. Daratumumab-containing quadruplet regimens for transplant-ineligible NDMM (D-Rd MAIA; D-VMP ALCYONE) do not have a verified TA number in this draft, verify current NICE TA, Blueteq and local formulary status before use rather than presenting these as available.</w:t>
            </w:r>
          </w:p>
        </w:tc>
      </w:tr>
    </w:tbl>
    <w:p>
      <w:pPr>
        <w:pStyle w:val="Heading1"/>
        <w:spacing w:after="160" w:before="360"/>
      </w:pPr>
      <w:r>
        <w:rPr>
          <w:rFonts w:ascii="Georgia" w:cs="Georgia" w:eastAsia="Georgia" w:hAnsi="Georgia"/>
          <w:b/>
          <w:bCs/>
          <w:color w:val="7A1F2B"/>
          <w:sz w:val="30"/>
          <w:szCs w:val="30"/>
        </w:rPr>
        <w:t xml:space="preserve">1A. </w:t>
      </w:r>
      <w:r>
        <w:rPr>
          <w:rFonts w:ascii="Georgia" w:cs="Georgia" w:eastAsia="Georgia" w:hAnsi="Georgia"/>
          <w:b/>
          <w:bCs/>
          <w:color w:val="7A1F2B"/>
          <w:sz w:val="30"/>
          <w:szCs w:val="30"/>
        </w:rPr>
        <w:t xml:space="preserve">NICE Horizon Scanning: Recently Approved, In-Development and Evolving Myeloma Therapies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D8C9CB" w:sz="4"/>
              <w:left w:val="single" w:color="C87A00" w:sz="16"/>
              <w:bottom w:val="single" w:color="D8C9CB" w:sz="4"/>
              <w:right w:val="single" w:color="D8C9CB" w:sz="4"/>
            </w:tcBorders>
            <w:shd w:fill="FFF4E0" w:val="clear"/>
            <w:tcMar>
              <w:top w:type="dxa" w:w="140"/>
              <w:left w:type="dxa" w:w="200"/>
              <w:bottom w:type="dxa" w:w="140"/>
              <w:right w:type="dxa" w:w="160"/>
            </w:tcMar>
          </w:tcPr>
          <w:p>
            <w:pPr>
              <w:spacing w:after="80" w:before="0"/>
            </w:pPr>
            <w:r>
              <w:rPr>
                <w:rFonts w:ascii="Georgia" w:cs="Georgia" w:eastAsia="Georgia" w:hAnsi="Georgia"/>
                <w:b/>
                <w:bCs/>
                <w:color w:val="C87A00"/>
                <w:sz w:val="22"/>
                <w:szCs w:val="22"/>
              </w:rPr>
              <w:t xml:space="preserve">Important — horizon scanning only</w:t>
            </w:r>
          </w:p>
          <w:p>
            <w:pPr>
              <w:spacing w:after="0" w:before="0" w:line="280"/>
            </w:pPr>
            <w:r>
              <w:rPr>
                <w:rFonts w:ascii="Georgia" w:cs="Georgia" w:eastAsia="Georgia" w:hAnsi="Georgia"/>
                <w:color w:val="1D1D1D"/>
                <w:sz w:val="22"/>
                <w:szCs w:val="22"/>
              </w:rPr>
              <w:t xml:space="preserve">This section is horizon scanning only. It must not be used as a prescribing or commissioning statement. NICE appraisal status, Blueteq eligibility, NHS England commissioning, local formulary position and approved-centre access must be verified immediately before treatment decisions. Identifiers and dates listed are derived from NICE pages checked at May 2026; status of any in-development or managed-access entry may change at short notice.</w:t>
            </w:r>
          </w:p>
        </w:tc>
      </w:tr>
    </w:tbl>
    <w:p>
      <w:pPr>
        <w:spacing w:after="80" w:before="80" w:line="300"/>
        <w:jc w:val="left"/>
      </w:pPr>
      <w:r>
        <w:rPr>
          <w:rFonts w:ascii="Georgia" w:cs="Georgia" w:eastAsia="Georgia" w:hAnsi="Georgia"/>
          <w:b w:val="false"/>
          <w:bCs w:val="false"/>
          <w:i w:val="false"/>
          <w:iCs w:val="false"/>
          <w:color w:val="1D1D1D"/>
          <w:sz w:val="22"/>
          <w:szCs w:val="22"/>
        </w:rPr>
        <w:t xml:space="preserve">This section separates therapies by their current NICE classification: routinely recommended; managed-access or Cancer Drugs Fund; in development; awaiting development; discontinued or terminated; and off-label, specialist-centre or trial-only. Entries are listed in order of pathway position (frontline to maintenance to relapse to cellular therapy to biomarker-restricted).</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00"/>
        <w:gridCol w:w="2200"/>
        <w:gridCol w:w="2200"/>
        <w:gridCol w:w="2426"/>
      </w:tblGrid>
      <w:tr>
        <w:trPr>
          <w:tblHeader/>
        </w:trPr>
        <w:tc>
          <w:tcPr>
            <w:tcW w:type="dxa" w:w="2200"/>
            <w:tcBorders>
              <w:top w:val="single" w:color="D8C9CB" w:sz="4"/>
              <w:left w:val="single" w:color="D8C9CB" w:sz="4"/>
              <w:bottom w:val="single" w:color="D8C9CB" w:sz="4"/>
              <w:right w:val="single" w:color="D8C9CB" w:sz="4"/>
            </w:tcBorders>
            <w:shd w:fill="F5E9EB" w:val="clear"/>
            <w:tcMar>
              <w:top w:type="dxa" w:w="80"/>
              <w:left w:type="dxa" w:w="120"/>
              <w:bottom w:type="dxa" w:w="80"/>
              <w:right w:type="dxa" w:w="120"/>
            </w:tcMar>
          </w:tcPr>
          <w:p>
            <w:pPr>
              <w:spacing w:after="0" w:before="0" w:line="260"/>
            </w:pPr>
            <w:r>
              <w:rPr>
                <w:rFonts w:ascii="Georgia" w:cs="Georgia" w:eastAsia="Georgia" w:hAnsi="Georgia"/>
                <w:b/>
                <w:bCs/>
                <w:color w:val="7A1F2B"/>
                <w:sz w:val="20"/>
                <w:szCs w:val="20"/>
              </w:rPr>
              <w:t xml:space="preserve">Therapy / regimen</w:t>
            </w:r>
          </w:p>
        </w:tc>
        <w:tc>
          <w:tcPr>
            <w:tcW w:type="dxa" w:w="2200"/>
            <w:tcBorders>
              <w:top w:val="single" w:color="D8C9CB" w:sz="4"/>
              <w:left w:val="single" w:color="D8C9CB" w:sz="4"/>
              <w:bottom w:val="single" w:color="D8C9CB" w:sz="4"/>
              <w:right w:val="single" w:color="D8C9CB" w:sz="4"/>
            </w:tcBorders>
            <w:shd w:fill="F5E9EB" w:val="clear"/>
            <w:tcMar>
              <w:top w:type="dxa" w:w="80"/>
              <w:left w:type="dxa" w:w="120"/>
              <w:bottom w:type="dxa" w:w="80"/>
              <w:right w:type="dxa" w:w="120"/>
            </w:tcMar>
          </w:tcPr>
          <w:p>
            <w:pPr>
              <w:spacing w:after="0" w:before="0" w:line="260"/>
            </w:pPr>
            <w:r>
              <w:rPr>
                <w:rFonts w:ascii="Georgia" w:cs="Georgia" w:eastAsia="Georgia" w:hAnsi="Georgia"/>
                <w:b/>
                <w:bCs/>
                <w:color w:val="7A1F2B"/>
                <w:sz w:val="20"/>
                <w:szCs w:val="20"/>
              </w:rPr>
              <w:t xml:space="preserve">Setting</w:t>
            </w:r>
          </w:p>
        </w:tc>
        <w:tc>
          <w:tcPr>
            <w:tcW w:type="dxa" w:w="2200"/>
            <w:tcBorders>
              <w:top w:val="single" w:color="D8C9CB" w:sz="4"/>
              <w:left w:val="single" w:color="D8C9CB" w:sz="4"/>
              <w:bottom w:val="single" w:color="D8C9CB" w:sz="4"/>
              <w:right w:val="single" w:color="D8C9CB" w:sz="4"/>
            </w:tcBorders>
            <w:shd w:fill="F5E9EB" w:val="clear"/>
            <w:tcMar>
              <w:top w:type="dxa" w:w="80"/>
              <w:left w:type="dxa" w:w="120"/>
              <w:bottom w:type="dxa" w:w="80"/>
              <w:right w:type="dxa" w:w="120"/>
            </w:tcMar>
          </w:tcPr>
          <w:p>
            <w:pPr>
              <w:spacing w:after="0" w:before="0" w:line="260"/>
            </w:pPr>
            <w:r>
              <w:rPr>
                <w:rFonts w:ascii="Georgia" w:cs="Georgia" w:eastAsia="Georgia" w:hAnsi="Georgia"/>
                <w:b/>
                <w:bCs/>
                <w:color w:val="7A1F2B"/>
                <w:sz w:val="20"/>
                <w:szCs w:val="20"/>
              </w:rPr>
              <w:t xml:space="preserve">NICE status</w:t>
            </w:r>
          </w:p>
        </w:tc>
        <w:tc>
          <w:tcPr>
            <w:tcW w:type="dxa" w:w="2426"/>
            <w:tcBorders>
              <w:top w:val="single" w:color="D8C9CB" w:sz="4"/>
              <w:left w:val="single" w:color="D8C9CB" w:sz="4"/>
              <w:bottom w:val="single" w:color="D8C9CB" w:sz="4"/>
              <w:right w:val="single" w:color="D8C9CB" w:sz="4"/>
            </w:tcBorders>
            <w:shd w:fill="F5E9EB" w:val="clear"/>
            <w:tcMar>
              <w:top w:type="dxa" w:w="80"/>
              <w:left w:type="dxa" w:w="120"/>
              <w:bottom w:type="dxa" w:w="80"/>
              <w:right w:type="dxa" w:w="120"/>
            </w:tcMar>
          </w:tcPr>
          <w:p>
            <w:pPr>
              <w:spacing w:after="0" w:before="0" w:line="260"/>
            </w:pPr>
            <w:r>
              <w:rPr>
                <w:rFonts w:ascii="Georgia" w:cs="Georgia" w:eastAsia="Georgia" w:hAnsi="Georgia"/>
                <w:b/>
                <w:bCs/>
                <w:color w:val="7A1F2B"/>
                <w:sz w:val="20"/>
                <w:szCs w:val="20"/>
              </w:rPr>
              <w:t xml:space="preserve">Guideline wording</w:t>
            </w:r>
          </w:p>
        </w:tc>
      </w:tr>
      <w:tr>
        <w:tc>
          <w:tcPr>
            <w:tcW w:type="dxa" w:w="2200"/>
            <w:tcBorders>
              <w:top w:val="single" w:color="D8C9CB" w:sz="4"/>
              <w:left w:val="single" w:color="D8C9CB" w:sz="4"/>
              <w:bottom w:val="single" w:color="D8C9CB" w:sz="4"/>
              <w:right w:val="single" w:color="D8C9CB" w:sz="4"/>
            </w:tcBorders>
            <w:tcMar>
              <w:top w:type="dxa" w:w="80"/>
              <w:left w:type="dxa" w:w="120"/>
              <w:bottom w:type="dxa" w:w="80"/>
              <w:right w:type="dxa" w:w="120"/>
            </w:tcMar>
          </w:tcPr>
          <w:p>
            <w:pPr>
              <w:spacing w:after="0" w:before="0" w:line="260"/>
            </w:pPr>
            <w:r>
              <w:rPr>
                <w:rFonts w:ascii="Georgia" w:cs="Georgia" w:eastAsia="Georgia" w:hAnsi="Georgia"/>
                <w:b w:val="false"/>
                <w:bCs w:val="false"/>
                <w:color w:val="1D1D1D"/>
                <w:sz w:val="20"/>
                <w:szCs w:val="20"/>
              </w:rPr>
              <w:t xml:space="preserve">D-VRd (daratumumab + bortezomib + lenalidomide + dexamethasone)</w:t>
            </w:r>
          </w:p>
        </w:tc>
        <w:tc>
          <w:tcPr>
            <w:tcW w:type="dxa" w:w="2200"/>
            <w:tcBorders>
              <w:top w:val="single" w:color="D8C9CB" w:sz="4"/>
              <w:left w:val="single" w:color="D8C9CB" w:sz="4"/>
              <w:bottom w:val="single" w:color="D8C9CB" w:sz="4"/>
              <w:right w:val="single" w:color="D8C9CB" w:sz="4"/>
            </w:tcBorders>
            <w:tcMar>
              <w:top w:type="dxa" w:w="80"/>
              <w:left w:type="dxa" w:w="120"/>
              <w:bottom w:type="dxa" w:w="80"/>
              <w:right w:type="dxa" w:w="120"/>
            </w:tcMar>
          </w:tcPr>
          <w:p>
            <w:pPr>
              <w:spacing w:after="0" w:before="0" w:line="260"/>
            </w:pPr>
            <w:r>
              <w:rPr>
                <w:rFonts w:ascii="Georgia" w:cs="Georgia" w:eastAsia="Georgia" w:hAnsi="Georgia"/>
                <w:b w:val="false"/>
                <w:bCs w:val="false"/>
                <w:color w:val="1D1D1D"/>
                <w:sz w:val="20"/>
                <w:szCs w:val="20"/>
              </w:rPr>
              <w:t xml:space="preserve">Untreated myeloma when stem cell transplant is unsuitable</w:t>
            </w:r>
          </w:p>
        </w:tc>
        <w:tc>
          <w:tcPr>
            <w:tcW w:type="dxa" w:w="2200"/>
            <w:tcBorders>
              <w:top w:val="single" w:color="D8C9CB" w:sz="4"/>
              <w:left w:val="single" w:color="D8C9CB" w:sz="4"/>
              <w:bottom w:val="single" w:color="D8C9CB" w:sz="4"/>
              <w:right w:val="single" w:color="D8C9CB" w:sz="4"/>
            </w:tcBorders>
            <w:tcMar>
              <w:top w:type="dxa" w:w="80"/>
              <w:left w:type="dxa" w:w="120"/>
              <w:bottom w:type="dxa" w:w="80"/>
              <w:right w:type="dxa" w:w="120"/>
            </w:tcMar>
          </w:tcPr>
          <w:p>
            <w:pPr>
              <w:spacing w:after="0" w:before="0" w:line="260"/>
            </w:pPr>
            <w:r>
              <w:rPr>
                <w:rFonts w:ascii="Georgia" w:cs="Georgia" w:eastAsia="Georgia" w:hAnsi="Georgia"/>
                <w:b w:val="false"/>
                <w:bCs w:val="false"/>
                <w:color w:val="1D1D1D"/>
                <w:sz w:val="20"/>
                <w:szCs w:val="20"/>
              </w:rPr>
              <w:t xml:space="preserve">In development: GID-TA10726 / ID3843. NICE expected publication date 13 May 2026 has passed at the time of this draft; requires live NICE verification.</w:t>
            </w:r>
          </w:p>
        </w:tc>
        <w:tc>
          <w:tcPr>
            <w:tcW w:type="dxa" w:w="2426"/>
            <w:tcBorders>
              <w:top w:val="single" w:color="D8C9CB" w:sz="4"/>
              <w:left w:val="single" w:color="D8C9CB" w:sz="4"/>
              <w:bottom w:val="single" w:color="D8C9CB" w:sz="4"/>
              <w:right w:val="single" w:color="D8C9CB" w:sz="4"/>
            </w:tcBorders>
            <w:tcMar>
              <w:top w:type="dxa" w:w="80"/>
              <w:left w:type="dxa" w:w="120"/>
              <w:bottom w:type="dxa" w:w="80"/>
              <w:right w:type="dxa" w:w="120"/>
            </w:tcMar>
          </w:tcPr>
          <w:p>
            <w:pPr>
              <w:spacing w:after="0" w:before="0" w:line="260"/>
            </w:pPr>
            <w:r>
              <w:rPr>
                <w:rFonts w:ascii="Georgia" w:cs="Georgia" w:eastAsia="Georgia" w:hAnsi="Georgia"/>
                <w:b w:val="false"/>
                <w:bCs w:val="false"/>
                <w:color w:val="1D1D1D"/>
                <w:sz w:val="20"/>
                <w:szCs w:val="20"/>
              </w:rPr>
              <w:t xml:space="preserve">Treat as NICE horizon scanning only. Cited NICE in-development entry currently relates to transplant-unsuitable NDMM. Do not describe as routinely commissioned, and do not place D-VRd as a transplant-eligible NICE in-development option, unless final NICE guidance and Blueteq/formulary access confirm this.</w:t>
            </w:r>
          </w:p>
        </w:tc>
      </w:tr>
      <w:tr>
        <w:tc>
          <w:tcPr>
            <w:tcW w:type="dxa" w:w="2200"/>
            <w:tcBorders>
              <w:top w:val="single" w:color="D8C9CB" w:sz="4"/>
              <w:left w:val="single" w:color="D8C9CB" w:sz="4"/>
              <w:bottom w:val="single" w:color="D8C9CB" w:sz="4"/>
              <w:right w:val="single" w:color="D8C9CB" w:sz="4"/>
            </w:tcBorders>
            <w:tcMar>
              <w:top w:type="dxa" w:w="80"/>
              <w:left w:type="dxa" w:w="120"/>
              <w:bottom w:type="dxa" w:w="80"/>
              <w:right w:type="dxa" w:w="120"/>
            </w:tcMar>
          </w:tcPr>
          <w:p>
            <w:pPr>
              <w:spacing w:after="0" w:before="0" w:line="260"/>
            </w:pPr>
            <w:r>
              <w:rPr>
                <w:rFonts w:ascii="Georgia" w:cs="Georgia" w:eastAsia="Georgia" w:hAnsi="Georgia"/>
                <w:b w:val="false"/>
                <w:bCs w:val="false"/>
                <w:color w:val="1D1D1D"/>
                <w:sz w:val="20"/>
                <w:szCs w:val="20"/>
              </w:rPr>
              <w:t xml:space="preserve">Isa-VRd (isatuximab + bortezomib + lenalidomide + dexamethasone)</w:t>
            </w:r>
          </w:p>
        </w:tc>
        <w:tc>
          <w:tcPr>
            <w:tcW w:type="dxa" w:w="2200"/>
            <w:tcBorders>
              <w:top w:val="single" w:color="D8C9CB" w:sz="4"/>
              <w:left w:val="single" w:color="D8C9CB" w:sz="4"/>
              <w:bottom w:val="single" w:color="D8C9CB" w:sz="4"/>
              <w:right w:val="single" w:color="D8C9CB" w:sz="4"/>
            </w:tcBorders>
            <w:tcMar>
              <w:top w:type="dxa" w:w="80"/>
              <w:left w:type="dxa" w:w="120"/>
              <w:bottom w:type="dxa" w:w="80"/>
              <w:right w:type="dxa" w:w="120"/>
            </w:tcMar>
          </w:tcPr>
          <w:p>
            <w:pPr>
              <w:spacing w:after="0" w:before="0" w:line="260"/>
            </w:pPr>
            <w:r>
              <w:rPr>
                <w:rFonts w:ascii="Georgia" w:cs="Georgia" w:eastAsia="Georgia" w:hAnsi="Georgia"/>
                <w:b w:val="false"/>
                <w:bCs w:val="false"/>
                <w:color w:val="1D1D1D"/>
                <w:sz w:val="20"/>
                <w:szCs w:val="20"/>
              </w:rPr>
              <w:t xml:space="preserve">Untreated myeloma when stem cell transplant is unsuitable</w:t>
            </w:r>
          </w:p>
        </w:tc>
        <w:tc>
          <w:tcPr>
            <w:tcW w:type="dxa" w:w="2200"/>
            <w:tcBorders>
              <w:top w:val="single" w:color="D8C9CB" w:sz="4"/>
              <w:left w:val="single" w:color="D8C9CB" w:sz="4"/>
              <w:bottom w:val="single" w:color="D8C9CB" w:sz="4"/>
              <w:right w:val="single" w:color="D8C9CB" w:sz="4"/>
            </w:tcBorders>
            <w:tcMar>
              <w:top w:type="dxa" w:w="80"/>
              <w:left w:type="dxa" w:w="120"/>
              <w:bottom w:type="dxa" w:w="80"/>
              <w:right w:type="dxa" w:w="120"/>
            </w:tcMar>
          </w:tcPr>
          <w:p>
            <w:pPr>
              <w:spacing w:after="0" w:before="0" w:line="260"/>
            </w:pPr>
            <w:r>
              <w:rPr>
                <w:rFonts w:ascii="Georgia" w:cs="Georgia" w:eastAsia="Georgia" w:hAnsi="Georgia"/>
                <w:b w:val="false"/>
                <w:bCs w:val="false"/>
                <w:color w:val="1D1D1D"/>
                <w:sz w:val="20"/>
                <w:szCs w:val="20"/>
              </w:rPr>
              <w:t xml:space="preserve">Recommended: TA1098, published 24 September 2025. Subject to simple discount commercial arrangement.</w:t>
            </w:r>
          </w:p>
        </w:tc>
        <w:tc>
          <w:tcPr>
            <w:tcW w:type="dxa" w:w="2426"/>
            <w:tcBorders>
              <w:top w:val="single" w:color="D8C9CB" w:sz="4"/>
              <w:left w:val="single" w:color="D8C9CB" w:sz="4"/>
              <w:bottom w:val="single" w:color="D8C9CB" w:sz="4"/>
              <w:right w:val="single" w:color="D8C9CB" w:sz="4"/>
            </w:tcBorders>
            <w:tcMar>
              <w:top w:type="dxa" w:w="80"/>
              <w:left w:type="dxa" w:w="120"/>
              <w:bottom w:type="dxa" w:w="80"/>
              <w:right w:type="dxa" w:w="120"/>
            </w:tcMar>
          </w:tcPr>
          <w:p>
            <w:pPr>
              <w:spacing w:after="0" w:before="0" w:line="260"/>
            </w:pPr>
            <w:r>
              <w:rPr>
                <w:rFonts w:ascii="Georgia" w:cs="Georgia" w:eastAsia="Georgia" w:hAnsi="Georgia"/>
                <w:b w:val="false"/>
                <w:bCs w:val="false"/>
                <w:color w:val="1D1D1D"/>
                <w:sz w:val="20"/>
                <w:szCs w:val="20"/>
              </w:rPr>
              <w:t xml:space="preserve">NICE-appraised anti-CD38 quadruplet for transplant-ineligible NDMM. Confirm the final recommendation wording, restrictions and commercial arrangement before prescribing.</w:t>
            </w:r>
          </w:p>
        </w:tc>
      </w:tr>
      <w:tr>
        <w:tc>
          <w:tcPr>
            <w:tcW w:type="dxa" w:w="2200"/>
            <w:tcBorders>
              <w:top w:val="single" w:color="D8C9CB" w:sz="4"/>
              <w:left w:val="single" w:color="D8C9CB" w:sz="4"/>
              <w:bottom w:val="single" w:color="D8C9CB" w:sz="4"/>
              <w:right w:val="single" w:color="D8C9CB" w:sz="4"/>
            </w:tcBorders>
            <w:tcMar>
              <w:top w:type="dxa" w:w="80"/>
              <w:left w:type="dxa" w:w="120"/>
              <w:bottom w:type="dxa" w:w="80"/>
              <w:right w:type="dxa" w:w="120"/>
            </w:tcMar>
          </w:tcPr>
          <w:p>
            <w:pPr>
              <w:spacing w:after="0" w:before="0" w:line="260"/>
            </w:pPr>
            <w:r>
              <w:rPr>
                <w:rFonts w:ascii="Georgia" w:cs="Georgia" w:eastAsia="Georgia" w:hAnsi="Georgia"/>
                <w:b w:val="false"/>
                <w:bCs w:val="false"/>
                <w:color w:val="1D1D1D"/>
                <w:sz w:val="20"/>
                <w:szCs w:val="20"/>
              </w:rPr>
              <w:t xml:space="preserve">Isatuximab maintenance post-ASCT</w:t>
            </w:r>
          </w:p>
        </w:tc>
        <w:tc>
          <w:tcPr>
            <w:tcW w:type="dxa" w:w="2200"/>
            <w:tcBorders>
              <w:top w:val="single" w:color="D8C9CB" w:sz="4"/>
              <w:left w:val="single" w:color="D8C9CB" w:sz="4"/>
              <w:bottom w:val="single" w:color="D8C9CB" w:sz="4"/>
              <w:right w:val="single" w:color="D8C9CB" w:sz="4"/>
            </w:tcBorders>
            <w:tcMar>
              <w:top w:type="dxa" w:w="80"/>
              <w:left w:type="dxa" w:w="120"/>
              <w:bottom w:type="dxa" w:w="80"/>
              <w:right w:type="dxa" w:w="120"/>
            </w:tcMar>
          </w:tcPr>
          <w:p>
            <w:pPr>
              <w:spacing w:after="0" w:before="0" w:line="260"/>
            </w:pPr>
            <w:r>
              <w:rPr>
                <w:rFonts w:ascii="Georgia" w:cs="Georgia" w:eastAsia="Georgia" w:hAnsi="Georgia"/>
                <w:b w:val="false"/>
                <w:bCs w:val="false"/>
                <w:color w:val="1D1D1D"/>
                <w:sz w:val="20"/>
                <w:szCs w:val="20"/>
              </w:rPr>
              <w:t xml:space="preserve">NDMM after autologous stem cell transplant</w:t>
            </w:r>
          </w:p>
        </w:tc>
        <w:tc>
          <w:tcPr>
            <w:tcW w:type="dxa" w:w="2200"/>
            <w:tcBorders>
              <w:top w:val="single" w:color="D8C9CB" w:sz="4"/>
              <w:left w:val="single" w:color="D8C9CB" w:sz="4"/>
              <w:bottom w:val="single" w:color="D8C9CB" w:sz="4"/>
              <w:right w:val="single" w:color="D8C9CB" w:sz="4"/>
            </w:tcBorders>
            <w:tcMar>
              <w:top w:type="dxa" w:w="80"/>
              <w:left w:type="dxa" w:w="120"/>
              <w:bottom w:type="dxa" w:w="80"/>
              <w:right w:type="dxa" w:w="120"/>
            </w:tcMar>
          </w:tcPr>
          <w:p>
            <w:pPr>
              <w:spacing w:after="0" w:before="0" w:line="260"/>
            </w:pPr>
            <w:r>
              <w:rPr>
                <w:rFonts w:ascii="Georgia" w:cs="Georgia" w:eastAsia="Georgia" w:hAnsi="Georgia"/>
                <w:b w:val="false"/>
                <w:bCs w:val="false"/>
                <w:color w:val="1D1D1D"/>
                <w:sz w:val="20"/>
                <w:szCs w:val="20"/>
              </w:rPr>
              <w:t xml:space="preserve">Awaiting development: GID-TA11846 / ID6639. Expected publication date TBC.</w:t>
            </w:r>
          </w:p>
        </w:tc>
        <w:tc>
          <w:tcPr>
            <w:tcW w:type="dxa" w:w="2426"/>
            <w:tcBorders>
              <w:top w:val="single" w:color="D8C9CB" w:sz="4"/>
              <w:left w:val="single" w:color="D8C9CB" w:sz="4"/>
              <w:bottom w:val="single" w:color="D8C9CB" w:sz="4"/>
              <w:right w:val="single" w:color="D8C9CB" w:sz="4"/>
            </w:tcBorders>
            <w:tcMar>
              <w:top w:type="dxa" w:w="80"/>
              <w:left w:type="dxa" w:w="120"/>
              <w:bottom w:type="dxa" w:w="80"/>
              <w:right w:type="dxa" w:w="120"/>
            </w:tcMar>
          </w:tcPr>
          <w:p>
            <w:pPr>
              <w:spacing w:after="0" w:before="0" w:line="260"/>
            </w:pPr>
            <w:r>
              <w:rPr>
                <w:rFonts w:ascii="Georgia" w:cs="Georgia" w:eastAsia="Georgia" w:hAnsi="Georgia"/>
                <w:b w:val="false"/>
                <w:bCs w:val="false"/>
                <w:color w:val="1D1D1D"/>
                <w:sz w:val="20"/>
                <w:szCs w:val="20"/>
              </w:rPr>
              <w:t xml:space="preserve">Horizon scanning only. Do not present as standard maintenance. Lenalidomide maintenance (TA680) remains the established NICE-commissioned maintenance reference.</w:t>
            </w:r>
          </w:p>
        </w:tc>
      </w:tr>
      <w:tr>
        <w:tc>
          <w:tcPr>
            <w:tcW w:type="dxa" w:w="2200"/>
            <w:tcBorders>
              <w:top w:val="single" w:color="D8C9CB" w:sz="4"/>
              <w:left w:val="single" w:color="D8C9CB" w:sz="4"/>
              <w:bottom w:val="single" w:color="D8C9CB" w:sz="4"/>
              <w:right w:val="single" w:color="D8C9CB" w:sz="4"/>
            </w:tcBorders>
            <w:tcMar>
              <w:top w:type="dxa" w:w="80"/>
              <w:left w:type="dxa" w:w="120"/>
              <w:bottom w:type="dxa" w:w="80"/>
              <w:right w:type="dxa" w:w="120"/>
            </w:tcMar>
          </w:tcPr>
          <w:p>
            <w:pPr>
              <w:spacing w:after="0" w:before="0" w:line="260"/>
            </w:pPr>
            <w:r>
              <w:rPr>
                <w:rFonts w:ascii="Georgia" w:cs="Georgia" w:eastAsia="Georgia" w:hAnsi="Georgia"/>
                <w:b w:val="false"/>
                <w:bCs w:val="false"/>
                <w:color w:val="1D1D1D"/>
                <w:sz w:val="20"/>
                <w:szCs w:val="20"/>
              </w:rPr>
              <w:t xml:space="preserve">Ixazomib maintenance post-ASCT</w:t>
            </w:r>
          </w:p>
        </w:tc>
        <w:tc>
          <w:tcPr>
            <w:tcW w:type="dxa" w:w="2200"/>
            <w:tcBorders>
              <w:top w:val="single" w:color="D8C9CB" w:sz="4"/>
              <w:left w:val="single" w:color="D8C9CB" w:sz="4"/>
              <w:bottom w:val="single" w:color="D8C9CB" w:sz="4"/>
              <w:right w:val="single" w:color="D8C9CB" w:sz="4"/>
            </w:tcBorders>
            <w:tcMar>
              <w:top w:type="dxa" w:w="80"/>
              <w:left w:type="dxa" w:w="120"/>
              <w:bottom w:type="dxa" w:w="80"/>
              <w:right w:type="dxa" w:w="120"/>
            </w:tcMar>
          </w:tcPr>
          <w:p>
            <w:pPr>
              <w:spacing w:after="0" w:before="0" w:line="260"/>
            </w:pPr>
            <w:r>
              <w:rPr>
                <w:rFonts w:ascii="Georgia" w:cs="Georgia" w:eastAsia="Georgia" w:hAnsi="Georgia"/>
                <w:b w:val="false"/>
                <w:bCs w:val="false"/>
                <w:color w:val="1D1D1D"/>
                <w:sz w:val="20"/>
                <w:szCs w:val="20"/>
              </w:rPr>
              <w:t xml:space="preserve">NDMM after autologous stem cell transplant</w:t>
            </w:r>
          </w:p>
        </w:tc>
        <w:tc>
          <w:tcPr>
            <w:tcW w:type="dxa" w:w="2200"/>
            <w:tcBorders>
              <w:top w:val="single" w:color="D8C9CB" w:sz="4"/>
              <w:left w:val="single" w:color="D8C9CB" w:sz="4"/>
              <w:bottom w:val="single" w:color="D8C9CB" w:sz="4"/>
              <w:right w:val="single" w:color="D8C9CB" w:sz="4"/>
            </w:tcBorders>
            <w:tcMar>
              <w:top w:type="dxa" w:w="80"/>
              <w:left w:type="dxa" w:w="120"/>
              <w:bottom w:type="dxa" w:w="80"/>
              <w:right w:type="dxa" w:w="120"/>
            </w:tcMar>
          </w:tcPr>
          <w:p>
            <w:pPr>
              <w:spacing w:after="0" w:before="0" w:line="260"/>
            </w:pPr>
            <w:r>
              <w:rPr>
                <w:rFonts w:ascii="Georgia" w:cs="Georgia" w:eastAsia="Georgia" w:hAnsi="Georgia"/>
                <w:b w:val="false"/>
                <w:bCs w:val="false"/>
                <w:color w:val="1D1D1D"/>
                <w:sz w:val="20"/>
                <w:szCs w:val="20"/>
              </w:rPr>
              <w:t xml:space="preserve">Discontinued: GID-TA10843 / ID1517 discontinued 25 February 2026 after prior suspension.</w:t>
            </w:r>
          </w:p>
        </w:tc>
        <w:tc>
          <w:tcPr>
            <w:tcW w:type="dxa" w:w="2426"/>
            <w:tcBorders>
              <w:top w:val="single" w:color="D8C9CB" w:sz="4"/>
              <w:left w:val="single" w:color="D8C9CB" w:sz="4"/>
              <w:bottom w:val="single" w:color="D8C9CB" w:sz="4"/>
              <w:right w:val="single" w:color="D8C9CB" w:sz="4"/>
            </w:tcBorders>
            <w:tcMar>
              <w:top w:type="dxa" w:w="80"/>
              <w:left w:type="dxa" w:w="120"/>
              <w:bottom w:type="dxa" w:w="80"/>
              <w:right w:type="dxa" w:w="120"/>
            </w:tcMar>
          </w:tcPr>
          <w:p>
            <w:pPr>
              <w:spacing w:after="0" w:before="0" w:line="260"/>
            </w:pPr>
            <w:r>
              <w:rPr>
                <w:rFonts w:ascii="Georgia" w:cs="Georgia" w:eastAsia="Georgia" w:hAnsi="Georgia"/>
                <w:b w:val="false"/>
                <w:bCs w:val="false"/>
                <w:color w:val="1D1D1D"/>
                <w:sz w:val="20"/>
                <w:szCs w:val="20"/>
              </w:rPr>
              <w:t xml:space="preserve">Out of active in-development list. Labelled as discontinued. Do not imply anticipated NICE availability.</w:t>
            </w:r>
          </w:p>
        </w:tc>
      </w:tr>
      <w:tr>
        <w:tc>
          <w:tcPr>
            <w:tcW w:type="dxa" w:w="2200"/>
            <w:tcBorders>
              <w:top w:val="single" w:color="D8C9CB" w:sz="4"/>
              <w:left w:val="single" w:color="D8C9CB" w:sz="4"/>
              <w:bottom w:val="single" w:color="D8C9CB" w:sz="4"/>
              <w:right w:val="single" w:color="D8C9CB" w:sz="4"/>
            </w:tcBorders>
            <w:tcMar>
              <w:top w:type="dxa" w:w="80"/>
              <w:left w:type="dxa" w:w="120"/>
              <w:bottom w:type="dxa" w:w="80"/>
              <w:right w:type="dxa" w:w="120"/>
            </w:tcMar>
          </w:tcPr>
          <w:p>
            <w:pPr>
              <w:spacing w:after="0" w:before="0" w:line="260"/>
            </w:pPr>
            <w:r>
              <w:rPr>
                <w:rFonts w:ascii="Georgia" w:cs="Georgia" w:eastAsia="Georgia" w:hAnsi="Georgia"/>
                <w:b w:val="false"/>
                <w:bCs w:val="false"/>
                <w:color w:val="1D1D1D"/>
                <w:sz w:val="20"/>
                <w:szCs w:val="20"/>
              </w:rPr>
              <w:t xml:space="preserve">Cilta-cel earlier line</w:t>
            </w:r>
          </w:p>
        </w:tc>
        <w:tc>
          <w:tcPr>
            <w:tcW w:type="dxa" w:w="2200"/>
            <w:tcBorders>
              <w:top w:val="single" w:color="D8C9CB" w:sz="4"/>
              <w:left w:val="single" w:color="D8C9CB" w:sz="4"/>
              <w:bottom w:val="single" w:color="D8C9CB" w:sz="4"/>
              <w:right w:val="single" w:color="D8C9CB" w:sz="4"/>
            </w:tcBorders>
            <w:tcMar>
              <w:top w:type="dxa" w:w="80"/>
              <w:left w:type="dxa" w:w="120"/>
              <w:bottom w:type="dxa" w:w="80"/>
              <w:right w:type="dxa" w:w="120"/>
            </w:tcMar>
          </w:tcPr>
          <w:p>
            <w:pPr>
              <w:spacing w:after="0" w:before="0" w:line="260"/>
            </w:pPr>
            <w:r>
              <w:rPr>
                <w:rFonts w:ascii="Georgia" w:cs="Georgia" w:eastAsia="Georgia" w:hAnsi="Georgia"/>
                <w:b w:val="false"/>
                <w:bCs w:val="false"/>
                <w:color w:val="1D1D1D"/>
                <w:sz w:val="20"/>
                <w:szCs w:val="20"/>
              </w:rPr>
              <w:t xml:space="preserve">Relapsed and lenalidomide-refractory myeloma after 1 to 3 therapies</w:t>
            </w:r>
          </w:p>
        </w:tc>
        <w:tc>
          <w:tcPr>
            <w:tcW w:type="dxa" w:w="2200"/>
            <w:tcBorders>
              <w:top w:val="single" w:color="D8C9CB" w:sz="4"/>
              <w:left w:val="single" w:color="D8C9CB" w:sz="4"/>
              <w:bottom w:val="single" w:color="D8C9CB" w:sz="4"/>
              <w:right w:val="single" w:color="D8C9CB" w:sz="4"/>
            </w:tcBorders>
            <w:tcMar>
              <w:top w:type="dxa" w:w="80"/>
              <w:left w:type="dxa" w:w="120"/>
              <w:bottom w:type="dxa" w:w="80"/>
              <w:right w:type="dxa" w:w="120"/>
            </w:tcMar>
          </w:tcPr>
          <w:p>
            <w:pPr>
              <w:spacing w:after="0" w:before="0" w:line="260"/>
            </w:pPr>
            <w:r>
              <w:rPr>
                <w:rFonts w:ascii="Georgia" w:cs="Georgia" w:eastAsia="Georgia" w:hAnsi="Georgia"/>
                <w:b w:val="false"/>
                <w:bCs w:val="false"/>
                <w:color w:val="1D1D1D"/>
                <w:sz w:val="20"/>
                <w:szCs w:val="20"/>
              </w:rPr>
              <w:t xml:space="preserve">In development: GID-TA10905 / ID4012. Appraisal scheduled to begin early July 2026 per NICE timeline. Expected publication TBC.</w:t>
            </w:r>
          </w:p>
        </w:tc>
        <w:tc>
          <w:tcPr>
            <w:tcW w:type="dxa" w:w="2426"/>
            <w:tcBorders>
              <w:top w:val="single" w:color="D8C9CB" w:sz="4"/>
              <w:left w:val="single" w:color="D8C9CB" w:sz="4"/>
              <w:bottom w:val="single" w:color="D8C9CB" w:sz="4"/>
              <w:right w:val="single" w:color="D8C9CB" w:sz="4"/>
            </w:tcBorders>
            <w:tcMar>
              <w:top w:type="dxa" w:w="80"/>
              <w:left w:type="dxa" w:w="120"/>
              <w:bottom w:type="dxa" w:w="80"/>
              <w:right w:type="dxa" w:w="120"/>
            </w:tcMar>
          </w:tcPr>
          <w:p>
            <w:pPr>
              <w:spacing w:after="0" w:before="0" w:line="260"/>
            </w:pPr>
            <w:r>
              <w:rPr>
                <w:rFonts w:ascii="Georgia" w:cs="Georgia" w:eastAsia="Georgia" w:hAnsi="Georgia"/>
                <w:b w:val="false"/>
                <w:bCs w:val="false"/>
                <w:color w:val="1D1D1D"/>
                <w:sz w:val="20"/>
                <w:szCs w:val="20"/>
              </w:rPr>
              <w:t xml:space="preserve">Cellular-therapy horizon scanning only. Access requires final NICE guidance and approved-centre pathway. Do not confuse with terminated TA889.</w:t>
            </w:r>
          </w:p>
        </w:tc>
      </w:tr>
      <w:tr>
        <w:tc>
          <w:tcPr>
            <w:tcW w:type="dxa" w:w="2200"/>
            <w:tcBorders>
              <w:top w:val="single" w:color="D8C9CB" w:sz="4"/>
              <w:left w:val="single" w:color="D8C9CB" w:sz="4"/>
              <w:bottom w:val="single" w:color="D8C9CB" w:sz="4"/>
              <w:right w:val="single" w:color="D8C9CB" w:sz="4"/>
            </w:tcBorders>
            <w:tcMar>
              <w:top w:type="dxa" w:w="80"/>
              <w:left w:type="dxa" w:w="120"/>
              <w:bottom w:type="dxa" w:w="80"/>
              <w:right w:type="dxa" w:w="120"/>
            </w:tcMar>
          </w:tcPr>
          <w:p>
            <w:pPr>
              <w:spacing w:after="0" w:before="0" w:line="260"/>
            </w:pPr>
            <w:r>
              <w:rPr>
                <w:rFonts w:ascii="Georgia" w:cs="Georgia" w:eastAsia="Georgia" w:hAnsi="Georgia"/>
                <w:b w:val="false"/>
                <w:bCs w:val="false"/>
                <w:color w:val="1D1D1D"/>
                <w:sz w:val="20"/>
                <w:szCs w:val="20"/>
              </w:rPr>
              <w:t xml:space="preserve">Cilta-cel late line (original indication)</w:t>
            </w:r>
          </w:p>
        </w:tc>
        <w:tc>
          <w:tcPr>
            <w:tcW w:type="dxa" w:w="2200"/>
            <w:tcBorders>
              <w:top w:val="single" w:color="D8C9CB" w:sz="4"/>
              <w:left w:val="single" w:color="D8C9CB" w:sz="4"/>
              <w:bottom w:val="single" w:color="D8C9CB" w:sz="4"/>
              <w:right w:val="single" w:color="D8C9CB" w:sz="4"/>
            </w:tcBorders>
            <w:tcMar>
              <w:top w:type="dxa" w:w="80"/>
              <w:left w:type="dxa" w:w="120"/>
              <w:bottom w:type="dxa" w:w="80"/>
              <w:right w:type="dxa" w:w="120"/>
            </w:tcMar>
          </w:tcPr>
          <w:p>
            <w:pPr>
              <w:spacing w:after="0" w:before="0" w:line="260"/>
            </w:pPr>
            <w:r>
              <w:rPr>
                <w:rFonts w:ascii="Georgia" w:cs="Georgia" w:eastAsia="Georgia" w:hAnsi="Georgia"/>
                <w:b w:val="false"/>
                <w:bCs w:val="false"/>
                <w:color w:val="1D1D1D"/>
                <w:sz w:val="20"/>
                <w:szCs w:val="20"/>
              </w:rPr>
              <w:t xml:space="preserve">Heavily pre-treated R/R myeloma</w:t>
            </w:r>
          </w:p>
        </w:tc>
        <w:tc>
          <w:tcPr>
            <w:tcW w:type="dxa" w:w="2200"/>
            <w:tcBorders>
              <w:top w:val="single" w:color="D8C9CB" w:sz="4"/>
              <w:left w:val="single" w:color="D8C9CB" w:sz="4"/>
              <w:bottom w:val="single" w:color="D8C9CB" w:sz="4"/>
              <w:right w:val="single" w:color="D8C9CB" w:sz="4"/>
            </w:tcBorders>
            <w:tcMar>
              <w:top w:type="dxa" w:w="80"/>
              <w:left w:type="dxa" w:w="120"/>
              <w:bottom w:type="dxa" w:w="80"/>
              <w:right w:type="dxa" w:w="120"/>
            </w:tcMar>
          </w:tcPr>
          <w:p>
            <w:pPr>
              <w:spacing w:after="0" w:before="0" w:line="260"/>
            </w:pPr>
            <w:r>
              <w:rPr>
                <w:rFonts w:ascii="Georgia" w:cs="Georgia" w:eastAsia="Georgia" w:hAnsi="Georgia"/>
                <w:b w:val="false"/>
                <w:bCs w:val="false"/>
                <w:color w:val="1D1D1D"/>
                <w:sz w:val="20"/>
                <w:szCs w:val="20"/>
              </w:rPr>
              <w:t xml:space="preserve">Terminated: TA889. No routine NHS recommendation from this appraisal.</w:t>
            </w:r>
          </w:p>
        </w:tc>
        <w:tc>
          <w:tcPr>
            <w:tcW w:type="dxa" w:w="2426"/>
            <w:tcBorders>
              <w:top w:val="single" w:color="D8C9CB" w:sz="4"/>
              <w:left w:val="single" w:color="D8C9CB" w:sz="4"/>
              <w:bottom w:val="single" w:color="D8C9CB" w:sz="4"/>
              <w:right w:val="single" w:color="D8C9CB" w:sz="4"/>
            </w:tcBorders>
            <w:tcMar>
              <w:top w:type="dxa" w:w="80"/>
              <w:left w:type="dxa" w:w="120"/>
              <w:bottom w:type="dxa" w:w="80"/>
              <w:right w:type="dxa" w:w="120"/>
            </w:tcMar>
          </w:tcPr>
          <w:p>
            <w:pPr>
              <w:spacing w:after="0" w:before="0" w:line="260"/>
            </w:pPr>
            <w:r>
              <w:rPr>
                <w:rFonts w:ascii="Georgia" w:cs="Georgia" w:eastAsia="Georgia" w:hAnsi="Georgia"/>
                <w:b w:val="false"/>
                <w:bCs w:val="false"/>
                <w:color w:val="1D1D1D"/>
                <w:sz w:val="20"/>
                <w:szCs w:val="20"/>
              </w:rPr>
              <w:t xml:space="preserve">Historical terminated appraisal. Keep cross-referenced separately from GID-TA10905 / ID4012.</w:t>
            </w:r>
          </w:p>
        </w:tc>
      </w:tr>
      <w:tr>
        <w:tc>
          <w:tcPr>
            <w:tcW w:type="dxa" w:w="2200"/>
            <w:tcBorders>
              <w:top w:val="single" w:color="D8C9CB" w:sz="4"/>
              <w:left w:val="single" w:color="D8C9CB" w:sz="4"/>
              <w:bottom w:val="single" w:color="D8C9CB" w:sz="4"/>
              <w:right w:val="single" w:color="D8C9CB" w:sz="4"/>
            </w:tcBorders>
            <w:tcMar>
              <w:top w:type="dxa" w:w="80"/>
              <w:left w:type="dxa" w:w="120"/>
              <w:bottom w:type="dxa" w:w="80"/>
              <w:right w:type="dxa" w:w="120"/>
            </w:tcMar>
          </w:tcPr>
          <w:p>
            <w:pPr>
              <w:spacing w:after="0" w:before="0" w:line="260"/>
            </w:pPr>
            <w:r>
              <w:rPr>
                <w:rFonts w:ascii="Georgia" w:cs="Georgia" w:eastAsia="Georgia" w:hAnsi="Georgia"/>
                <w:b w:val="false"/>
                <w:bCs w:val="false"/>
                <w:color w:val="1D1D1D"/>
                <w:sz w:val="20"/>
                <w:szCs w:val="20"/>
              </w:rPr>
              <w:t xml:space="preserve">Teclistamab</w:t>
            </w:r>
          </w:p>
        </w:tc>
        <w:tc>
          <w:tcPr>
            <w:tcW w:type="dxa" w:w="2200"/>
            <w:tcBorders>
              <w:top w:val="single" w:color="D8C9CB" w:sz="4"/>
              <w:left w:val="single" w:color="D8C9CB" w:sz="4"/>
              <w:bottom w:val="single" w:color="D8C9CB" w:sz="4"/>
              <w:right w:val="single" w:color="D8C9CB" w:sz="4"/>
            </w:tcBorders>
            <w:tcMar>
              <w:top w:type="dxa" w:w="80"/>
              <w:left w:type="dxa" w:w="120"/>
              <w:bottom w:type="dxa" w:w="80"/>
              <w:right w:type="dxa" w:w="120"/>
            </w:tcMar>
          </w:tcPr>
          <w:p>
            <w:pPr>
              <w:spacing w:after="0" w:before="0" w:line="260"/>
            </w:pPr>
            <w:r>
              <w:rPr>
                <w:rFonts w:ascii="Georgia" w:cs="Georgia" w:eastAsia="Georgia" w:hAnsi="Georgia"/>
                <w:b w:val="false"/>
                <w:bCs w:val="false"/>
                <w:color w:val="1D1D1D"/>
                <w:sz w:val="20"/>
                <w:szCs w:val="20"/>
              </w:rPr>
              <w:t xml:space="preserve">R/R myeloma after 3+ prior treatments</w:t>
            </w:r>
          </w:p>
        </w:tc>
        <w:tc>
          <w:tcPr>
            <w:tcW w:type="dxa" w:w="2200"/>
            <w:tcBorders>
              <w:top w:val="single" w:color="D8C9CB" w:sz="4"/>
              <w:left w:val="single" w:color="D8C9CB" w:sz="4"/>
              <w:bottom w:val="single" w:color="D8C9CB" w:sz="4"/>
              <w:right w:val="single" w:color="D8C9CB" w:sz="4"/>
            </w:tcBorders>
            <w:tcMar>
              <w:top w:type="dxa" w:w="80"/>
              <w:left w:type="dxa" w:w="120"/>
              <w:bottom w:type="dxa" w:w="80"/>
              <w:right w:type="dxa" w:w="120"/>
            </w:tcMar>
          </w:tcPr>
          <w:p>
            <w:pPr>
              <w:spacing w:after="0" w:before="0" w:line="260"/>
            </w:pPr>
            <w:r>
              <w:rPr>
                <w:rFonts w:ascii="Georgia" w:cs="Georgia" w:eastAsia="Georgia" w:hAnsi="Georgia"/>
                <w:b w:val="false"/>
                <w:bCs w:val="false"/>
                <w:color w:val="1D1D1D"/>
                <w:sz w:val="20"/>
                <w:szCs w:val="20"/>
              </w:rPr>
              <w:t xml:space="preserve">Recommended: TA1015 (13 November 2024). Replaces TA869.</w:t>
            </w:r>
          </w:p>
        </w:tc>
        <w:tc>
          <w:tcPr>
            <w:tcW w:type="dxa" w:w="2426"/>
            <w:tcBorders>
              <w:top w:val="single" w:color="D8C9CB" w:sz="4"/>
              <w:left w:val="single" w:color="D8C9CB" w:sz="4"/>
              <w:bottom w:val="single" w:color="D8C9CB" w:sz="4"/>
              <w:right w:val="single" w:color="D8C9CB" w:sz="4"/>
            </w:tcBorders>
            <w:tcMar>
              <w:top w:type="dxa" w:w="80"/>
              <w:left w:type="dxa" w:w="120"/>
              <w:bottom w:type="dxa" w:w="80"/>
              <w:right w:type="dxa" w:w="120"/>
            </w:tcMar>
          </w:tcPr>
          <w:p>
            <w:pPr>
              <w:spacing w:after="0" w:before="0" w:line="260"/>
            </w:pPr>
            <w:r>
              <w:rPr>
                <w:rFonts w:ascii="Georgia" w:cs="Georgia" w:eastAsia="Georgia" w:hAnsi="Georgia"/>
                <w:b w:val="false"/>
                <w:bCs w:val="false"/>
                <w:color w:val="1D1D1D"/>
                <w:sz w:val="20"/>
                <w:szCs w:val="20"/>
              </w:rPr>
              <w:t xml:space="preserve">NICE-recommended option after 3+ prior lines (IMiD, PI, anti-CD38), subject to NICE wording and commercial arrangement.</w:t>
            </w:r>
          </w:p>
        </w:tc>
      </w:tr>
      <w:tr>
        <w:tc>
          <w:tcPr>
            <w:tcW w:type="dxa" w:w="2200"/>
            <w:tcBorders>
              <w:top w:val="single" w:color="D8C9CB" w:sz="4"/>
              <w:left w:val="single" w:color="D8C9CB" w:sz="4"/>
              <w:bottom w:val="single" w:color="D8C9CB" w:sz="4"/>
              <w:right w:val="single" w:color="D8C9CB" w:sz="4"/>
            </w:tcBorders>
            <w:tcMar>
              <w:top w:type="dxa" w:w="80"/>
              <w:left w:type="dxa" w:w="120"/>
              <w:bottom w:type="dxa" w:w="80"/>
              <w:right w:type="dxa" w:w="120"/>
            </w:tcMar>
          </w:tcPr>
          <w:p>
            <w:pPr>
              <w:spacing w:after="0" w:before="0" w:line="260"/>
            </w:pPr>
            <w:r>
              <w:rPr>
                <w:rFonts w:ascii="Georgia" w:cs="Georgia" w:eastAsia="Georgia" w:hAnsi="Georgia"/>
                <w:b w:val="false"/>
                <w:bCs w:val="false"/>
                <w:color w:val="1D1D1D"/>
                <w:sz w:val="20"/>
                <w:szCs w:val="20"/>
              </w:rPr>
              <w:t xml:space="preserve">Elranatamab</w:t>
            </w:r>
          </w:p>
        </w:tc>
        <w:tc>
          <w:tcPr>
            <w:tcW w:type="dxa" w:w="2200"/>
            <w:tcBorders>
              <w:top w:val="single" w:color="D8C9CB" w:sz="4"/>
              <w:left w:val="single" w:color="D8C9CB" w:sz="4"/>
              <w:bottom w:val="single" w:color="D8C9CB" w:sz="4"/>
              <w:right w:val="single" w:color="D8C9CB" w:sz="4"/>
            </w:tcBorders>
            <w:tcMar>
              <w:top w:type="dxa" w:w="80"/>
              <w:left w:type="dxa" w:w="120"/>
              <w:bottom w:type="dxa" w:w="80"/>
              <w:right w:type="dxa" w:w="120"/>
            </w:tcMar>
          </w:tcPr>
          <w:p>
            <w:pPr>
              <w:spacing w:after="0" w:before="0" w:line="260"/>
            </w:pPr>
            <w:r>
              <w:rPr>
                <w:rFonts w:ascii="Georgia" w:cs="Georgia" w:eastAsia="Georgia" w:hAnsi="Georgia"/>
                <w:b w:val="false"/>
                <w:bCs w:val="false"/>
                <w:color w:val="1D1D1D"/>
                <w:sz w:val="20"/>
                <w:szCs w:val="20"/>
              </w:rPr>
              <w:t xml:space="preserve">R/R myeloma after 3+ prior treatments</w:t>
            </w:r>
          </w:p>
        </w:tc>
        <w:tc>
          <w:tcPr>
            <w:tcW w:type="dxa" w:w="2200"/>
            <w:tcBorders>
              <w:top w:val="single" w:color="D8C9CB" w:sz="4"/>
              <w:left w:val="single" w:color="D8C9CB" w:sz="4"/>
              <w:bottom w:val="single" w:color="D8C9CB" w:sz="4"/>
              <w:right w:val="single" w:color="D8C9CB" w:sz="4"/>
            </w:tcBorders>
            <w:tcMar>
              <w:top w:type="dxa" w:w="80"/>
              <w:left w:type="dxa" w:w="120"/>
              <w:bottom w:type="dxa" w:w="80"/>
              <w:right w:type="dxa" w:w="120"/>
            </w:tcMar>
          </w:tcPr>
          <w:p>
            <w:pPr>
              <w:spacing w:after="0" w:before="0" w:line="260"/>
            </w:pPr>
            <w:r>
              <w:rPr>
                <w:rFonts w:ascii="Georgia" w:cs="Georgia" w:eastAsia="Georgia" w:hAnsi="Georgia"/>
                <w:b w:val="false"/>
                <w:bCs w:val="false"/>
                <w:color w:val="1D1D1D"/>
                <w:sz w:val="20"/>
                <w:szCs w:val="20"/>
              </w:rPr>
              <w:t xml:space="preserve">Managed access: TA1023 (11 December 2024). Evidence collection arrangement.</w:t>
            </w:r>
          </w:p>
        </w:tc>
        <w:tc>
          <w:tcPr>
            <w:tcW w:type="dxa" w:w="2426"/>
            <w:tcBorders>
              <w:top w:val="single" w:color="D8C9CB" w:sz="4"/>
              <w:left w:val="single" w:color="D8C9CB" w:sz="4"/>
              <w:bottom w:val="single" w:color="D8C9CB" w:sz="4"/>
              <w:right w:val="single" w:color="D8C9CB" w:sz="4"/>
            </w:tcBorders>
            <w:tcMar>
              <w:top w:type="dxa" w:w="80"/>
              <w:left w:type="dxa" w:w="120"/>
              <w:bottom w:type="dxa" w:w="80"/>
              <w:right w:type="dxa" w:w="120"/>
            </w:tcMar>
          </w:tcPr>
          <w:p>
            <w:pPr>
              <w:spacing w:after="0" w:before="0" w:line="260"/>
            </w:pPr>
            <w:r>
              <w:rPr>
                <w:rFonts w:ascii="Georgia" w:cs="Georgia" w:eastAsia="Georgia" w:hAnsi="Georgia"/>
                <w:b w:val="false"/>
                <w:bCs w:val="false"/>
                <w:color w:val="1D1D1D"/>
                <w:sz w:val="20"/>
                <w:szCs w:val="20"/>
              </w:rPr>
              <w:t xml:space="preserve">Managed-access BCMA bispecific. Evidence being collected; NICE will update guidance after further evidence review.</w:t>
            </w:r>
          </w:p>
        </w:tc>
      </w:tr>
      <w:tr>
        <w:tc>
          <w:tcPr>
            <w:tcW w:type="dxa" w:w="2200"/>
            <w:tcBorders>
              <w:top w:val="single" w:color="D8C9CB" w:sz="4"/>
              <w:left w:val="single" w:color="D8C9CB" w:sz="4"/>
              <w:bottom w:val="single" w:color="D8C9CB" w:sz="4"/>
              <w:right w:val="single" w:color="D8C9CB" w:sz="4"/>
            </w:tcBorders>
            <w:tcMar>
              <w:top w:type="dxa" w:w="80"/>
              <w:left w:type="dxa" w:w="120"/>
              <w:bottom w:type="dxa" w:w="80"/>
              <w:right w:type="dxa" w:w="120"/>
            </w:tcMar>
          </w:tcPr>
          <w:p>
            <w:pPr>
              <w:spacing w:after="0" w:before="0" w:line="260"/>
            </w:pPr>
            <w:r>
              <w:rPr>
                <w:rFonts w:ascii="Georgia" w:cs="Georgia" w:eastAsia="Georgia" w:hAnsi="Georgia"/>
                <w:b w:val="false"/>
                <w:bCs w:val="false"/>
                <w:color w:val="1D1D1D"/>
                <w:sz w:val="20"/>
                <w:szCs w:val="20"/>
              </w:rPr>
              <w:t xml:space="preserve">Talquetamab</w:t>
            </w:r>
          </w:p>
        </w:tc>
        <w:tc>
          <w:tcPr>
            <w:tcW w:type="dxa" w:w="2200"/>
            <w:tcBorders>
              <w:top w:val="single" w:color="D8C9CB" w:sz="4"/>
              <w:left w:val="single" w:color="D8C9CB" w:sz="4"/>
              <w:bottom w:val="single" w:color="D8C9CB" w:sz="4"/>
              <w:right w:val="single" w:color="D8C9CB" w:sz="4"/>
            </w:tcBorders>
            <w:tcMar>
              <w:top w:type="dxa" w:w="80"/>
              <w:left w:type="dxa" w:w="120"/>
              <w:bottom w:type="dxa" w:w="80"/>
              <w:right w:type="dxa" w:w="120"/>
            </w:tcMar>
          </w:tcPr>
          <w:p>
            <w:pPr>
              <w:spacing w:after="0" w:before="0" w:line="260"/>
            </w:pPr>
            <w:r>
              <w:rPr>
                <w:rFonts w:ascii="Georgia" w:cs="Georgia" w:eastAsia="Georgia" w:hAnsi="Georgia"/>
                <w:b w:val="false"/>
                <w:bCs w:val="false"/>
                <w:color w:val="1D1D1D"/>
                <w:sz w:val="20"/>
                <w:szCs w:val="20"/>
              </w:rPr>
              <w:t xml:space="preserve">R/R myeloma after 3+ prior treatments</w:t>
            </w:r>
          </w:p>
        </w:tc>
        <w:tc>
          <w:tcPr>
            <w:tcW w:type="dxa" w:w="2200"/>
            <w:tcBorders>
              <w:top w:val="single" w:color="D8C9CB" w:sz="4"/>
              <w:left w:val="single" w:color="D8C9CB" w:sz="4"/>
              <w:bottom w:val="single" w:color="D8C9CB" w:sz="4"/>
              <w:right w:val="single" w:color="D8C9CB" w:sz="4"/>
            </w:tcBorders>
            <w:tcMar>
              <w:top w:type="dxa" w:w="80"/>
              <w:left w:type="dxa" w:w="120"/>
              <w:bottom w:type="dxa" w:w="80"/>
              <w:right w:type="dxa" w:w="120"/>
            </w:tcMar>
          </w:tcPr>
          <w:p>
            <w:pPr>
              <w:spacing w:after="0" w:before="0" w:line="260"/>
            </w:pPr>
            <w:r>
              <w:rPr>
                <w:rFonts w:ascii="Georgia" w:cs="Georgia" w:eastAsia="Georgia" w:hAnsi="Georgia"/>
                <w:b w:val="false"/>
                <w:bCs w:val="false"/>
                <w:color w:val="1D1D1D"/>
                <w:sz w:val="20"/>
                <w:szCs w:val="20"/>
              </w:rPr>
              <w:t xml:space="preserve">Recommended: TA1114 (3 December 2025). Routine NHS option within NICE criteria.</w:t>
            </w:r>
          </w:p>
        </w:tc>
        <w:tc>
          <w:tcPr>
            <w:tcW w:type="dxa" w:w="2426"/>
            <w:tcBorders>
              <w:top w:val="single" w:color="D8C9CB" w:sz="4"/>
              <w:left w:val="single" w:color="D8C9CB" w:sz="4"/>
              <w:bottom w:val="single" w:color="D8C9CB" w:sz="4"/>
              <w:right w:val="single" w:color="D8C9CB" w:sz="4"/>
            </w:tcBorders>
            <w:tcMar>
              <w:top w:type="dxa" w:w="80"/>
              <w:left w:type="dxa" w:w="120"/>
              <w:bottom w:type="dxa" w:w="80"/>
              <w:right w:type="dxa" w:w="120"/>
            </w:tcMar>
          </w:tcPr>
          <w:p>
            <w:pPr>
              <w:spacing w:after="0" w:before="0" w:line="260"/>
            </w:pPr>
            <w:r>
              <w:rPr>
                <w:rFonts w:ascii="Georgia" w:cs="Georgia" w:eastAsia="Georgia" w:hAnsi="Georgia"/>
                <w:b w:val="false"/>
                <w:bCs w:val="false"/>
                <w:color w:val="1D1D1D"/>
                <w:sz w:val="20"/>
                <w:szCs w:val="20"/>
              </w:rPr>
              <w:t xml:space="preserve">GPRC5D bispecific after 3+ prior lines (IMiD, PI, anti-CD38), where disease has progressed on last treatment and commercial arrangement applies.</w:t>
            </w:r>
          </w:p>
        </w:tc>
      </w:tr>
      <w:tr>
        <w:tc>
          <w:tcPr>
            <w:tcW w:type="dxa" w:w="2200"/>
            <w:tcBorders>
              <w:top w:val="single" w:color="D8C9CB" w:sz="4"/>
              <w:left w:val="single" w:color="D8C9CB" w:sz="4"/>
              <w:bottom w:val="single" w:color="D8C9CB" w:sz="4"/>
              <w:right w:val="single" w:color="D8C9CB" w:sz="4"/>
            </w:tcBorders>
            <w:tcMar>
              <w:top w:type="dxa" w:w="80"/>
              <w:left w:type="dxa" w:w="120"/>
              <w:bottom w:type="dxa" w:w="80"/>
              <w:right w:type="dxa" w:w="120"/>
            </w:tcMar>
          </w:tcPr>
          <w:p>
            <w:pPr>
              <w:spacing w:after="0" w:before="0" w:line="260"/>
            </w:pPr>
            <w:r>
              <w:rPr>
                <w:rFonts w:ascii="Georgia" w:cs="Georgia" w:eastAsia="Georgia" w:hAnsi="Georgia"/>
                <w:b w:val="false"/>
                <w:bCs w:val="false"/>
                <w:color w:val="1D1D1D"/>
                <w:sz w:val="20"/>
                <w:szCs w:val="20"/>
              </w:rPr>
              <w:t xml:space="preserve">Belantamab mafodotin + Pd (BPd, DREAMM-8)</w:t>
            </w:r>
          </w:p>
        </w:tc>
        <w:tc>
          <w:tcPr>
            <w:tcW w:type="dxa" w:w="2200"/>
            <w:tcBorders>
              <w:top w:val="single" w:color="D8C9CB" w:sz="4"/>
              <w:left w:val="single" w:color="D8C9CB" w:sz="4"/>
              <w:bottom w:val="single" w:color="D8C9CB" w:sz="4"/>
              <w:right w:val="single" w:color="D8C9CB" w:sz="4"/>
            </w:tcBorders>
            <w:tcMar>
              <w:top w:type="dxa" w:w="80"/>
              <w:left w:type="dxa" w:w="120"/>
              <w:bottom w:type="dxa" w:w="80"/>
              <w:right w:type="dxa" w:w="120"/>
            </w:tcMar>
          </w:tcPr>
          <w:p>
            <w:pPr>
              <w:spacing w:after="0" w:before="0" w:line="260"/>
            </w:pPr>
            <w:r>
              <w:rPr>
                <w:rFonts w:ascii="Georgia" w:cs="Georgia" w:eastAsia="Georgia" w:hAnsi="Georgia"/>
                <w:b w:val="false"/>
                <w:bCs w:val="false"/>
                <w:color w:val="1D1D1D"/>
                <w:sz w:val="20"/>
                <w:szCs w:val="20"/>
              </w:rPr>
              <w:t xml:space="preserve">Previously treated myeloma after 1 prior lenalidomide-containing line if Len-intolerant or Len-refractory</w:t>
            </w:r>
          </w:p>
        </w:tc>
        <w:tc>
          <w:tcPr>
            <w:tcW w:type="dxa" w:w="2200"/>
            <w:tcBorders>
              <w:top w:val="single" w:color="D8C9CB" w:sz="4"/>
              <w:left w:val="single" w:color="D8C9CB" w:sz="4"/>
              <w:bottom w:val="single" w:color="D8C9CB" w:sz="4"/>
              <w:right w:val="single" w:color="D8C9CB" w:sz="4"/>
            </w:tcBorders>
            <w:tcMar>
              <w:top w:type="dxa" w:w="80"/>
              <w:left w:type="dxa" w:w="120"/>
              <w:bottom w:type="dxa" w:w="80"/>
              <w:right w:type="dxa" w:w="120"/>
            </w:tcMar>
          </w:tcPr>
          <w:p>
            <w:pPr>
              <w:spacing w:after="0" w:before="0" w:line="260"/>
            </w:pPr>
            <w:r>
              <w:rPr>
                <w:rFonts w:ascii="Georgia" w:cs="Georgia" w:eastAsia="Georgia" w:hAnsi="Georgia"/>
                <w:b w:val="false"/>
                <w:bCs w:val="false"/>
                <w:color w:val="1D1D1D"/>
                <w:sz w:val="20"/>
                <w:szCs w:val="20"/>
              </w:rPr>
              <w:t xml:space="preserve">Recommended: TA1133 (18 February 2026).</w:t>
            </w:r>
          </w:p>
        </w:tc>
        <w:tc>
          <w:tcPr>
            <w:tcW w:type="dxa" w:w="2426"/>
            <w:tcBorders>
              <w:top w:val="single" w:color="D8C9CB" w:sz="4"/>
              <w:left w:val="single" w:color="D8C9CB" w:sz="4"/>
              <w:bottom w:val="single" w:color="D8C9CB" w:sz="4"/>
              <w:right w:val="single" w:color="D8C9CB" w:sz="4"/>
            </w:tcBorders>
            <w:tcMar>
              <w:top w:type="dxa" w:w="80"/>
              <w:left w:type="dxa" w:w="120"/>
              <w:bottom w:type="dxa" w:w="80"/>
              <w:right w:type="dxa" w:w="120"/>
            </w:tcMar>
          </w:tcPr>
          <w:p>
            <w:pPr>
              <w:spacing w:after="0" w:before="0" w:line="260"/>
            </w:pPr>
            <w:r>
              <w:rPr>
                <w:rFonts w:ascii="Georgia" w:cs="Georgia" w:eastAsia="Georgia" w:hAnsi="Georgia"/>
                <w:b w:val="false"/>
                <w:bCs w:val="false"/>
                <w:color w:val="1D1D1D"/>
                <w:sz w:val="20"/>
                <w:szCs w:val="20"/>
              </w:rPr>
              <w:t xml:space="preserve">Option after 1 prior Len-containing line if lenalidomide is not tolerated or disease is lenalidomide-refractory. Not a generic penta-refractory option. Verify ocular monitoring, commercial arrangement, Blueteq and local pathway. Mandatory pre-dose ophthalmology assessment.</w:t>
            </w:r>
          </w:p>
        </w:tc>
      </w:tr>
      <w:tr>
        <w:tc>
          <w:tcPr>
            <w:tcW w:type="dxa" w:w="2200"/>
            <w:tcBorders>
              <w:top w:val="single" w:color="D8C9CB" w:sz="4"/>
              <w:left w:val="single" w:color="D8C9CB" w:sz="4"/>
              <w:bottom w:val="single" w:color="D8C9CB" w:sz="4"/>
              <w:right w:val="single" w:color="D8C9CB" w:sz="4"/>
            </w:tcBorders>
            <w:tcMar>
              <w:top w:type="dxa" w:w="80"/>
              <w:left w:type="dxa" w:w="120"/>
              <w:bottom w:type="dxa" w:w="80"/>
              <w:right w:type="dxa" w:w="120"/>
            </w:tcMar>
          </w:tcPr>
          <w:p>
            <w:pPr>
              <w:spacing w:after="0" w:before="0" w:line="260"/>
            </w:pPr>
            <w:r>
              <w:rPr>
                <w:rFonts w:ascii="Georgia" w:cs="Georgia" w:eastAsia="Georgia" w:hAnsi="Georgia"/>
                <w:b w:val="false"/>
                <w:bCs w:val="false"/>
                <w:color w:val="1D1D1D"/>
                <w:sz w:val="20"/>
                <w:szCs w:val="20"/>
              </w:rPr>
              <w:t xml:space="preserve">Venetoclax for t(11;14) myeloma</w:t>
            </w:r>
          </w:p>
        </w:tc>
        <w:tc>
          <w:tcPr>
            <w:tcW w:type="dxa" w:w="2200"/>
            <w:tcBorders>
              <w:top w:val="single" w:color="D8C9CB" w:sz="4"/>
              <w:left w:val="single" w:color="D8C9CB" w:sz="4"/>
              <w:bottom w:val="single" w:color="D8C9CB" w:sz="4"/>
              <w:right w:val="single" w:color="D8C9CB" w:sz="4"/>
            </w:tcBorders>
            <w:tcMar>
              <w:top w:type="dxa" w:w="80"/>
              <w:left w:type="dxa" w:w="120"/>
              <w:bottom w:type="dxa" w:w="80"/>
              <w:right w:type="dxa" w:w="120"/>
            </w:tcMar>
          </w:tcPr>
          <w:p>
            <w:pPr>
              <w:spacing w:after="0" w:before="0" w:line="260"/>
            </w:pPr>
            <w:r>
              <w:rPr>
                <w:rFonts w:ascii="Georgia" w:cs="Georgia" w:eastAsia="Georgia" w:hAnsi="Georgia"/>
                <w:b w:val="false"/>
                <w:bCs w:val="false"/>
                <w:color w:val="1D1D1D"/>
                <w:sz w:val="20"/>
                <w:szCs w:val="20"/>
              </w:rPr>
              <w:t xml:space="preserve">Molecularly selected R/R disease</w:t>
            </w:r>
          </w:p>
        </w:tc>
        <w:tc>
          <w:tcPr>
            <w:tcW w:type="dxa" w:w="2200"/>
            <w:tcBorders>
              <w:top w:val="single" w:color="D8C9CB" w:sz="4"/>
              <w:left w:val="single" w:color="D8C9CB" w:sz="4"/>
              <w:bottom w:val="single" w:color="D8C9CB" w:sz="4"/>
              <w:right w:val="single" w:color="D8C9CB" w:sz="4"/>
            </w:tcBorders>
            <w:tcMar>
              <w:top w:type="dxa" w:w="80"/>
              <w:left w:type="dxa" w:w="120"/>
              <w:bottom w:type="dxa" w:w="80"/>
              <w:right w:type="dxa" w:w="120"/>
            </w:tcMar>
          </w:tcPr>
          <w:p>
            <w:pPr>
              <w:spacing w:after="0" w:before="0" w:line="260"/>
            </w:pPr>
            <w:r>
              <w:rPr>
                <w:rFonts w:ascii="Georgia" w:cs="Georgia" w:eastAsia="Georgia" w:hAnsi="Georgia"/>
                <w:b w:val="false"/>
                <w:bCs w:val="false"/>
                <w:color w:val="1D1D1D"/>
                <w:sz w:val="20"/>
                <w:szCs w:val="20"/>
              </w:rPr>
              <w:t xml:space="preserve">Not NICE-commissioned for myeloma. Off-label / specialist-centre / trial-only.</w:t>
            </w:r>
          </w:p>
        </w:tc>
        <w:tc>
          <w:tcPr>
            <w:tcW w:type="dxa" w:w="2426"/>
            <w:tcBorders>
              <w:top w:val="single" w:color="D8C9CB" w:sz="4"/>
              <w:left w:val="single" w:color="D8C9CB" w:sz="4"/>
              <w:bottom w:val="single" w:color="D8C9CB" w:sz="4"/>
              <w:right w:val="single" w:color="D8C9CB" w:sz="4"/>
            </w:tcBorders>
            <w:tcMar>
              <w:top w:type="dxa" w:w="80"/>
              <w:left w:type="dxa" w:w="120"/>
              <w:bottom w:type="dxa" w:w="80"/>
              <w:right w:type="dxa" w:w="120"/>
            </w:tcMar>
          </w:tcPr>
          <w:p>
            <w:pPr>
              <w:spacing w:after="0" w:before="0" w:line="260"/>
            </w:pPr>
            <w:r>
              <w:rPr>
                <w:rFonts w:ascii="Georgia" w:cs="Georgia" w:eastAsia="Georgia" w:hAnsi="Georgia"/>
                <w:b w:val="false"/>
                <w:bCs w:val="false"/>
                <w:color w:val="1D1D1D"/>
                <w:sz w:val="20"/>
                <w:szCs w:val="20"/>
              </w:rPr>
              <w:t xml:space="preserve">Mention only as biomarker-directed investigational or off-label context. Do not present as a routine UK option.</w:t>
            </w:r>
          </w:p>
        </w:tc>
      </w:tr>
    </w:tbl>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D8C9CB" w:sz="4"/>
              <w:left w:val="single" w:color="C87A00" w:sz="16"/>
              <w:bottom w:val="single" w:color="D8C9CB" w:sz="4"/>
              <w:right w:val="single" w:color="D8C9CB" w:sz="4"/>
            </w:tcBorders>
            <w:shd w:fill="FFF4E0" w:val="clear"/>
            <w:tcMar>
              <w:top w:type="dxa" w:w="140"/>
              <w:left w:type="dxa" w:w="200"/>
              <w:bottom w:type="dxa" w:w="140"/>
              <w:right w:type="dxa" w:w="160"/>
            </w:tcMar>
          </w:tcPr>
          <w:p>
            <w:pPr>
              <w:spacing w:after="80" w:before="0"/>
            </w:pPr>
            <w:r>
              <w:rPr>
                <w:rFonts w:ascii="Georgia" w:cs="Georgia" w:eastAsia="Georgia" w:hAnsi="Georgia"/>
                <w:b/>
                <w:bCs/>
                <w:color w:val="C87A00"/>
                <w:sz w:val="22"/>
                <w:szCs w:val="22"/>
              </w:rPr>
              <w:t xml:space="preserve">Verification requirements before any clinical use</w:t>
            </w:r>
          </w:p>
          <w:p>
            <w:pPr>
              <w:spacing w:after="0" w:before="0" w:line="280"/>
            </w:pPr>
            <w:r>
              <w:rPr>
                <w:rFonts w:ascii="Georgia" w:cs="Georgia" w:eastAsia="Georgia" w:hAnsi="Georgia"/>
                <w:color w:val="1D1D1D"/>
                <w:sz w:val="22"/>
                <w:szCs w:val="22"/>
              </w:rPr>
              <w:t xml:space="preserve">NICE horizon-scanning section checked against live NICE pages immediately before deployment. Distinction confirmed between currently recommended, managed-access, in-development, awaiting-development, discontinued and terminated appraisals. D-VRd identifier verified as GID-TA10726 / ID3843 unless NICE has since issued final TA guidance with a new TA number. Cilta-cel TA889 (terminated) and GID-TA10905 / ID4012 (in development) kept separate at every point in this document. Ixazomib maintenance GID-TA10843 labelled discontinued, not in development, at every point in this document.</w:t>
            </w:r>
          </w:p>
        </w:tc>
      </w:tr>
    </w:tbl>
    <w:p>
      <w:pPr>
        <w:pStyle w:val="Heading1"/>
        <w:spacing w:after="160" w:before="360"/>
      </w:pPr>
      <w:r>
        <w:rPr>
          <w:rFonts w:ascii="Georgia" w:cs="Georgia" w:eastAsia="Georgia" w:hAnsi="Georgia"/>
          <w:b/>
          <w:bCs/>
          <w:color w:val="7A1F2B"/>
          <w:sz w:val="30"/>
          <w:szCs w:val="30"/>
        </w:rPr>
        <w:t xml:space="preserve">2. </w:t>
      </w:r>
      <w:r>
        <w:rPr>
          <w:rFonts w:ascii="Georgia" w:cs="Georgia" w:eastAsia="Georgia" w:hAnsi="Georgia"/>
          <w:b/>
          <w:bCs/>
          <w:color w:val="7A1F2B"/>
          <w:sz w:val="30"/>
          <w:szCs w:val="30"/>
        </w:rPr>
        <w:t xml:space="preserve">Clinical Overview and Epidemiology</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1E5D8C" w:sz="4"/>
              <w:left w:val="single" w:color="1E5D8C" w:sz="4"/>
              <w:bottom w:val="single" w:color="1E5D8C" w:sz="4"/>
              <w:right w:val="single" w:color="1E5D8C" w:sz="4"/>
            </w:tcBorders>
            <w:shd w:fill="E7F0F7" w:val="clear"/>
            <w:tcMar>
              <w:top w:type="dxa" w:w="140"/>
              <w:left w:type="dxa" w:w="160"/>
              <w:bottom w:type="dxa" w:w="140"/>
              <w:right w:type="dxa" w:w="160"/>
            </w:tcMar>
          </w:tcPr>
          <w:p>
            <w:pPr>
              <w:spacing w:after="80" w:before="0"/>
            </w:pPr>
            <w:r>
              <w:rPr>
                <w:rFonts w:ascii="Georgia" w:cs="Georgia" w:eastAsia="Georgia" w:hAnsi="Georgia"/>
                <w:b/>
                <w:bCs/>
                <w:color w:val="1E5D8C"/>
                <w:sz w:val="22"/>
                <w:szCs w:val="22"/>
              </w:rPr>
              <w:t xml:space="preserve">Clinical Vignette</w:t>
            </w:r>
          </w:p>
          <w:p>
            <w:pPr>
              <w:spacing w:after="0" w:before="0" w:line="280"/>
            </w:pPr>
            <w:r>
              <w:rPr>
                <w:rFonts w:ascii="Georgia" w:cs="Georgia" w:eastAsia="Georgia" w:hAnsi="Georgia"/>
                <w:color w:val="1D1D1D"/>
                <w:sz w:val="22"/>
                <w:szCs w:val="22"/>
              </w:rPr>
              <w:t xml:space="preserve">A 67-year-old woman is referred by her GP with a four-month history of progressive lumbar back pain, fatigue and a 5 kg unintentional weight loss. Investigations show Hb 96 g/L, creatinine 168 micromol/L, corrected calcium 2.78 mmol/L, total protein 102 g/L, albumin 32 g/L. Serum electrophoresis shows an IgG-kappa M-protein of 42 g/L. Serum free light chains show involved kappa 380 mg/L, uninvolved lambda 4 mg/L, ratio 95. She asks whether she has myeloma and what happens next.</w:t>
            </w:r>
          </w:p>
        </w:tc>
      </w:tr>
    </w:tbl>
    <w:p>
      <w:pPr>
        <w:spacing w:after="80" w:before="80" w:line="300"/>
        <w:jc w:val="left"/>
      </w:pPr>
      <w:r>
        <w:rPr>
          <w:rFonts w:ascii="Georgia" w:cs="Georgia" w:eastAsia="Georgia" w:hAnsi="Georgia"/>
          <w:b w:val="false"/>
          <w:bCs w:val="false"/>
          <w:i w:val="false"/>
          <w:iCs w:val="false"/>
          <w:color w:val="1D1D1D"/>
          <w:sz w:val="22"/>
          <w:szCs w:val="22"/>
        </w:rPr>
        <w:t xml:space="preserve">Plasma cell disorders form a biological continuum from monoclonal gammopathy of undetermined significance (MGUS), through smouldering multiple myeloma (SMM), to symptomatic multiple myeloma (MM), plasma cell leukaemia (PCL) and related lymphoplasmacytic malignancies. The same clonal genetic events are detectable across these states, with progressive acquisition of secondary copy-number changes and single-nucleotide variants as disease evolves.</w:t>
      </w:r>
    </w:p>
    <w:p>
      <w:pPr>
        <w:spacing w:after="80" w:before="80" w:line="300"/>
        <w:jc w:val="left"/>
      </w:pPr>
      <w:r>
        <w:rPr>
          <w:rFonts w:ascii="Georgia" w:cs="Georgia" w:eastAsia="Georgia" w:hAnsi="Georgia"/>
          <w:b w:val="false"/>
          <w:bCs w:val="false"/>
          <w:i w:val="false"/>
          <w:iCs w:val="false"/>
          <w:color w:val="1D1D1D"/>
          <w:sz w:val="22"/>
          <w:szCs w:val="22"/>
        </w:rPr>
        <w:t xml:space="preserve">Myeloma accounts for approximately 2 per cent of all cancers in the UK and is the second most common haematological malignancy. Median age at diagnosis is 70 years, with a slight male predominance. Five-year survival has more than doubled over the past two decades with sequential approval of proteasome inhibitors, immunomodulatory agents, anti-CD38 monoclonal antibodies and, most recently, T-cell-redirecting therapies. Cure remains uncommon outside selected high-risk transplant strategies and clinical trials, so the standard framing is one of sustained disease control rather than eradication.</w:t>
      </w:r>
    </w:p>
    <w:p>
      <w:pPr>
        <w:spacing w:after="80" w:before="80" w:line="300"/>
        <w:jc w:val="left"/>
      </w:pPr>
      <w:r>
        <w:rPr>
          <w:rFonts w:ascii="Georgia" w:cs="Georgia" w:eastAsia="Georgia" w:hAnsi="Georgia"/>
          <w:b w:val="false"/>
          <w:bCs w:val="false"/>
          <w:i w:val="false"/>
          <w:iCs w:val="false"/>
          <w:color w:val="1D1D1D"/>
          <w:sz w:val="22"/>
          <w:szCs w:val="22"/>
        </w:rPr>
        <w:t xml:space="preserve">Two parallel concepts now sit alongside the traditional diagnostic boundaries. Monoclonal gammopathy of clinical significance (MGCS) captures patients in whom a small clone causes organ injury without meeting criteria for haematological malignancy. Monoclonal gammopathy of renal significance (MGRS) is the renal subset of MGCS and is addressed in its own section.</w:t>
      </w:r>
    </w:p>
    <w:p>
      <w:pPr>
        <w:spacing w:after="80" w:before="180"/>
      </w:pPr>
      <w:r>
        <w:rPr>
          <w:rFonts w:ascii="Georgia" w:cs="Georgia" w:eastAsia="Georgia" w:hAnsi="Georgia"/>
          <w:b/>
          <w:bCs/>
          <w:color w:val="1D1D1D"/>
          <w:sz w:val="24"/>
          <w:szCs w:val="24"/>
        </w:rPr>
        <w:t xml:space="preserve">Defining the entities (IMWG 2014)</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800"/>
        <w:gridCol w:w="2400"/>
        <w:gridCol w:w="2400"/>
        <w:gridCol w:w="2426"/>
      </w:tblGrid>
      <w:tr>
        <w:trPr>
          <w:tblHeader/>
        </w:trPr>
        <w:tc>
          <w:tcPr>
            <w:tcW w:type="dxa" w:w="1800"/>
            <w:tcBorders>
              <w:top w:val="single" w:color="D8C9CB" w:sz="4"/>
              <w:left w:val="single" w:color="D8C9CB" w:sz="4"/>
              <w:bottom w:val="single" w:color="D8C9CB" w:sz="4"/>
              <w:right w:val="single" w:color="D8C9CB" w:sz="4"/>
            </w:tcBorders>
            <w:shd w:fill="F5E9EB" w:val="clear"/>
            <w:tcMar>
              <w:top w:type="dxa" w:w="80"/>
              <w:left w:type="dxa" w:w="120"/>
              <w:bottom w:type="dxa" w:w="80"/>
              <w:right w:type="dxa" w:w="120"/>
            </w:tcMar>
          </w:tcPr>
          <w:p>
            <w:pPr>
              <w:spacing w:after="0" w:before="0" w:line="260"/>
            </w:pPr>
            <w:r>
              <w:rPr>
                <w:rFonts w:ascii="Georgia" w:cs="Georgia" w:eastAsia="Georgia" w:hAnsi="Georgia"/>
                <w:b/>
                <w:bCs/>
                <w:color w:val="7A1F2B"/>
                <w:sz w:val="20"/>
                <w:szCs w:val="20"/>
              </w:rPr>
              <w:t xml:space="preserve">Entity</w:t>
            </w:r>
          </w:p>
        </w:tc>
        <w:tc>
          <w:tcPr>
            <w:tcW w:type="dxa" w:w="2400"/>
            <w:tcBorders>
              <w:top w:val="single" w:color="D8C9CB" w:sz="4"/>
              <w:left w:val="single" w:color="D8C9CB" w:sz="4"/>
              <w:bottom w:val="single" w:color="D8C9CB" w:sz="4"/>
              <w:right w:val="single" w:color="D8C9CB" w:sz="4"/>
            </w:tcBorders>
            <w:shd w:fill="F5E9EB" w:val="clear"/>
            <w:tcMar>
              <w:top w:type="dxa" w:w="80"/>
              <w:left w:type="dxa" w:w="120"/>
              <w:bottom w:type="dxa" w:w="80"/>
              <w:right w:type="dxa" w:w="120"/>
            </w:tcMar>
          </w:tcPr>
          <w:p>
            <w:pPr>
              <w:spacing w:after="0" w:before="0" w:line="260"/>
            </w:pPr>
            <w:r>
              <w:rPr>
                <w:rFonts w:ascii="Georgia" w:cs="Georgia" w:eastAsia="Georgia" w:hAnsi="Georgia"/>
                <w:b/>
                <w:bCs/>
                <w:color w:val="7A1F2B"/>
                <w:sz w:val="20"/>
                <w:szCs w:val="20"/>
              </w:rPr>
              <w:t xml:space="preserve">Serum M-protein</w:t>
            </w:r>
          </w:p>
        </w:tc>
        <w:tc>
          <w:tcPr>
            <w:tcW w:type="dxa" w:w="2400"/>
            <w:tcBorders>
              <w:top w:val="single" w:color="D8C9CB" w:sz="4"/>
              <w:left w:val="single" w:color="D8C9CB" w:sz="4"/>
              <w:bottom w:val="single" w:color="D8C9CB" w:sz="4"/>
              <w:right w:val="single" w:color="D8C9CB" w:sz="4"/>
            </w:tcBorders>
            <w:shd w:fill="F5E9EB" w:val="clear"/>
            <w:tcMar>
              <w:top w:type="dxa" w:w="80"/>
              <w:left w:type="dxa" w:w="120"/>
              <w:bottom w:type="dxa" w:w="80"/>
              <w:right w:type="dxa" w:w="120"/>
            </w:tcMar>
          </w:tcPr>
          <w:p>
            <w:pPr>
              <w:spacing w:after="0" w:before="0" w:line="260"/>
            </w:pPr>
            <w:r>
              <w:rPr>
                <w:rFonts w:ascii="Georgia" w:cs="Georgia" w:eastAsia="Georgia" w:hAnsi="Georgia"/>
                <w:b/>
                <w:bCs/>
                <w:color w:val="7A1F2B"/>
                <w:sz w:val="20"/>
                <w:szCs w:val="20"/>
              </w:rPr>
              <w:t xml:space="preserve">Clonal BMPC</w:t>
            </w:r>
          </w:p>
        </w:tc>
        <w:tc>
          <w:tcPr>
            <w:tcW w:type="dxa" w:w="2426"/>
            <w:tcBorders>
              <w:top w:val="single" w:color="D8C9CB" w:sz="4"/>
              <w:left w:val="single" w:color="D8C9CB" w:sz="4"/>
              <w:bottom w:val="single" w:color="D8C9CB" w:sz="4"/>
              <w:right w:val="single" w:color="D8C9CB" w:sz="4"/>
            </w:tcBorders>
            <w:shd w:fill="F5E9EB" w:val="clear"/>
            <w:tcMar>
              <w:top w:type="dxa" w:w="80"/>
              <w:left w:type="dxa" w:w="120"/>
              <w:bottom w:type="dxa" w:w="80"/>
              <w:right w:type="dxa" w:w="120"/>
            </w:tcMar>
          </w:tcPr>
          <w:p>
            <w:pPr>
              <w:spacing w:after="0" w:before="0" w:line="260"/>
            </w:pPr>
            <w:r>
              <w:rPr>
                <w:rFonts w:ascii="Georgia" w:cs="Georgia" w:eastAsia="Georgia" w:hAnsi="Georgia"/>
                <w:b/>
                <w:bCs/>
                <w:color w:val="7A1F2B"/>
                <w:sz w:val="20"/>
                <w:szCs w:val="20"/>
              </w:rPr>
              <w:t xml:space="preserve">Myeloma-defining events</w:t>
            </w:r>
          </w:p>
        </w:tc>
      </w:tr>
      <w:tr>
        <w:tc>
          <w:tcPr>
            <w:tcW w:type="dxa" w:w="1800"/>
            <w:tcBorders>
              <w:top w:val="single" w:color="D8C9CB" w:sz="4"/>
              <w:left w:val="single" w:color="D8C9CB" w:sz="4"/>
              <w:bottom w:val="single" w:color="D8C9CB" w:sz="4"/>
              <w:right w:val="single" w:color="D8C9CB" w:sz="4"/>
            </w:tcBorders>
            <w:tcMar>
              <w:top w:type="dxa" w:w="80"/>
              <w:left w:type="dxa" w:w="120"/>
              <w:bottom w:type="dxa" w:w="80"/>
              <w:right w:type="dxa" w:w="120"/>
            </w:tcMar>
          </w:tcPr>
          <w:p>
            <w:pPr>
              <w:spacing w:after="0" w:before="0" w:line="260"/>
            </w:pPr>
            <w:r>
              <w:rPr>
                <w:rFonts w:ascii="Georgia" w:cs="Georgia" w:eastAsia="Georgia" w:hAnsi="Georgia"/>
                <w:b w:val="false"/>
                <w:bCs w:val="false"/>
                <w:color w:val="1D1D1D"/>
                <w:sz w:val="20"/>
                <w:szCs w:val="20"/>
              </w:rPr>
              <w:t xml:space="preserve">MGUS</w:t>
            </w:r>
          </w:p>
        </w:tc>
        <w:tc>
          <w:tcPr>
            <w:tcW w:type="dxa" w:w="2400"/>
            <w:tcBorders>
              <w:top w:val="single" w:color="D8C9CB" w:sz="4"/>
              <w:left w:val="single" w:color="D8C9CB" w:sz="4"/>
              <w:bottom w:val="single" w:color="D8C9CB" w:sz="4"/>
              <w:right w:val="single" w:color="D8C9CB" w:sz="4"/>
            </w:tcBorders>
            <w:tcMar>
              <w:top w:type="dxa" w:w="80"/>
              <w:left w:type="dxa" w:w="120"/>
              <w:bottom w:type="dxa" w:w="80"/>
              <w:right w:type="dxa" w:w="120"/>
            </w:tcMar>
          </w:tcPr>
          <w:p>
            <w:pPr>
              <w:spacing w:after="0" w:before="0" w:line="260"/>
            </w:pPr>
            <w:r>
              <w:rPr>
                <w:rFonts w:ascii="Georgia" w:cs="Georgia" w:eastAsia="Georgia" w:hAnsi="Georgia"/>
                <w:b w:val="false"/>
                <w:bCs w:val="false"/>
                <w:color w:val="1D1D1D"/>
                <w:sz w:val="20"/>
                <w:szCs w:val="20"/>
              </w:rPr>
              <w:t xml:space="preserve">Below 30 g/L</w:t>
            </w:r>
          </w:p>
        </w:tc>
        <w:tc>
          <w:tcPr>
            <w:tcW w:type="dxa" w:w="2400"/>
            <w:tcBorders>
              <w:top w:val="single" w:color="D8C9CB" w:sz="4"/>
              <w:left w:val="single" w:color="D8C9CB" w:sz="4"/>
              <w:bottom w:val="single" w:color="D8C9CB" w:sz="4"/>
              <w:right w:val="single" w:color="D8C9CB" w:sz="4"/>
            </w:tcBorders>
            <w:tcMar>
              <w:top w:type="dxa" w:w="80"/>
              <w:left w:type="dxa" w:w="120"/>
              <w:bottom w:type="dxa" w:w="80"/>
              <w:right w:type="dxa" w:w="120"/>
            </w:tcMar>
          </w:tcPr>
          <w:p>
            <w:pPr>
              <w:spacing w:after="0" w:before="0" w:line="260"/>
            </w:pPr>
            <w:r>
              <w:rPr>
                <w:rFonts w:ascii="Georgia" w:cs="Georgia" w:eastAsia="Georgia" w:hAnsi="Georgia"/>
                <w:b w:val="false"/>
                <w:bCs w:val="false"/>
                <w:color w:val="1D1D1D"/>
                <w:sz w:val="20"/>
                <w:szCs w:val="20"/>
              </w:rPr>
              <w:t xml:space="preserve">Below 10%</w:t>
            </w:r>
          </w:p>
        </w:tc>
        <w:tc>
          <w:tcPr>
            <w:tcW w:type="dxa" w:w="2426"/>
            <w:tcBorders>
              <w:top w:val="single" w:color="D8C9CB" w:sz="4"/>
              <w:left w:val="single" w:color="D8C9CB" w:sz="4"/>
              <w:bottom w:val="single" w:color="D8C9CB" w:sz="4"/>
              <w:right w:val="single" w:color="D8C9CB" w:sz="4"/>
            </w:tcBorders>
            <w:tcMar>
              <w:top w:type="dxa" w:w="80"/>
              <w:left w:type="dxa" w:w="120"/>
              <w:bottom w:type="dxa" w:w="80"/>
              <w:right w:type="dxa" w:w="120"/>
            </w:tcMar>
          </w:tcPr>
          <w:p>
            <w:pPr>
              <w:spacing w:after="0" w:before="0" w:line="260"/>
            </w:pPr>
            <w:r>
              <w:rPr>
                <w:rFonts w:ascii="Georgia" w:cs="Georgia" w:eastAsia="Georgia" w:hAnsi="Georgia"/>
                <w:b w:val="false"/>
                <w:bCs w:val="false"/>
                <w:color w:val="1D1D1D"/>
                <w:sz w:val="20"/>
                <w:szCs w:val="20"/>
              </w:rPr>
              <w:t xml:space="preserve">None</w:t>
            </w:r>
          </w:p>
        </w:tc>
      </w:tr>
      <w:tr>
        <w:tc>
          <w:tcPr>
            <w:tcW w:type="dxa" w:w="1800"/>
            <w:tcBorders>
              <w:top w:val="single" w:color="D8C9CB" w:sz="4"/>
              <w:left w:val="single" w:color="D8C9CB" w:sz="4"/>
              <w:bottom w:val="single" w:color="D8C9CB" w:sz="4"/>
              <w:right w:val="single" w:color="D8C9CB" w:sz="4"/>
            </w:tcBorders>
            <w:tcMar>
              <w:top w:type="dxa" w:w="80"/>
              <w:left w:type="dxa" w:w="120"/>
              <w:bottom w:type="dxa" w:w="80"/>
              <w:right w:type="dxa" w:w="120"/>
            </w:tcMar>
          </w:tcPr>
          <w:p>
            <w:pPr>
              <w:spacing w:after="0" w:before="0" w:line="260"/>
            </w:pPr>
            <w:r>
              <w:rPr>
                <w:rFonts w:ascii="Georgia" w:cs="Georgia" w:eastAsia="Georgia" w:hAnsi="Georgia"/>
                <w:b w:val="false"/>
                <w:bCs w:val="false"/>
                <w:color w:val="1D1D1D"/>
                <w:sz w:val="20"/>
                <w:szCs w:val="20"/>
              </w:rPr>
              <w:t xml:space="preserve">Smouldering myeloma</w:t>
            </w:r>
          </w:p>
        </w:tc>
        <w:tc>
          <w:tcPr>
            <w:tcW w:type="dxa" w:w="2400"/>
            <w:tcBorders>
              <w:top w:val="single" w:color="D8C9CB" w:sz="4"/>
              <w:left w:val="single" w:color="D8C9CB" w:sz="4"/>
              <w:bottom w:val="single" w:color="D8C9CB" w:sz="4"/>
              <w:right w:val="single" w:color="D8C9CB" w:sz="4"/>
            </w:tcBorders>
            <w:tcMar>
              <w:top w:type="dxa" w:w="80"/>
              <w:left w:type="dxa" w:w="120"/>
              <w:bottom w:type="dxa" w:w="80"/>
              <w:right w:type="dxa" w:w="120"/>
            </w:tcMar>
          </w:tcPr>
          <w:p>
            <w:pPr>
              <w:spacing w:after="0" w:before="0" w:line="260"/>
            </w:pPr>
            <w:r>
              <w:rPr>
                <w:rFonts w:ascii="Georgia" w:cs="Georgia" w:eastAsia="Georgia" w:hAnsi="Georgia"/>
                <w:b w:val="false"/>
                <w:bCs w:val="false"/>
                <w:color w:val="1D1D1D"/>
                <w:sz w:val="20"/>
                <w:szCs w:val="20"/>
              </w:rPr>
              <w:t xml:space="preserve">30 g/L or above (or urinary M-protein 500 mg/24h or above) and/or BMPC 10–59%</w:t>
            </w:r>
          </w:p>
        </w:tc>
        <w:tc>
          <w:tcPr>
            <w:tcW w:type="dxa" w:w="2400"/>
            <w:tcBorders>
              <w:top w:val="single" w:color="D8C9CB" w:sz="4"/>
              <w:left w:val="single" w:color="D8C9CB" w:sz="4"/>
              <w:bottom w:val="single" w:color="D8C9CB" w:sz="4"/>
              <w:right w:val="single" w:color="D8C9CB" w:sz="4"/>
            </w:tcBorders>
            <w:tcMar>
              <w:top w:type="dxa" w:w="80"/>
              <w:left w:type="dxa" w:w="120"/>
              <w:bottom w:type="dxa" w:w="80"/>
              <w:right w:type="dxa" w:w="120"/>
            </w:tcMar>
          </w:tcPr>
          <w:p>
            <w:pPr>
              <w:spacing w:after="0" w:before="0" w:line="260"/>
            </w:pPr>
            <w:r>
              <w:rPr>
                <w:rFonts w:ascii="Georgia" w:cs="Georgia" w:eastAsia="Georgia" w:hAnsi="Georgia"/>
                <w:b w:val="false"/>
                <w:bCs w:val="false"/>
                <w:color w:val="1D1D1D"/>
                <w:sz w:val="20"/>
                <w:szCs w:val="20"/>
              </w:rPr>
              <w:t xml:space="preserve">10–59%</w:t>
            </w:r>
          </w:p>
        </w:tc>
        <w:tc>
          <w:tcPr>
            <w:tcW w:type="dxa" w:w="2426"/>
            <w:tcBorders>
              <w:top w:val="single" w:color="D8C9CB" w:sz="4"/>
              <w:left w:val="single" w:color="D8C9CB" w:sz="4"/>
              <w:bottom w:val="single" w:color="D8C9CB" w:sz="4"/>
              <w:right w:val="single" w:color="D8C9CB" w:sz="4"/>
            </w:tcBorders>
            <w:tcMar>
              <w:top w:type="dxa" w:w="80"/>
              <w:left w:type="dxa" w:w="120"/>
              <w:bottom w:type="dxa" w:w="80"/>
              <w:right w:type="dxa" w:w="120"/>
            </w:tcMar>
          </w:tcPr>
          <w:p>
            <w:pPr>
              <w:spacing w:after="0" w:before="0" w:line="260"/>
            </w:pPr>
            <w:r>
              <w:rPr>
                <w:rFonts w:ascii="Georgia" w:cs="Georgia" w:eastAsia="Georgia" w:hAnsi="Georgia"/>
                <w:b w:val="false"/>
                <w:bCs w:val="false"/>
                <w:color w:val="1D1D1D"/>
                <w:sz w:val="20"/>
                <w:szCs w:val="20"/>
              </w:rPr>
              <w:t xml:space="preserve">None (no SLiM CRAB)</w:t>
            </w:r>
          </w:p>
        </w:tc>
      </w:tr>
      <w:tr>
        <w:tc>
          <w:tcPr>
            <w:tcW w:type="dxa" w:w="1800"/>
            <w:tcBorders>
              <w:top w:val="single" w:color="D8C9CB" w:sz="4"/>
              <w:left w:val="single" w:color="D8C9CB" w:sz="4"/>
              <w:bottom w:val="single" w:color="D8C9CB" w:sz="4"/>
              <w:right w:val="single" w:color="D8C9CB" w:sz="4"/>
            </w:tcBorders>
            <w:tcMar>
              <w:top w:type="dxa" w:w="80"/>
              <w:left w:type="dxa" w:w="120"/>
              <w:bottom w:type="dxa" w:w="80"/>
              <w:right w:type="dxa" w:w="120"/>
            </w:tcMar>
          </w:tcPr>
          <w:p>
            <w:pPr>
              <w:spacing w:after="0" w:before="0" w:line="260"/>
            </w:pPr>
            <w:r>
              <w:rPr>
                <w:rFonts w:ascii="Georgia" w:cs="Georgia" w:eastAsia="Georgia" w:hAnsi="Georgia"/>
                <w:b w:val="false"/>
                <w:bCs w:val="false"/>
                <w:color w:val="1D1D1D"/>
                <w:sz w:val="20"/>
                <w:szCs w:val="20"/>
              </w:rPr>
              <w:t xml:space="preserve">Multiple myeloma</w:t>
            </w:r>
          </w:p>
        </w:tc>
        <w:tc>
          <w:tcPr>
            <w:tcW w:type="dxa" w:w="2400"/>
            <w:tcBorders>
              <w:top w:val="single" w:color="D8C9CB" w:sz="4"/>
              <w:left w:val="single" w:color="D8C9CB" w:sz="4"/>
              <w:bottom w:val="single" w:color="D8C9CB" w:sz="4"/>
              <w:right w:val="single" w:color="D8C9CB" w:sz="4"/>
            </w:tcBorders>
            <w:tcMar>
              <w:top w:type="dxa" w:w="80"/>
              <w:left w:type="dxa" w:w="120"/>
              <w:bottom w:type="dxa" w:w="80"/>
              <w:right w:type="dxa" w:w="120"/>
            </w:tcMar>
          </w:tcPr>
          <w:p>
            <w:pPr>
              <w:spacing w:after="0" w:before="0" w:line="260"/>
            </w:pPr>
            <w:r>
              <w:rPr>
                <w:rFonts w:ascii="Georgia" w:cs="Georgia" w:eastAsia="Georgia" w:hAnsi="Georgia"/>
                <w:b w:val="false"/>
                <w:bCs w:val="false"/>
                <w:color w:val="1D1D1D"/>
                <w:sz w:val="20"/>
                <w:szCs w:val="20"/>
              </w:rPr>
              <w:t xml:space="preserve">Any</w:t>
            </w:r>
          </w:p>
        </w:tc>
        <w:tc>
          <w:tcPr>
            <w:tcW w:type="dxa" w:w="2400"/>
            <w:tcBorders>
              <w:top w:val="single" w:color="D8C9CB" w:sz="4"/>
              <w:left w:val="single" w:color="D8C9CB" w:sz="4"/>
              <w:bottom w:val="single" w:color="D8C9CB" w:sz="4"/>
              <w:right w:val="single" w:color="D8C9CB" w:sz="4"/>
            </w:tcBorders>
            <w:tcMar>
              <w:top w:type="dxa" w:w="80"/>
              <w:left w:type="dxa" w:w="120"/>
              <w:bottom w:type="dxa" w:w="80"/>
              <w:right w:type="dxa" w:w="120"/>
            </w:tcMar>
          </w:tcPr>
          <w:p>
            <w:pPr>
              <w:spacing w:after="0" w:before="0" w:line="260"/>
            </w:pPr>
            <w:r>
              <w:rPr>
                <w:rFonts w:ascii="Georgia" w:cs="Georgia" w:eastAsia="Georgia" w:hAnsi="Georgia"/>
                <w:b w:val="false"/>
                <w:bCs w:val="false"/>
                <w:color w:val="1D1D1D"/>
                <w:sz w:val="20"/>
                <w:szCs w:val="20"/>
              </w:rPr>
              <w:t xml:space="preserve">10% or above (or biopsy-proven plasmacytoma)</w:t>
            </w:r>
          </w:p>
        </w:tc>
        <w:tc>
          <w:tcPr>
            <w:tcW w:type="dxa" w:w="2426"/>
            <w:tcBorders>
              <w:top w:val="single" w:color="D8C9CB" w:sz="4"/>
              <w:left w:val="single" w:color="D8C9CB" w:sz="4"/>
              <w:bottom w:val="single" w:color="D8C9CB" w:sz="4"/>
              <w:right w:val="single" w:color="D8C9CB" w:sz="4"/>
            </w:tcBorders>
            <w:tcMar>
              <w:top w:type="dxa" w:w="80"/>
              <w:left w:type="dxa" w:w="120"/>
              <w:bottom w:type="dxa" w:w="80"/>
              <w:right w:type="dxa" w:w="120"/>
            </w:tcMar>
          </w:tcPr>
          <w:p>
            <w:pPr>
              <w:spacing w:after="0" w:before="0" w:line="260"/>
            </w:pPr>
            <w:r>
              <w:rPr>
                <w:rFonts w:ascii="Georgia" w:cs="Georgia" w:eastAsia="Georgia" w:hAnsi="Georgia"/>
                <w:b w:val="false"/>
                <w:bCs w:val="false"/>
                <w:color w:val="1D1D1D"/>
                <w:sz w:val="20"/>
                <w:szCs w:val="20"/>
              </w:rPr>
              <w:t xml:space="preserve">Any SLiM CRAB feature</w:t>
            </w:r>
          </w:p>
        </w:tc>
      </w:tr>
      <w:tr>
        <w:tc>
          <w:tcPr>
            <w:tcW w:type="dxa" w:w="1800"/>
            <w:tcBorders>
              <w:top w:val="single" w:color="D8C9CB" w:sz="4"/>
              <w:left w:val="single" w:color="D8C9CB" w:sz="4"/>
              <w:bottom w:val="single" w:color="D8C9CB" w:sz="4"/>
              <w:right w:val="single" w:color="D8C9CB" w:sz="4"/>
            </w:tcBorders>
            <w:tcMar>
              <w:top w:type="dxa" w:w="80"/>
              <w:left w:type="dxa" w:w="120"/>
              <w:bottom w:type="dxa" w:w="80"/>
              <w:right w:type="dxa" w:w="120"/>
            </w:tcMar>
          </w:tcPr>
          <w:p>
            <w:pPr>
              <w:spacing w:after="0" w:before="0" w:line="260"/>
            </w:pPr>
            <w:r>
              <w:rPr>
                <w:rFonts w:ascii="Georgia" w:cs="Georgia" w:eastAsia="Georgia" w:hAnsi="Georgia"/>
                <w:b w:val="false"/>
                <w:bCs w:val="false"/>
                <w:color w:val="1D1D1D"/>
                <w:sz w:val="20"/>
                <w:szCs w:val="20"/>
              </w:rPr>
              <w:t xml:space="preserve">Plasma cell leukaemia</w:t>
            </w:r>
          </w:p>
        </w:tc>
        <w:tc>
          <w:tcPr>
            <w:tcW w:type="dxa" w:w="2400"/>
            <w:tcBorders>
              <w:top w:val="single" w:color="D8C9CB" w:sz="4"/>
              <w:left w:val="single" w:color="D8C9CB" w:sz="4"/>
              <w:bottom w:val="single" w:color="D8C9CB" w:sz="4"/>
              <w:right w:val="single" w:color="D8C9CB" w:sz="4"/>
            </w:tcBorders>
            <w:tcMar>
              <w:top w:type="dxa" w:w="80"/>
              <w:left w:type="dxa" w:w="120"/>
              <w:bottom w:type="dxa" w:w="80"/>
              <w:right w:type="dxa" w:w="120"/>
            </w:tcMar>
          </w:tcPr>
          <w:p>
            <w:pPr>
              <w:spacing w:after="0" w:before="0" w:line="260"/>
            </w:pPr>
            <w:r>
              <w:rPr>
                <w:rFonts w:ascii="Georgia" w:cs="Georgia" w:eastAsia="Georgia" w:hAnsi="Georgia"/>
                <w:b w:val="false"/>
                <w:bCs w:val="false"/>
                <w:color w:val="1D1D1D"/>
                <w:sz w:val="20"/>
                <w:szCs w:val="20"/>
              </w:rPr>
              <w:t xml:space="preserve">Any</w:t>
            </w:r>
          </w:p>
        </w:tc>
        <w:tc>
          <w:tcPr>
            <w:tcW w:type="dxa" w:w="2400"/>
            <w:tcBorders>
              <w:top w:val="single" w:color="D8C9CB" w:sz="4"/>
              <w:left w:val="single" w:color="D8C9CB" w:sz="4"/>
              <w:bottom w:val="single" w:color="D8C9CB" w:sz="4"/>
              <w:right w:val="single" w:color="D8C9CB" w:sz="4"/>
            </w:tcBorders>
            <w:tcMar>
              <w:top w:type="dxa" w:w="80"/>
              <w:left w:type="dxa" w:w="120"/>
              <w:bottom w:type="dxa" w:w="80"/>
              <w:right w:type="dxa" w:w="120"/>
            </w:tcMar>
          </w:tcPr>
          <w:p>
            <w:pPr>
              <w:spacing w:after="0" w:before="0" w:line="260"/>
            </w:pPr>
            <w:r>
              <w:rPr>
                <w:rFonts w:ascii="Georgia" w:cs="Georgia" w:eastAsia="Georgia" w:hAnsi="Georgia"/>
                <w:b w:val="false"/>
                <w:bCs w:val="false"/>
                <w:color w:val="1D1D1D"/>
                <w:sz w:val="20"/>
                <w:szCs w:val="20"/>
              </w:rPr>
              <w:t xml:space="preserve">Any, with circulating plasma cells</w:t>
            </w:r>
          </w:p>
        </w:tc>
        <w:tc>
          <w:tcPr>
            <w:tcW w:type="dxa" w:w="2426"/>
            <w:tcBorders>
              <w:top w:val="single" w:color="D8C9CB" w:sz="4"/>
              <w:left w:val="single" w:color="D8C9CB" w:sz="4"/>
              <w:bottom w:val="single" w:color="D8C9CB" w:sz="4"/>
              <w:right w:val="single" w:color="D8C9CB" w:sz="4"/>
            </w:tcBorders>
            <w:tcMar>
              <w:top w:type="dxa" w:w="80"/>
              <w:left w:type="dxa" w:w="120"/>
              <w:bottom w:type="dxa" w:w="80"/>
              <w:right w:type="dxa" w:w="120"/>
            </w:tcMar>
          </w:tcPr>
          <w:p>
            <w:pPr>
              <w:spacing w:after="0" w:before="0" w:line="260"/>
            </w:pPr>
            <w:r>
              <w:rPr>
                <w:rFonts w:ascii="Georgia" w:cs="Georgia" w:eastAsia="Georgia" w:hAnsi="Georgia"/>
                <w:b w:val="false"/>
                <w:bCs w:val="false"/>
                <w:color w:val="1D1D1D"/>
                <w:sz w:val="20"/>
                <w:szCs w:val="20"/>
              </w:rPr>
              <w:t xml:space="preserve">5% or more circulating plasma cells (IMWG 2021 redefinition)</w:t>
            </w:r>
          </w:p>
        </w:tc>
      </w:tr>
    </w:tbl>
    <w:p>
      <w:pPr>
        <w:spacing w:after="80" w:before="80" w:line="300"/>
        <w:jc w:val="left"/>
      </w:pPr>
      <w:r>
        <w:rPr>
          <w:rFonts w:ascii="Georgia" w:cs="Georgia" w:eastAsia="Georgia" w:hAnsi="Georgia"/>
          <w:b w:val="false"/>
          <w:bCs w:val="false"/>
          <w:i/>
          <w:iCs/>
          <w:color w:val="4A4A4A"/>
          <w:sz w:val="18"/>
          <w:szCs w:val="18"/>
        </w:rPr>
        <w:t xml:space="preserve">Source: Rajkumar 2014 (Lancet Oncol); Fernandez de Larrea 2021 (Blood Cancer J).</w:t>
      </w:r>
    </w:p>
    <w:p>
      <w:pPr>
        <w:spacing w:after="80" w:before="180"/>
      </w:pPr>
      <w:r>
        <w:rPr>
          <w:rFonts w:ascii="Georgia" w:cs="Georgia" w:eastAsia="Georgia" w:hAnsi="Georgia"/>
          <w:b/>
          <w:bCs/>
          <w:color w:val="1D1D1D"/>
          <w:sz w:val="24"/>
          <w:szCs w:val="24"/>
        </w:rPr>
        <w:t xml:space="preserve">SLiM CRAB — myeloma-defining events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600"/>
        <w:gridCol w:w="6426"/>
      </w:tblGrid>
      <w:tr>
        <w:trPr>
          <w:tblHeader/>
        </w:trPr>
        <w:tc>
          <w:tcPr>
            <w:tcW w:type="dxa" w:w="2600"/>
            <w:tcBorders>
              <w:top w:val="single" w:color="D8C9CB" w:sz="4"/>
              <w:left w:val="single" w:color="D8C9CB" w:sz="4"/>
              <w:bottom w:val="single" w:color="D8C9CB" w:sz="4"/>
              <w:right w:val="single" w:color="D8C9CB" w:sz="4"/>
            </w:tcBorders>
            <w:shd w:fill="F5E9EB" w:val="clear"/>
            <w:tcMar>
              <w:top w:type="dxa" w:w="80"/>
              <w:left w:type="dxa" w:w="120"/>
              <w:bottom w:type="dxa" w:w="80"/>
              <w:right w:type="dxa" w:w="120"/>
            </w:tcMar>
          </w:tcPr>
          <w:p>
            <w:pPr>
              <w:spacing w:after="0" w:before="0" w:line="260"/>
            </w:pPr>
            <w:r>
              <w:rPr>
                <w:rFonts w:ascii="Georgia" w:cs="Georgia" w:eastAsia="Georgia" w:hAnsi="Georgia"/>
                <w:b/>
                <w:bCs/>
                <w:color w:val="7A1F2B"/>
                <w:sz w:val="20"/>
                <w:szCs w:val="20"/>
              </w:rPr>
              <w:t xml:space="preserve">Marker</w:t>
            </w:r>
          </w:p>
        </w:tc>
        <w:tc>
          <w:tcPr>
            <w:tcW w:type="dxa" w:w="6426"/>
            <w:tcBorders>
              <w:top w:val="single" w:color="D8C9CB" w:sz="4"/>
              <w:left w:val="single" w:color="D8C9CB" w:sz="4"/>
              <w:bottom w:val="single" w:color="D8C9CB" w:sz="4"/>
              <w:right w:val="single" w:color="D8C9CB" w:sz="4"/>
            </w:tcBorders>
            <w:shd w:fill="F5E9EB" w:val="clear"/>
            <w:tcMar>
              <w:top w:type="dxa" w:w="80"/>
              <w:left w:type="dxa" w:w="120"/>
              <w:bottom w:type="dxa" w:w="80"/>
              <w:right w:type="dxa" w:w="120"/>
            </w:tcMar>
          </w:tcPr>
          <w:p>
            <w:pPr>
              <w:spacing w:after="0" w:before="0" w:line="260"/>
            </w:pPr>
            <w:r>
              <w:rPr>
                <w:rFonts w:ascii="Georgia" w:cs="Georgia" w:eastAsia="Georgia" w:hAnsi="Georgia"/>
                <w:b/>
                <w:bCs/>
                <w:color w:val="7A1F2B"/>
                <w:sz w:val="20"/>
                <w:szCs w:val="20"/>
              </w:rPr>
              <w:t xml:space="preserve">Definition</w:t>
            </w:r>
          </w:p>
        </w:tc>
      </w:tr>
      <w:tr>
        <w:tc>
          <w:tcPr>
            <w:tcW w:type="dxa" w:w="2600"/>
            <w:tcBorders>
              <w:top w:val="single" w:color="D8C9CB" w:sz="4"/>
              <w:left w:val="single" w:color="D8C9CB" w:sz="4"/>
              <w:bottom w:val="single" w:color="D8C9CB" w:sz="4"/>
              <w:right w:val="single" w:color="D8C9CB" w:sz="4"/>
            </w:tcBorders>
            <w:tcMar>
              <w:top w:type="dxa" w:w="80"/>
              <w:left w:type="dxa" w:w="120"/>
              <w:bottom w:type="dxa" w:w="80"/>
              <w:right w:type="dxa" w:w="120"/>
            </w:tcMar>
          </w:tcPr>
          <w:p>
            <w:pPr>
              <w:spacing w:after="0" w:before="0" w:line="260"/>
            </w:pPr>
            <w:r>
              <w:rPr>
                <w:rFonts w:ascii="Georgia" w:cs="Georgia" w:eastAsia="Georgia" w:hAnsi="Georgia"/>
                <w:b w:val="false"/>
                <w:bCs w:val="false"/>
                <w:color w:val="1D1D1D"/>
                <w:sz w:val="20"/>
                <w:szCs w:val="20"/>
              </w:rPr>
              <w:t xml:space="preserve">S — Sixty per cent</w:t>
            </w:r>
          </w:p>
        </w:tc>
        <w:tc>
          <w:tcPr>
            <w:tcW w:type="dxa" w:w="6426"/>
            <w:tcBorders>
              <w:top w:val="single" w:color="D8C9CB" w:sz="4"/>
              <w:left w:val="single" w:color="D8C9CB" w:sz="4"/>
              <w:bottom w:val="single" w:color="D8C9CB" w:sz="4"/>
              <w:right w:val="single" w:color="D8C9CB" w:sz="4"/>
            </w:tcBorders>
            <w:tcMar>
              <w:top w:type="dxa" w:w="80"/>
              <w:left w:type="dxa" w:w="120"/>
              <w:bottom w:type="dxa" w:w="80"/>
              <w:right w:type="dxa" w:w="120"/>
            </w:tcMar>
          </w:tcPr>
          <w:p>
            <w:pPr>
              <w:spacing w:after="0" w:before="0" w:line="260"/>
            </w:pPr>
            <w:r>
              <w:rPr>
                <w:rFonts w:ascii="Georgia" w:cs="Georgia" w:eastAsia="Georgia" w:hAnsi="Georgia"/>
                <w:b w:val="false"/>
                <w:bCs w:val="false"/>
                <w:color w:val="1D1D1D"/>
                <w:sz w:val="20"/>
                <w:szCs w:val="20"/>
              </w:rPr>
              <w:t xml:space="preserve">60% or more clonal plasma cells in bone marrow</w:t>
            </w:r>
          </w:p>
        </w:tc>
      </w:tr>
      <w:tr>
        <w:tc>
          <w:tcPr>
            <w:tcW w:type="dxa" w:w="2600"/>
            <w:tcBorders>
              <w:top w:val="single" w:color="D8C9CB" w:sz="4"/>
              <w:left w:val="single" w:color="D8C9CB" w:sz="4"/>
              <w:bottom w:val="single" w:color="D8C9CB" w:sz="4"/>
              <w:right w:val="single" w:color="D8C9CB" w:sz="4"/>
            </w:tcBorders>
            <w:tcMar>
              <w:top w:type="dxa" w:w="80"/>
              <w:left w:type="dxa" w:w="120"/>
              <w:bottom w:type="dxa" w:w="80"/>
              <w:right w:type="dxa" w:w="120"/>
            </w:tcMar>
          </w:tcPr>
          <w:p>
            <w:pPr>
              <w:spacing w:after="0" w:before="0" w:line="260"/>
            </w:pPr>
            <w:r>
              <w:rPr>
                <w:rFonts w:ascii="Georgia" w:cs="Georgia" w:eastAsia="Georgia" w:hAnsi="Georgia"/>
                <w:b w:val="false"/>
                <w:bCs w:val="false"/>
                <w:color w:val="1D1D1D"/>
                <w:sz w:val="20"/>
                <w:szCs w:val="20"/>
              </w:rPr>
              <w:t xml:space="preserve">Li — Light chain ratio</w:t>
            </w:r>
          </w:p>
        </w:tc>
        <w:tc>
          <w:tcPr>
            <w:tcW w:type="dxa" w:w="6426"/>
            <w:tcBorders>
              <w:top w:val="single" w:color="D8C9CB" w:sz="4"/>
              <w:left w:val="single" w:color="D8C9CB" w:sz="4"/>
              <w:bottom w:val="single" w:color="D8C9CB" w:sz="4"/>
              <w:right w:val="single" w:color="D8C9CB" w:sz="4"/>
            </w:tcBorders>
            <w:tcMar>
              <w:top w:type="dxa" w:w="80"/>
              <w:left w:type="dxa" w:w="120"/>
              <w:bottom w:type="dxa" w:w="80"/>
              <w:right w:type="dxa" w:w="120"/>
            </w:tcMar>
          </w:tcPr>
          <w:p>
            <w:pPr>
              <w:spacing w:after="0" w:before="0" w:line="260"/>
            </w:pPr>
            <w:r>
              <w:rPr>
                <w:rFonts w:ascii="Georgia" w:cs="Georgia" w:eastAsia="Georgia" w:hAnsi="Georgia"/>
                <w:b w:val="false"/>
                <w:bCs w:val="false"/>
                <w:color w:val="1D1D1D"/>
                <w:sz w:val="20"/>
                <w:szCs w:val="20"/>
              </w:rPr>
              <w:t xml:space="preserve">Involved to uninvolved serum free light chain ratio above 100 (involved FLC above 100 mg/L by FREELITE)</w:t>
            </w:r>
          </w:p>
        </w:tc>
      </w:tr>
      <w:tr>
        <w:tc>
          <w:tcPr>
            <w:tcW w:type="dxa" w:w="2600"/>
            <w:tcBorders>
              <w:top w:val="single" w:color="D8C9CB" w:sz="4"/>
              <w:left w:val="single" w:color="D8C9CB" w:sz="4"/>
              <w:bottom w:val="single" w:color="D8C9CB" w:sz="4"/>
              <w:right w:val="single" w:color="D8C9CB" w:sz="4"/>
            </w:tcBorders>
            <w:tcMar>
              <w:top w:type="dxa" w:w="80"/>
              <w:left w:type="dxa" w:w="120"/>
              <w:bottom w:type="dxa" w:w="80"/>
              <w:right w:type="dxa" w:w="120"/>
            </w:tcMar>
          </w:tcPr>
          <w:p>
            <w:pPr>
              <w:spacing w:after="0" w:before="0" w:line="260"/>
            </w:pPr>
            <w:r>
              <w:rPr>
                <w:rFonts w:ascii="Georgia" w:cs="Georgia" w:eastAsia="Georgia" w:hAnsi="Georgia"/>
                <w:b w:val="false"/>
                <w:bCs w:val="false"/>
                <w:color w:val="1D1D1D"/>
                <w:sz w:val="20"/>
                <w:szCs w:val="20"/>
              </w:rPr>
              <w:t xml:space="preserve">M — MRI focal lesion</w:t>
            </w:r>
          </w:p>
        </w:tc>
        <w:tc>
          <w:tcPr>
            <w:tcW w:type="dxa" w:w="6426"/>
            <w:tcBorders>
              <w:top w:val="single" w:color="D8C9CB" w:sz="4"/>
              <w:left w:val="single" w:color="D8C9CB" w:sz="4"/>
              <w:bottom w:val="single" w:color="D8C9CB" w:sz="4"/>
              <w:right w:val="single" w:color="D8C9CB" w:sz="4"/>
            </w:tcBorders>
            <w:tcMar>
              <w:top w:type="dxa" w:w="80"/>
              <w:left w:type="dxa" w:w="120"/>
              <w:bottom w:type="dxa" w:w="80"/>
              <w:right w:type="dxa" w:w="120"/>
            </w:tcMar>
          </w:tcPr>
          <w:p>
            <w:pPr>
              <w:spacing w:after="0" w:before="0" w:line="260"/>
            </w:pPr>
            <w:r>
              <w:rPr>
                <w:rFonts w:ascii="Georgia" w:cs="Georgia" w:eastAsia="Georgia" w:hAnsi="Georgia"/>
                <w:b w:val="false"/>
                <w:bCs w:val="false"/>
                <w:color w:val="1D1D1D"/>
                <w:sz w:val="20"/>
                <w:szCs w:val="20"/>
              </w:rPr>
              <w:t xml:space="preserve">More than one focal lesion above 5 mm on MRI</w:t>
            </w:r>
          </w:p>
        </w:tc>
      </w:tr>
      <w:tr>
        <w:tc>
          <w:tcPr>
            <w:tcW w:type="dxa" w:w="2600"/>
            <w:tcBorders>
              <w:top w:val="single" w:color="D8C9CB" w:sz="4"/>
              <w:left w:val="single" w:color="D8C9CB" w:sz="4"/>
              <w:bottom w:val="single" w:color="D8C9CB" w:sz="4"/>
              <w:right w:val="single" w:color="D8C9CB" w:sz="4"/>
            </w:tcBorders>
            <w:tcMar>
              <w:top w:type="dxa" w:w="80"/>
              <w:left w:type="dxa" w:w="120"/>
              <w:bottom w:type="dxa" w:w="80"/>
              <w:right w:type="dxa" w:w="120"/>
            </w:tcMar>
          </w:tcPr>
          <w:p>
            <w:pPr>
              <w:spacing w:after="0" w:before="0" w:line="260"/>
            </w:pPr>
            <w:r>
              <w:rPr>
                <w:rFonts w:ascii="Georgia" w:cs="Georgia" w:eastAsia="Georgia" w:hAnsi="Georgia"/>
                <w:b w:val="false"/>
                <w:bCs w:val="false"/>
                <w:color w:val="1D1D1D"/>
                <w:sz w:val="20"/>
                <w:szCs w:val="20"/>
              </w:rPr>
              <w:t xml:space="preserve">C — Calcium elevation</w:t>
            </w:r>
          </w:p>
        </w:tc>
        <w:tc>
          <w:tcPr>
            <w:tcW w:type="dxa" w:w="6426"/>
            <w:tcBorders>
              <w:top w:val="single" w:color="D8C9CB" w:sz="4"/>
              <w:left w:val="single" w:color="D8C9CB" w:sz="4"/>
              <w:bottom w:val="single" w:color="D8C9CB" w:sz="4"/>
              <w:right w:val="single" w:color="D8C9CB" w:sz="4"/>
            </w:tcBorders>
            <w:tcMar>
              <w:top w:type="dxa" w:w="80"/>
              <w:left w:type="dxa" w:w="120"/>
              <w:bottom w:type="dxa" w:w="80"/>
              <w:right w:type="dxa" w:w="120"/>
            </w:tcMar>
          </w:tcPr>
          <w:p>
            <w:pPr>
              <w:spacing w:after="0" w:before="0" w:line="260"/>
            </w:pPr>
            <w:r>
              <w:rPr>
                <w:rFonts w:ascii="Georgia" w:cs="Georgia" w:eastAsia="Georgia" w:hAnsi="Georgia"/>
                <w:b w:val="false"/>
                <w:bCs w:val="false"/>
                <w:color w:val="1D1D1D"/>
                <w:sz w:val="20"/>
                <w:szCs w:val="20"/>
              </w:rPr>
              <w:t xml:space="preserve">Serum calcium above 2.75 mmol/L or above 0.25 mmol/L above the upper limit of normal</w:t>
            </w:r>
          </w:p>
        </w:tc>
      </w:tr>
      <w:tr>
        <w:tc>
          <w:tcPr>
            <w:tcW w:type="dxa" w:w="2600"/>
            <w:tcBorders>
              <w:top w:val="single" w:color="D8C9CB" w:sz="4"/>
              <w:left w:val="single" w:color="D8C9CB" w:sz="4"/>
              <w:bottom w:val="single" w:color="D8C9CB" w:sz="4"/>
              <w:right w:val="single" w:color="D8C9CB" w:sz="4"/>
            </w:tcBorders>
            <w:tcMar>
              <w:top w:type="dxa" w:w="80"/>
              <w:left w:type="dxa" w:w="120"/>
              <w:bottom w:type="dxa" w:w="80"/>
              <w:right w:type="dxa" w:w="120"/>
            </w:tcMar>
          </w:tcPr>
          <w:p>
            <w:pPr>
              <w:spacing w:after="0" w:before="0" w:line="260"/>
            </w:pPr>
            <w:r>
              <w:rPr>
                <w:rFonts w:ascii="Georgia" w:cs="Georgia" w:eastAsia="Georgia" w:hAnsi="Georgia"/>
                <w:b w:val="false"/>
                <w:bCs w:val="false"/>
                <w:color w:val="1D1D1D"/>
                <w:sz w:val="20"/>
                <w:szCs w:val="20"/>
              </w:rPr>
              <w:t xml:space="preserve">R — Renal insufficiency</w:t>
            </w:r>
          </w:p>
        </w:tc>
        <w:tc>
          <w:tcPr>
            <w:tcW w:type="dxa" w:w="6426"/>
            <w:tcBorders>
              <w:top w:val="single" w:color="D8C9CB" w:sz="4"/>
              <w:left w:val="single" w:color="D8C9CB" w:sz="4"/>
              <w:bottom w:val="single" w:color="D8C9CB" w:sz="4"/>
              <w:right w:val="single" w:color="D8C9CB" w:sz="4"/>
            </w:tcBorders>
            <w:tcMar>
              <w:top w:type="dxa" w:w="80"/>
              <w:left w:type="dxa" w:w="120"/>
              <w:bottom w:type="dxa" w:w="80"/>
              <w:right w:type="dxa" w:w="120"/>
            </w:tcMar>
          </w:tcPr>
          <w:p>
            <w:pPr>
              <w:spacing w:after="0" w:before="0" w:line="260"/>
            </w:pPr>
            <w:r>
              <w:rPr>
                <w:rFonts w:ascii="Georgia" w:cs="Georgia" w:eastAsia="Georgia" w:hAnsi="Georgia"/>
                <w:b w:val="false"/>
                <w:bCs w:val="false"/>
                <w:color w:val="1D1D1D"/>
                <w:sz w:val="20"/>
                <w:szCs w:val="20"/>
              </w:rPr>
              <w:t xml:space="preserve">Serum creatinine above 177 micromol/L or creatinine clearance below 40 mL/min, attributable to myeloma</w:t>
            </w:r>
          </w:p>
        </w:tc>
      </w:tr>
      <w:tr>
        <w:tc>
          <w:tcPr>
            <w:tcW w:type="dxa" w:w="2600"/>
            <w:tcBorders>
              <w:top w:val="single" w:color="D8C9CB" w:sz="4"/>
              <w:left w:val="single" w:color="D8C9CB" w:sz="4"/>
              <w:bottom w:val="single" w:color="D8C9CB" w:sz="4"/>
              <w:right w:val="single" w:color="D8C9CB" w:sz="4"/>
            </w:tcBorders>
            <w:tcMar>
              <w:top w:type="dxa" w:w="80"/>
              <w:left w:type="dxa" w:w="120"/>
              <w:bottom w:type="dxa" w:w="80"/>
              <w:right w:type="dxa" w:w="120"/>
            </w:tcMar>
          </w:tcPr>
          <w:p>
            <w:pPr>
              <w:spacing w:after="0" w:before="0" w:line="260"/>
            </w:pPr>
            <w:r>
              <w:rPr>
                <w:rFonts w:ascii="Georgia" w:cs="Georgia" w:eastAsia="Georgia" w:hAnsi="Georgia"/>
                <w:b w:val="false"/>
                <w:bCs w:val="false"/>
                <w:color w:val="1D1D1D"/>
                <w:sz w:val="20"/>
                <w:szCs w:val="20"/>
              </w:rPr>
              <w:t xml:space="preserve">A — Anaemia</w:t>
            </w:r>
          </w:p>
        </w:tc>
        <w:tc>
          <w:tcPr>
            <w:tcW w:type="dxa" w:w="6426"/>
            <w:tcBorders>
              <w:top w:val="single" w:color="D8C9CB" w:sz="4"/>
              <w:left w:val="single" w:color="D8C9CB" w:sz="4"/>
              <w:bottom w:val="single" w:color="D8C9CB" w:sz="4"/>
              <w:right w:val="single" w:color="D8C9CB" w:sz="4"/>
            </w:tcBorders>
            <w:tcMar>
              <w:top w:type="dxa" w:w="80"/>
              <w:left w:type="dxa" w:w="120"/>
              <w:bottom w:type="dxa" w:w="80"/>
              <w:right w:type="dxa" w:w="120"/>
            </w:tcMar>
          </w:tcPr>
          <w:p>
            <w:pPr>
              <w:spacing w:after="0" w:before="0" w:line="260"/>
            </w:pPr>
            <w:r>
              <w:rPr>
                <w:rFonts w:ascii="Georgia" w:cs="Georgia" w:eastAsia="Georgia" w:hAnsi="Georgia"/>
                <w:b w:val="false"/>
                <w:bCs w:val="false"/>
                <w:color w:val="1D1D1D"/>
                <w:sz w:val="20"/>
                <w:szCs w:val="20"/>
              </w:rPr>
              <w:t xml:space="preserve">Haemoglobin below 100 g/L or 20 g/L or more below the lower limit of normal</w:t>
            </w:r>
          </w:p>
        </w:tc>
      </w:tr>
      <w:tr>
        <w:tc>
          <w:tcPr>
            <w:tcW w:type="dxa" w:w="2600"/>
            <w:tcBorders>
              <w:top w:val="single" w:color="D8C9CB" w:sz="4"/>
              <w:left w:val="single" w:color="D8C9CB" w:sz="4"/>
              <w:bottom w:val="single" w:color="D8C9CB" w:sz="4"/>
              <w:right w:val="single" w:color="D8C9CB" w:sz="4"/>
            </w:tcBorders>
            <w:tcMar>
              <w:top w:type="dxa" w:w="80"/>
              <w:left w:type="dxa" w:w="120"/>
              <w:bottom w:type="dxa" w:w="80"/>
              <w:right w:type="dxa" w:w="120"/>
            </w:tcMar>
          </w:tcPr>
          <w:p>
            <w:pPr>
              <w:spacing w:after="0" w:before="0" w:line="260"/>
            </w:pPr>
            <w:r>
              <w:rPr>
                <w:rFonts w:ascii="Georgia" w:cs="Georgia" w:eastAsia="Georgia" w:hAnsi="Georgia"/>
                <w:b w:val="false"/>
                <w:bCs w:val="false"/>
                <w:color w:val="1D1D1D"/>
                <w:sz w:val="20"/>
                <w:szCs w:val="20"/>
              </w:rPr>
              <w:t xml:space="preserve">B — Bone lesions</w:t>
            </w:r>
          </w:p>
        </w:tc>
        <w:tc>
          <w:tcPr>
            <w:tcW w:type="dxa" w:w="6426"/>
            <w:tcBorders>
              <w:top w:val="single" w:color="D8C9CB" w:sz="4"/>
              <w:left w:val="single" w:color="D8C9CB" w:sz="4"/>
              <w:bottom w:val="single" w:color="D8C9CB" w:sz="4"/>
              <w:right w:val="single" w:color="D8C9CB" w:sz="4"/>
            </w:tcBorders>
            <w:tcMar>
              <w:top w:type="dxa" w:w="80"/>
              <w:left w:type="dxa" w:w="120"/>
              <w:bottom w:type="dxa" w:w="80"/>
              <w:right w:type="dxa" w:w="120"/>
            </w:tcMar>
          </w:tcPr>
          <w:p>
            <w:pPr>
              <w:spacing w:after="0" w:before="0" w:line="260"/>
            </w:pPr>
            <w:r>
              <w:rPr>
                <w:rFonts w:ascii="Georgia" w:cs="Georgia" w:eastAsia="Georgia" w:hAnsi="Georgia"/>
                <w:b w:val="false"/>
                <w:bCs w:val="false"/>
                <w:color w:val="1D1D1D"/>
                <w:sz w:val="20"/>
                <w:szCs w:val="20"/>
              </w:rPr>
              <w:t xml:space="preserve">One or more osteolytic lesions of 5 mm or above on CT, PET-CT or skeletal imaging</w:t>
            </w:r>
          </w:p>
        </w:tc>
      </w:tr>
    </w:tbl>
    <w:p>
      <w:pPr>
        <w:spacing w:after="80" w:before="80" w:line="300"/>
        <w:jc w:val="left"/>
      </w:pPr>
      <w:r>
        <w:rPr>
          <w:rFonts w:ascii="Georgia" w:cs="Georgia" w:eastAsia="Georgia" w:hAnsi="Georgia"/>
          <w:b w:val="false"/>
          <w:bCs w:val="false"/>
          <w:i/>
          <w:iCs/>
          <w:color w:val="4A4A4A"/>
          <w:sz w:val="18"/>
          <w:szCs w:val="18"/>
        </w:rPr>
        <w:t xml:space="preserve">Source: Rajkumar 2014; reproduced in Hughes 2024 BSH Good Practice Paper.</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D8C9CB" w:sz="4"/>
              <w:left w:val="single" w:color="7A1F2B" w:sz="16"/>
              <w:bottom w:val="single" w:color="D8C9CB" w:sz="4"/>
              <w:right w:val="single" w:color="D8C9CB" w:sz="4"/>
            </w:tcBorders>
            <w:shd w:fill="F5E9EB" w:val="clear"/>
            <w:tcMar>
              <w:top w:type="dxa" w:w="140"/>
              <w:left w:type="dxa" w:w="200"/>
              <w:bottom w:type="dxa" w:w="140"/>
              <w:right w:type="dxa" w:w="160"/>
            </w:tcMar>
          </w:tcPr>
          <w:p>
            <w:pPr>
              <w:spacing w:after="80" w:before="0"/>
            </w:pPr>
            <w:r>
              <w:rPr>
                <w:rFonts w:ascii="Georgia" w:cs="Georgia" w:eastAsia="Georgia" w:hAnsi="Georgia"/>
                <w:b/>
                <w:bCs/>
                <w:color w:val="7A1F2B"/>
                <w:sz w:val="22"/>
                <w:szCs w:val="22"/>
              </w:rPr>
              <w:t xml:space="preserve">Pattern recognition — SLiM CRAB is not Rai or Binet</w:t>
            </w:r>
          </w:p>
          <w:p>
            <w:pPr>
              <w:spacing w:after="0" w:before="0" w:line="280"/>
            </w:pPr>
            <w:r>
              <w:rPr>
                <w:rFonts w:ascii="Georgia" w:cs="Georgia" w:eastAsia="Georgia" w:hAnsi="Georgia"/>
                <w:color w:val="1D1D1D"/>
                <w:sz w:val="22"/>
                <w:szCs w:val="22"/>
              </w:rPr>
              <w:t xml:space="preserve">SLiM features (60% BMPC, FLC ratio above 100, more than one MRI focal lesion) define active myeloma even without overt end-organ damage. A patient with 70% BMPC and no CRAB still has myeloma and warrants treatment. Do not wait for CRAB to declare when SLiM is present.</w:t>
            </w:r>
          </w:p>
        </w:tc>
      </w:tr>
    </w:tbl>
    <w:p>
      <w:pPr>
        <w:pStyle w:val="Heading1"/>
        <w:spacing w:after="160" w:before="360"/>
      </w:pPr>
      <w:r>
        <w:rPr>
          <w:rFonts w:ascii="Georgia" w:cs="Georgia" w:eastAsia="Georgia" w:hAnsi="Georgia"/>
          <w:b/>
          <w:bCs/>
          <w:color w:val="7A1F2B"/>
          <w:sz w:val="30"/>
          <w:szCs w:val="30"/>
        </w:rPr>
        <w:t xml:space="preserve">3. </w:t>
      </w:r>
      <w:r>
        <w:rPr>
          <w:rFonts w:ascii="Georgia" w:cs="Georgia" w:eastAsia="Georgia" w:hAnsi="Georgia"/>
          <w:b/>
          <w:bCs/>
          <w:color w:val="7A1F2B"/>
          <w:sz w:val="30"/>
          <w:szCs w:val="30"/>
        </w:rPr>
        <w:t xml:space="preserve">Guideline Basis (Methodology)</w:t>
      </w:r>
    </w:p>
    <w:p>
      <w:pPr>
        <w:spacing w:after="80" w:before="80" w:line="300"/>
        <w:jc w:val="left"/>
      </w:pPr>
      <w:r>
        <w:rPr>
          <w:rFonts w:ascii="Georgia" w:cs="Georgia" w:eastAsia="Georgia" w:hAnsi="Georgia"/>
          <w:b w:val="false"/>
          <w:bCs w:val="false"/>
          <w:i w:val="false"/>
          <w:iCs w:val="false"/>
          <w:color w:val="1D1D1D"/>
          <w:sz w:val="22"/>
          <w:szCs w:val="22"/>
        </w:rPr>
        <w:t xml:space="preserve">This document integrates UK, European and international evidence frameworks. Each recommendation is tagged with its source society and, where available, evidence grade. UK clinical practice statements are drawn from BSH/UKMS/UKMF and NICE; European context is drawn from EHA-EMN 2025; international diagnostic and response criteria are drawn from IMWG.</w:t>
      </w:r>
    </w:p>
    <w:p>
      <w:pPr>
        <w:spacing w:after="80" w:before="180"/>
      </w:pPr>
      <w:r>
        <w:rPr>
          <w:rFonts w:ascii="Georgia" w:cs="Georgia" w:eastAsia="Georgia" w:hAnsi="Georgia"/>
          <w:b/>
          <w:bCs/>
          <w:color w:val="1D1D1D"/>
          <w:sz w:val="24"/>
          <w:szCs w:val="24"/>
        </w:rPr>
        <w:t xml:space="preserve">PICO framework</w:t>
      </w:r>
    </w:p>
    <w:p>
      <w:pPr>
        <w:spacing w:after="80" w:before="80" w:line="300"/>
        <w:jc w:val="left"/>
      </w:pPr>
      <w:r>
        <w:rPr>
          <w:rFonts w:ascii="Georgia" w:cs="Georgia" w:eastAsia="Georgia" w:hAnsi="Georgia"/>
          <w:b/>
          <w:bCs/>
          <w:i w:val="false"/>
          <w:iCs w:val="false"/>
          <w:color w:val="1D1D1D"/>
          <w:sz w:val="22"/>
          <w:szCs w:val="22"/>
        </w:rPr>
        <w:t xml:space="preserve">P — Population: </w:t>
      </w:r>
      <w:r>
        <w:rPr>
          <w:rFonts w:ascii="Georgia" w:cs="Georgia" w:eastAsia="Georgia" w:hAnsi="Georgia"/>
          <w:b w:val="false"/>
          <w:bCs w:val="false"/>
          <w:i w:val="false"/>
          <w:iCs w:val="false"/>
          <w:color w:val="1D1D1D"/>
          <w:sz w:val="22"/>
          <w:szCs w:val="22"/>
        </w:rPr>
        <w:t xml:space="preserve">adults (18 years and over) with confirmed MGUS, SMM, MGRS, NDMM (transplant-eligible or ineligible), high-risk myeloma, or relapsed/refractory disease.</w:t>
      </w:r>
    </w:p>
    <w:p>
      <w:pPr>
        <w:spacing w:after="80" w:before="80" w:line="300"/>
        <w:jc w:val="left"/>
      </w:pPr>
      <w:r>
        <w:rPr>
          <w:rFonts w:ascii="Georgia" w:cs="Georgia" w:eastAsia="Georgia" w:hAnsi="Georgia"/>
          <w:b/>
          <w:bCs/>
          <w:i w:val="false"/>
          <w:iCs w:val="false"/>
          <w:color w:val="1D1D1D"/>
          <w:sz w:val="22"/>
          <w:szCs w:val="22"/>
        </w:rPr>
        <w:t xml:space="preserve">I — Intervention: </w:t>
      </w:r>
      <w:r>
        <w:rPr>
          <w:rFonts w:ascii="Georgia" w:cs="Georgia" w:eastAsia="Georgia" w:hAnsi="Georgia"/>
          <w:b w:val="false"/>
          <w:bCs w:val="false"/>
          <w:i w:val="false"/>
          <w:iCs w:val="false"/>
          <w:color w:val="1D1D1D"/>
          <w:sz w:val="22"/>
          <w:szCs w:val="22"/>
        </w:rPr>
        <w:t xml:space="preserve">surveillance protocols; proteasome inhibitors (bortezomib, carfilzomib, ixazomib); immunomodulatory agents (lenalidomide, pomalidomide, thalidomide); anti-CD38 monoclonal antibodies (daratumumab, isatuximab); high-dose melphalan and ASCT; BCMA-directed T-cell engagers (teclistamab, elranatamab, linvoseltamab); GPRC5D T-cell engager (talquetamab); BCMA CAR-T (ide-cel, cilta-cel); BCL2 inhibitor in t(11;14) (venetoclax, off-label in UK); selective inhibitor of nuclear export (selinexor); BCMA antibody-drug conjugate (belantamab mafodotin).</w:t>
      </w:r>
    </w:p>
    <w:p>
      <w:pPr>
        <w:spacing w:after="80" w:before="80" w:line="300"/>
        <w:jc w:val="left"/>
      </w:pPr>
      <w:r>
        <w:rPr>
          <w:rFonts w:ascii="Georgia" w:cs="Georgia" w:eastAsia="Georgia" w:hAnsi="Georgia"/>
          <w:b/>
          <w:bCs/>
          <w:i w:val="false"/>
          <w:iCs w:val="false"/>
          <w:color w:val="1D1D1D"/>
          <w:sz w:val="22"/>
          <w:szCs w:val="22"/>
        </w:rPr>
        <w:t xml:space="preserve">C — Comparator: </w:t>
      </w:r>
      <w:r>
        <w:rPr>
          <w:rFonts w:ascii="Georgia" w:cs="Georgia" w:eastAsia="Georgia" w:hAnsi="Georgia"/>
          <w:b w:val="false"/>
          <w:bCs w:val="false"/>
          <w:i w:val="false"/>
          <w:iCs w:val="false"/>
          <w:color w:val="1D1D1D"/>
          <w:sz w:val="22"/>
          <w:szCs w:val="22"/>
        </w:rPr>
        <w:t xml:space="preserve">alternative regimens within or across drug classes; clinical trial enrolment; supportive care alone in selected late-line patients.</w:t>
      </w:r>
    </w:p>
    <w:p>
      <w:pPr>
        <w:spacing w:after="80" w:before="80" w:line="300"/>
        <w:jc w:val="left"/>
      </w:pPr>
      <w:r>
        <w:rPr>
          <w:rFonts w:ascii="Georgia" w:cs="Georgia" w:eastAsia="Georgia" w:hAnsi="Georgia"/>
          <w:b/>
          <w:bCs/>
          <w:i w:val="false"/>
          <w:iCs w:val="false"/>
          <w:color w:val="1D1D1D"/>
          <w:sz w:val="22"/>
          <w:szCs w:val="22"/>
        </w:rPr>
        <w:t xml:space="preserve">O — Outcomes: </w:t>
      </w:r>
      <w:r>
        <w:rPr>
          <w:rFonts w:ascii="Georgia" w:cs="Georgia" w:eastAsia="Georgia" w:hAnsi="Georgia"/>
          <w:b w:val="false"/>
          <w:bCs w:val="false"/>
          <w:i w:val="false"/>
          <w:iCs w:val="false"/>
          <w:color w:val="1D1D1D"/>
          <w:sz w:val="22"/>
          <w:szCs w:val="22"/>
        </w:rPr>
        <w:t xml:space="preserve">progression-free survival, overall survival, MRD-negativity (10 to the minus 5 and 10 to the minus 6), overall response rate, treatment-related mortality, infection rate, quality of life, treatment-free interval.</w:t>
      </w:r>
    </w:p>
    <w:p>
      <w:pPr>
        <w:spacing w:after="80" w:before="180"/>
      </w:pPr>
      <w:r>
        <w:rPr>
          <w:rFonts w:ascii="Georgia" w:cs="Georgia" w:eastAsia="Georgia" w:hAnsi="Georgia"/>
          <w:b/>
          <w:bCs/>
          <w:color w:val="1D1D1D"/>
          <w:sz w:val="24"/>
          <w:szCs w:val="24"/>
        </w:rPr>
        <w:t xml:space="preserve">Source societies and frameworks</w:t>
      </w:r>
    </w:p>
    <w:p>
      <w:pPr>
        <w:pStyle w:val="ListParagraph"/>
        <w:numPr>
          <w:ilvl w:val="0"/>
          <w:numId w:val="2"/>
        </w:numPr>
        <w:spacing w:after="40" w:before="40" w:line="280"/>
      </w:pPr>
      <w:r>
        <w:rPr>
          <w:rFonts w:ascii="Georgia" w:cs="Georgia" w:eastAsia="Georgia" w:hAnsi="Georgia"/>
          <w:b w:val="false"/>
          <w:bCs w:val="false"/>
          <w:i w:val="false"/>
          <w:iCs w:val="false"/>
          <w:color w:val="1D1D1D"/>
          <w:sz w:val="22"/>
          <w:szCs w:val="22"/>
        </w:rPr>
        <w:t xml:space="preserve">BSH and UK Myeloma Society / UK Myeloma Forum — UK national guideline framework; primary driver for UK practice (Snowden 2017, Sive 2021, Stern 2023, Hughes 2024, two Kaiser 2024 papers, Pinney 2025, Jenner 2025).</w:t>
      </w:r>
    </w:p>
    <w:p>
      <w:pPr>
        <w:pStyle w:val="ListParagraph"/>
        <w:numPr>
          <w:ilvl w:val="0"/>
          <w:numId w:val="2"/>
        </w:numPr>
        <w:spacing w:after="40" w:before="40" w:line="280"/>
      </w:pPr>
      <w:r>
        <w:rPr>
          <w:rFonts w:ascii="Georgia" w:cs="Georgia" w:eastAsia="Georgia" w:hAnsi="Georgia"/>
          <w:b w:val="false"/>
          <w:bCs w:val="false"/>
          <w:i w:val="false"/>
          <w:iCs w:val="false"/>
          <w:color w:val="1D1D1D"/>
          <w:sz w:val="22"/>
          <w:szCs w:val="22"/>
        </w:rPr>
        <w:t xml:space="preserve">NICE — NG35 (diagnosis and management) and the individual technology appraisals listed in Section 1.</w:t>
      </w:r>
    </w:p>
    <w:p>
      <w:pPr>
        <w:pStyle w:val="ListParagraph"/>
        <w:numPr>
          <w:ilvl w:val="0"/>
          <w:numId w:val="2"/>
        </w:numPr>
        <w:spacing w:after="40" w:before="40" w:line="280"/>
      </w:pPr>
      <w:r>
        <w:rPr>
          <w:rFonts w:ascii="Georgia" w:cs="Georgia" w:eastAsia="Georgia" w:hAnsi="Georgia"/>
          <w:b w:val="false"/>
          <w:bCs w:val="false"/>
          <w:i w:val="false"/>
          <w:iCs w:val="false"/>
          <w:color w:val="1D1D1D"/>
          <w:sz w:val="22"/>
          <w:szCs w:val="22"/>
        </w:rPr>
        <w:t xml:space="preserve">EHA-EMN 2025 — European Hematology Association / European Myeloma Network evidence-based guideline (Dimopoulos 2025, Nat Rev Clin Oncol). Replaces EHA-ESMO 2021.</w:t>
      </w:r>
    </w:p>
    <w:p>
      <w:pPr>
        <w:pStyle w:val="ListParagraph"/>
        <w:numPr>
          <w:ilvl w:val="0"/>
          <w:numId w:val="2"/>
        </w:numPr>
        <w:spacing w:after="40" w:before="40" w:line="280"/>
      </w:pPr>
      <w:r>
        <w:rPr>
          <w:rFonts w:ascii="Georgia" w:cs="Georgia" w:eastAsia="Georgia" w:hAnsi="Georgia"/>
          <w:b w:val="false"/>
          <w:bCs w:val="false"/>
          <w:i w:val="false"/>
          <w:iCs w:val="false"/>
          <w:color w:val="1D1D1D"/>
          <w:sz w:val="22"/>
          <w:szCs w:val="22"/>
        </w:rPr>
        <w:t xml:space="preserve">IMWG — 2014 diagnostic criteria (Rajkumar), 2020 risk model for SMM (Mateos), 2021 PCL redefinition (Fernandez de Larrea).</w:t>
      </w:r>
    </w:p>
    <w:p>
      <w:pPr>
        <w:pStyle w:val="ListParagraph"/>
        <w:numPr>
          <w:ilvl w:val="0"/>
          <w:numId w:val="2"/>
        </w:numPr>
        <w:spacing w:after="40" w:before="40" w:line="280"/>
      </w:pPr>
      <w:r>
        <w:rPr>
          <w:rFonts w:ascii="Georgia" w:cs="Georgia" w:eastAsia="Georgia" w:hAnsi="Georgia"/>
          <w:b w:val="false"/>
          <w:bCs w:val="false"/>
          <w:i w:val="false"/>
          <w:iCs w:val="false"/>
          <w:color w:val="1D1D1D"/>
          <w:sz w:val="22"/>
          <w:szCs w:val="22"/>
        </w:rPr>
        <w:t xml:space="preserve">IKMG 2019 — International Kidney and Monoclonal Gammopathy Research Group consensus on MGRS (Leung).</w:t>
      </w:r>
    </w:p>
    <w:p>
      <w:pPr>
        <w:spacing w:after="80" w:before="180"/>
      </w:pPr>
      <w:r>
        <w:rPr>
          <w:rFonts w:ascii="Georgia" w:cs="Georgia" w:eastAsia="Georgia" w:hAnsi="Georgia"/>
          <w:b/>
          <w:bCs/>
          <w:color w:val="1D1D1D"/>
          <w:sz w:val="24"/>
          <w:szCs w:val="24"/>
        </w:rPr>
        <w:t xml:space="preserve">Evidence grading</w:t>
      </w:r>
    </w:p>
    <w:p>
      <w:pPr>
        <w:pStyle w:val="ListParagraph"/>
        <w:numPr>
          <w:ilvl w:val="0"/>
          <w:numId w:val="2"/>
        </w:numPr>
        <w:spacing w:after="40" w:before="40" w:line="280"/>
      </w:pPr>
      <w:r>
        <w:rPr>
          <w:rFonts w:ascii="Georgia" w:cs="Georgia" w:eastAsia="Georgia" w:hAnsi="Georgia"/>
          <w:b/>
          <w:bCs/>
          <w:i w:val="false"/>
          <w:iCs w:val="false"/>
          <w:color w:val="1D1D1D"/>
          <w:sz w:val="22"/>
          <w:szCs w:val="22"/>
        </w:rPr>
        <w:t xml:space="preserve">High: </w:t>
      </w:r>
      <w:r>
        <w:rPr>
          <w:rFonts w:ascii="Georgia" w:cs="Georgia" w:eastAsia="Georgia" w:hAnsi="Georgia"/>
          <w:b w:val="false"/>
          <w:bCs w:val="false"/>
          <w:i w:val="false"/>
          <w:iCs w:val="false"/>
          <w:color w:val="1D1D1D"/>
          <w:sz w:val="22"/>
          <w:szCs w:val="22"/>
        </w:rPr>
        <w:t xml:space="preserve">RCTs or meta-analyses with consistent results.</w:t>
      </w:r>
    </w:p>
    <w:p>
      <w:pPr>
        <w:pStyle w:val="ListParagraph"/>
        <w:numPr>
          <w:ilvl w:val="0"/>
          <w:numId w:val="2"/>
        </w:numPr>
        <w:spacing w:after="40" w:before="40" w:line="280"/>
      </w:pPr>
      <w:r>
        <w:rPr>
          <w:rFonts w:ascii="Georgia" w:cs="Georgia" w:eastAsia="Georgia" w:hAnsi="Georgia"/>
          <w:b/>
          <w:bCs/>
          <w:i w:val="false"/>
          <w:iCs w:val="false"/>
          <w:color w:val="1D1D1D"/>
          <w:sz w:val="22"/>
          <w:szCs w:val="22"/>
        </w:rPr>
        <w:t xml:space="preserve">Moderate: </w:t>
      </w:r>
      <w:r>
        <w:rPr>
          <w:rFonts w:ascii="Georgia" w:cs="Georgia" w:eastAsia="Georgia" w:hAnsi="Georgia"/>
          <w:b w:val="false"/>
          <w:bCs w:val="false"/>
          <w:i w:val="false"/>
          <w:iCs w:val="false"/>
          <w:color w:val="1D1D1D"/>
          <w:sz w:val="22"/>
          <w:szCs w:val="22"/>
        </w:rPr>
        <w:t xml:space="preserve">RCTs with limitations or observational data with a strong effect size.</w:t>
      </w:r>
    </w:p>
    <w:p>
      <w:pPr>
        <w:pStyle w:val="ListParagraph"/>
        <w:numPr>
          <w:ilvl w:val="0"/>
          <w:numId w:val="2"/>
        </w:numPr>
        <w:spacing w:after="40" w:before="40" w:line="280"/>
      </w:pPr>
      <w:r>
        <w:rPr>
          <w:rFonts w:ascii="Georgia" w:cs="Georgia" w:eastAsia="Georgia" w:hAnsi="Georgia"/>
          <w:b/>
          <w:bCs/>
          <w:i w:val="false"/>
          <w:iCs w:val="false"/>
          <w:color w:val="1D1D1D"/>
          <w:sz w:val="22"/>
          <w:szCs w:val="22"/>
        </w:rPr>
        <w:t xml:space="preserve">Low: </w:t>
      </w:r>
      <w:r>
        <w:rPr>
          <w:rFonts w:ascii="Georgia" w:cs="Georgia" w:eastAsia="Georgia" w:hAnsi="Georgia"/>
          <w:b w:val="false"/>
          <w:bCs w:val="false"/>
          <w:i w:val="false"/>
          <w:iCs w:val="false"/>
          <w:color w:val="1D1D1D"/>
          <w:sz w:val="22"/>
          <w:szCs w:val="22"/>
        </w:rPr>
        <w:t xml:space="preserve">Observational or indirect evidence.</w:t>
      </w:r>
    </w:p>
    <w:p>
      <w:pPr>
        <w:pStyle w:val="ListParagraph"/>
        <w:numPr>
          <w:ilvl w:val="0"/>
          <w:numId w:val="2"/>
        </w:numPr>
        <w:spacing w:after="40" w:before="40" w:line="280"/>
      </w:pPr>
      <w:r>
        <w:rPr>
          <w:rFonts w:ascii="Georgia" w:cs="Georgia" w:eastAsia="Georgia" w:hAnsi="Georgia"/>
          <w:b/>
          <w:bCs/>
          <w:i w:val="false"/>
          <w:iCs w:val="false"/>
          <w:color w:val="1D1D1D"/>
          <w:sz w:val="22"/>
          <w:szCs w:val="22"/>
        </w:rPr>
        <w:t xml:space="preserve">Very low: </w:t>
      </w:r>
      <w:r>
        <w:rPr>
          <w:rFonts w:ascii="Georgia" w:cs="Georgia" w:eastAsia="Georgia" w:hAnsi="Georgia"/>
          <w:b w:val="false"/>
          <w:bCs w:val="false"/>
          <w:i w:val="false"/>
          <w:iCs w:val="false"/>
          <w:color w:val="1D1D1D"/>
          <w:sz w:val="22"/>
          <w:szCs w:val="22"/>
        </w:rPr>
        <w:t xml:space="preserve">Case series or expert opinion.</w:t>
      </w:r>
    </w:p>
    <w:p>
      <w:pPr>
        <w:pStyle w:val="Heading1"/>
        <w:spacing w:after="160" w:before="360"/>
      </w:pPr>
      <w:r>
        <w:rPr>
          <w:rFonts w:ascii="Georgia" w:cs="Georgia" w:eastAsia="Georgia" w:hAnsi="Georgia"/>
          <w:b/>
          <w:bCs/>
          <w:color w:val="7A1F2B"/>
          <w:sz w:val="30"/>
          <w:szCs w:val="30"/>
        </w:rPr>
        <w:t xml:space="preserve">4. </w:t>
      </w:r>
      <w:r>
        <w:rPr>
          <w:rFonts w:ascii="Georgia" w:cs="Georgia" w:eastAsia="Georgia" w:hAnsi="Georgia"/>
          <w:b/>
          <w:bCs/>
          <w:color w:val="7A1F2B"/>
          <w:sz w:val="30"/>
          <w:szCs w:val="30"/>
        </w:rPr>
        <w:t xml:space="preserve">The Plasma Cell Disease Continuum</w:t>
      </w:r>
    </w:p>
    <w:p>
      <w:pPr>
        <w:spacing w:after="80" w:before="80" w:line="300"/>
        <w:jc w:val="left"/>
      </w:pPr>
      <w:r>
        <w:rPr>
          <w:rFonts w:ascii="Georgia" w:cs="Georgia" w:eastAsia="Georgia" w:hAnsi="Georgia"/>
          <w:b w:val="false"/>
          <w:bCs w:val="false"/>
          <w:i w:val="false"/>
          <w:iCs w:val="false"/>
          <w:color w:val="1D1D1D"/>
          <w:sz w:val="22"/>
          <w:szCs w:val="22"/>
        </w:rPr>
        <w:t xml:space="preserve">The boundary between MGUS, SMM and active myeloma is biological rather than absolute. Disease moves along the continuum at a rate that varies with clonal burden, cytogenetic features and host factors. A consistent monitoring framework, with timely transitions in care intensity, prevents both overtreatment and missed progression.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400"/>
        <w:gridCol w:w="2200"/>
        <w:gridCol w:w="2200"/>
        <w:gridCol w:w="2226"/>
      </w:tblGrid>
      <w:tr>
        <w:trPr>
          <w:tblHeader/>
        </w:trPr>
        <w:tc>
          <w:tcPr>
            <w:tcW w:type="dxa" w:w="2400"/>
            <w:tcBorders>
              <w:top w:val="single" w:color="D8C9CB" w:sz="4"/>
              <w:left w:val="single" w:color="D8C9CB" w:sz="4"/>
              <w:bottom w:val="single" w:color="D8C9CB" w:sz="4"/>
              <w:right w:val="single" w:color="D8C9CB" w:sz="4"/>
            </w:tcBorders>
            <w:shd w:fill="F5E9EB" w:val="clear"/>
            <w:tcMar>
              <w:top w:type="dxa" w:w="80"/>
              <w:left w:type="dxa" w:w="120"/>
              <w:bottom w:type="dxa" w:w="80"/>
              <w:right w:type="dxa" w:w="120"/>
            </w:tcMar>
          </w:tcPr>
          <w:p>
            <w:pPr>
              <w:spacing w:after="0" w:before="0" w:line="260"/>
            </w:pPr>
            <w:r>
              <w:rPr>
                <w:rFonts w:ascii="Georgia" w:cs="Georgia" w:eastAsia="Georgia" w:hAnsi="Georgia"/>
                <w:b/>
                <w:bCs/>
                <w:color w:val="7A1F2B"/>
                <w:sz w:val="20"/>
                <w:szCs w:val="20"/>
              </w:rPr>
              <w:t xml:space="preserve">State</w:t>
            </w:r>
          </w:p>
        </w:tc>
        <w:tc>
          <w:tcPr>
            <w:tcW w:type="dxa" w:w="2200"/>
            <w:tcBorders>
              <w:top w:val="single" w:color="D8C9CB" w:sz="4"/>
              <w:left w:val="single" w:color="D8C9CB" w:sz="4"/>
              <w:bottom w:val="single" w:color="D8C9CB" w:sz="4"/>
              <w:right w:val="single" w:color="D8C9CB" w:sz="4"/>
            </w:tcBorders>
            <w:shd w:fill="F5E9EB" w:val="clear"/>
            <w:tcMar>
              <w:top w:type="dxa" w:w="80"/>
              <w:left w:type="dxa" w:w="120"/>
              <w:bottom w:type="dxa" w:w="80"/>
              <w:right w:type="dxa" w:w="120"/>
            </w:tcMar>
          </w:tcPr>
          <w:p>
            <w:pPr>
              <w:spacing w:after="0" w:before="0" w:line="260"/>
            </w:pPr>
            <w:r>
              <w:rPr>
                <w:rFonts w:ascii="Georgia" w:cs="Georgia" w:eastAsia="Georgia" w:hAnsi="Georgia"/>
                <w:b/>
                <w:bCs/>
                <w:color w:val="7A1F2B"/>
                <w:sz w:val="20"/>
                <w:szCs w:val="20"/>
              </w:rPr>
              <w:t xml:space="preserve">Prevalence</w:t>
            </w:r>
          </w:p>
        </w:tc>
        <w:tc>
          <w:tcPr>
            <w:tcW w:type="dxa" w:w="2200"/>
            <w:tcBorders>
              <w:top w:val="single" w:color="D8C9CB" w:sz="4"/>
              <w:left w:val="single" w:color="D8C9CB" w:sz="4"/>
              <w:bottom w:val="single" w:color="D8C9CB" w:sz="4"/>
              <w:right w:val="single" w:color="D8C9CB" w:sz="4"/>
            </w:tcBorders>
            <w:shd w:fill="F5E9EB" w:val="clear"/>
            <w:tcMar>
              <w:top w:type="dxa" w:w="80"/>
              <w:left w:type="dxa" w:w="120"/>
              <w:bottom w:type="dxa" w:w="80"/>
              <w:right w:type="dxa" w:w="120"/>
            </w:tcMar>
          </w:tcPr>
          <w:p>
            <w:pPr>
              <w:spacing w:after="0" w:before="0" w:line="260"/>
            </w:pPr>
            <w:r>
              <w:rPr>
                <w:rFonts w:ascii="Georgia" w:cs="Georgia" w:eastAsia="Georgia" w:hAnsi="Georgia"/>
                <w:b/>
                <w:bCs/>
                <w:color w:val="7A1F2B"/>
                <w:sz w:val="20"/>
                <w:szCs w:val="20"/>
              </w:rPr>
              <w:t xml:space="preserve">Annual progression to MM</w:t>
            </w:r>
          </w:p>
        </w:tc>
        <w:tc>
          <w:tcPr>
            <w:tcW w:type="dxa" w:w="2226"/>
            <w:tcBorders>
              <w:top w:val="single" w:color="D8C9CB" w:sz="4"/>
              <w:left w:val="single" w:color="D8C9CB" w:sz="4"/>
              <w:bottom w:val="single" w:color="D8C9CB" w:sz="4"/>
              <w:right w:val="single" w:color="D8C9CB" w:sz="4"/>
            </w:tcBorders>
            <w:shd w:fill="F5E9EB" w:val="clear"/>
            <w:tcMar>
              <w:top w:type="dxa" w:w="80"/>
              <w:left w:type="dxa" w:w="120"/>
              <w:bottom w:type="dxa" w:w="80"/>
              <w:right w:type="dxa" w:w="120"/>
            </w:tcMar>
          </w:tcPr>
          <w:p>
            <w:pPr>
              <w:spacing w:after="0" w:before="0" w:line="260"/>
            </w:pPr>
            <w:r>
              <w:rPr>
                <w:rFonts w:ascii="Georgia" w:cs="Georgia" w:eastAsia="Georgia" w:hAnsi="Georgia"/>
                <w:b/>
                <w:bCs/>
                <w:color w:val="7A1F2B"/>
                <w:sz w:val="20"/>
                <w:szCs w:val="20"/>
              </w:rPr>
              <w:t xml:space="preserve">Action</w:t>
            </w:r>
          </w:p>
        </w:tc>
      </w:tr>
      <w:tr>
        <w:tc>
          <w:tcPr>
            <w:tcW w:type="dxa" w:w="2400"/>
            <w:tcBorders>
              <w:top w:val="single" w:color="D8C9CB" w:sz="4"/>
              <w:left w:val="single" w:color="D8C9CB" w:sz="4"/>
              <w:bottom w:val="single" w:color="D8C9CB" w:sz="4"/>
              <w:right w:val="single" w:color="D8C9CB" w:sz="4"/>
            </w:tcBorders>
            <w:tcMar>
              <w:top w:type="dxa" w:w="80"/>
              <w:left w:type="dxa" w:w="120"/>
              <w:bottom w:type="dxa" w:w="80"/>
              <w:right w:type="dxa" w:w="120"/>
            </w:tcMar>
          </w:tcPr>
          <w:p>
            <w:pPr>
              <w:spacing w:after="0" w:before="0" w:line="260"/>
            </w:pPr>
            <w:r>
              <w:rPr>
                <w:rFonts w:ascii="Georgia" w:cs="Georgia" w:eastAsia="Georgia" w:hAnsi="Georgia"/>
                <w:b w:val="false"/>
                <w:bCs w:val="false"/>
                <w:color w:val="1D1D1D"/>
                <w:sz w:val="20"/>
                <w:szCs w:val="20"/>
              </w:rPr>
              <w:t xml:space="preserve">MGUS (Mayo low-risk)</w:t>
            </w:r>
          </w:p>
        </w:tc>
        <w:tc>
          <w:tcPr>
            <w:tcW w:type="dxa" w:w="2200"/>
            <w:tcBorders>
              <w:top w:val="single" w:color="D8C9CB" w:sz="4"/>
              <w:left w:val="single" w:color="D8C9CB" w:sz="4"/>
              <w:bottom w:val="single" w:color="D8C9CB" w:sz="4"/>
              <w:right w:val="single" w:color="D8C9CB" w:sz="4"/>
            </w:tcBorders>
            <w:tcMar>
              <w:top w:type="dxa" w:w="80"/>
              <w:left w:type="dxa" w:w="120"/>
              <w:bottom w:type="dxa" w:w="80"/>
              <w:right w:type="dxa" w:w="120"/>
            </w:tcMar>
          </w:tcPr>
          <w:p>
            <w:pPr>
              <w:spacing w:after="0" w:before="0" w:line="260"/>
            </w:pPr>
            <w:r>
              <w:rPr>
                <w:rFonts w:ascii="Georgia" w:cs="Georgia" w:eastAsia="Georgia" w:hAnsi="Georgia"/>
                <w:b w:val="false"/>
                <w:bCs w:val="false"/>
                <w:color w:val="1D1D1D"/>
                <w:sz w:val="20"/>
                <w:szCs w:val="20"/>
              </w:rPr>
              <w:t xml:space="preserve">~3% of those aged 50+</w:t>
            </w:r>
          </w:p>
        </w:tc>
        <w:tc>
          <w:tcPr>
            <w:tcW w:type="dxa" w:w="2200"/>
            <w:tcBorders>
              <w:top w:val="single" w:color="D8C9CB" w:sz="4"/>
              <w:left w:val="single" w:color="D8C9CB" w:sz="4"/>
              <w:bottom w:val="single" w:color="D8C9CB" w:sz="4"/>
              <w:right w:val="single" w:color="D8C9CB" w:sz="4"/>
            </w:tcBorders>
            <w:tcMar>
              <w:top w:type="dxa" w:w="80"/>
              <w:left w:type="dxa" w:w="120"/>
              <w:bottom w:type="dxa" w:w="80"/>
              <w:right w:type="dxa" w:w="120"/>
            </w:tcMar>
          </w:tcPr>
          <w:p>
            <w:pPr>
              <w:spacing w:after="0" w:before="0" w:line="260"/>
            </w:pPr>
            <w:r>
              <w:rPr>
                <w:rFonts w:ascii="Georgia" w:cs="Georgia" w:eastAsia="Georgia" w:hAnsi="Georgia"/>
                <w:b w:val="false"/>
                <w:bCs w:val="false"/>
                <w:color w:val="1D1D1D"/>
                <w:sz w:val="20"/>
                <w:szCs w:val="20"/>
              </w:rPr>
              <w:t xml:space="preserve">~0.3 to 0.5% per year</w:t>
            </w:r>
          </w:p>
        </w:tc>
        <w:tc>
          <w:tcPr>
            <w:tcW w:type="dxa" w:w="2226"/>
            <w:tcBorders>
              <w:top w:val="single" w:color="D8C9CB" w:sz="4"/>
              <w:left w:val="single" w:color="D8C9CB" w:sz="4"/>
              <w:bottom w:val="single" w:color="D8C9CB" w:sz="4"/>
              <w:right w:val="single" w:color="D8C9CB" w:sz="4"/>
            </w:tcBorders>
            <w:tcMar>
              <w:top w:type="dxa" w:w="80"/>
              <w:left w:type="dxa" w:w="120"/>
              <w:bottom w:type="dxa" w:w="80"/>
              <w:right w:type="dxa" w:w="120"/>
            </w:tcMar>
          </w:tcPr>
          <w:p>
            <w:pPr>
              <w:spacing w:after="0" w:before="0" w:line="260"/>
            </w:pPr>
            <w:r>
              <w:rPr>
                <w:rFonts w:ascii="Georgia" w:cs="Georgia" w:eastAsia="Georgia" w:hAnsi="Georgia"/>
                <w:b w:val="false"/>
                <w:bCs w:val="false"/>
                <w:color w:val="1D1D1D"/>
                <w:sz w:val="20"/>
                <w:szCs w:val="20"/>
              </w:rPr>
              <w:t xml:space="preserve">Primary-care surveillance after baseline confirmation</w:t>
            </w:r>
          </w:p>
        </w:tc>
      </w:tr>
      <w:tr>
        <w:tc>
          <w:tcPr>
            <w:tcW w:type="dxa" w:w="2400"/>
            <w:tcBorders>
              <w:top w:val="single" w:color="D8C9CB" w:sz="4"/>
              <w:left w:val="single" w:color="D8C9CB" w:sz="4"/>
              <w:bottom w:val="single" w:color="D8C9CB" w:sz="4"/>
              <w:right w:val="single" w:color="D8C9CB" w:sz="4"/>
            </w:tcBorders>
            <w:tcMar>
              <w:top w:type="dxa" w:w="80"/>
              <w:left w:type="dxa" w:w="120"/>
              <w:bottom w:type="dxa" w:w="80"/>
              <w:right w:type="dxa" w:w="120"/>
            </w:tcMar>
          </w:tcPr>
          <w:p>
            <w:pPr>
              <w:spacing w:after="0" w:before="0" w:line="260"/>
            </w:pPr>
            <w:r>
              <w:rPr>
                <w:rFonts w:ascii="Georgia" w:cs="Georgia" w:eastAsia="Georgia" w:hAnsi="Georgia"/>
                <w:b w:val="false"/>
                <w:bCs w:val="false"/>
                <w:color w:val="1D1D1D"/>
                <w:sz w:val="20"/>
                <w:szCs w:val="20"/>
              </w:rPr>
              <w:t xml:space="preserve">MGUS (Mayo high-risk)</w:t>
            </w:r>
          </w:p>
        </w:tc>
        <w:tc>
          <w:tcPr>
            <w:tcW w:type="dxa" w:w="2200"/>
            <w:tcBorders>
              <w:top w:val="single" w:color="D8C9CB" w:sz="4"/>
              <w:left w:val="single" w:color="D8C9CB" w:sz="4"/>
              <w:bottom w:val="single" w:color="D8C9CB" w:sz="4"/>
              <w:right w:val="single" w:color="D8C9CB" w:sz="4"/>
            </w:tcBorders>
            <w:tcMar>
              <w:top w:type="dxa" w:w="80"/>
              <w:left w:type="dxa" w:w="120"/>
              <w:bottom w:type="dxa" w:w="80"/>
              <w:right w:type="dxa" w:w="120"/>
            </w:tcMar>
          </w:tcPr>
          <w:p>
            <w:pPr>
              <w:spacing w:after="0" w:before="0" w:line="260"/>
            </w:pPr>
            <w:r>
              <w:rPr>
                <w:rFonts w:ascii="Georgia" w:cs="Georgia" w:eastAsia="Georgia" w:hAnsi="Georgia"/>
                <w:b w:val="false"/>
                <w:bCs w:val="false"/>
                <w:color w:val="1D1D1D"/>
                <w:sz w:val="20"/>
                <w:szCs w:val="20"/>
              </w:rPr>
              <w:t xml:space="preserve">~5 to 10% of MGUS</w:t>
            </w:r>
          </w:p>
        </w:tc>
        <w:tc>
          <w:tcPr>
            <w:tcW w:type="dxa" w:w="2200"/>
            <w:tcBorders>
              <w:top w:val="single" w:color="D8C9CB" w:sz="4"/>
              <w:left w:val="single" w:color="D8C9CB" w:sz="4"/>
              <w:bottom w:val="single" w:color="D8C9CB" w:sz="4"/>
              <w:right w:val="single" w:color="D8C9CB" w:sz="4"/>
            </w:tcBorders>
            <w:tcMar>
              <w:top w:type="dxa" w:w="80"/>
              <w:left w:type="dxa" w:w="120"/>
              <w:bottom w:type="dxa" w:w="80"/>
              <w:right w:type="dxa" w:w="120"/>
            </w:tcMar>
          </w:tcPr>
          <w:p>
            <w:pPr>
              <w:spacing w:after="0" w:before="0" w:line="260"/>
            </w:pPr>
            <w:r>
              <w:rPr>
                <w:rFonts w:ascii="Georgia" w:cs="Georgia" w:eastAsia="Georgia" w:hAnsi="Georgia"/>
                <w:b w:val="false"/>
                <w:bCs w:val="false"/>
                <w:color w:val="1D1D1D"/>
                <w:sz w:val="20"/>
                <w:szCs w:val="20"/>
              </w:rPr>
              <w:t xml:space="preserve">~2 to 3% per year</w:t>
            </w:r>
          </w:p>
        </w:tc>
        <w:tc>
          <w:tcPr>
            <w:tcW w:type="dxa" w:w="2226"/>
            <w:tcBorders>
              <w:top w:val="single" w:color="D8C9CB" w:sz="4"/>
              <w:left w:val="single" w:color="D8C9CB" w:sz="4"/>
              <w:bottom w:val="single" w:color="D8C9CB" w:sz="4"/>
              <w:right w:val="single" w:color="D8C9CB" w:sz="4"/>
            </w:tcBorders>
            <w:tcMar>
              <w:top w:type="dxa" w:w="80"/>
              <w:left w:type="dxa" w:w="120"/>
              <w:bottom w:type="dxa" w:w="80"/>
              <w:right w:type="dxa" w:w="120"/>
            </w:tcMar>
          </w:tcPr>
          <w:p>
            <w:pPr>
              <w:spacing w:after="0" w:before="0" w:line="260"/>
            </w:pPr>
            <w:r>
              <w:rPr>
                <w:rFonts w:ascii="Georgia" w:cs="Georgia" w:eastAsia="Georgia" w:hAnsi="Georgia"/>
                <w:b w:val="false"/>
                <w:bCs w:val="false"/>
                <w:color w:val="1D1D1D"/>
                <w:sz w:val="20"/>
                <w:szCs w:val="20"/>
              </w:rPr>
              <w:t xml:space="preserve">Annual haematology review, BM and imaging at baseline</w:t>
            </w:r>
          </w:p>
        </w:tc>
      </w:tr>
      <w:tr>
        <w:tc>
          <w:tcPr>
            <w:tcW w:type="dxa" w:w="2400"/>
            <w:tcBorders>
              <w:top w:val="single" w:color="D8C9CB" w:sz="4"/>
              <w:left w:val="single" w:color="D8C9CB" w:sz="4"/>
              <w:bottom w:val="single" w:color="D8C9CB" w:sz="4"/>
              <w:right w:val="single" w:color="D8C9CB" w:sz="4"/>
            </w:tcBorders>
            <w:tcMar>
              <w:top w:type="dxa" w:w="80"/>
              <w:left w:type="dxa" w:w="120"/>
              <w:bottom w:type="dxa" w:w="80"/>
              <w:right w:type="dxa" w:w="120"/>
            </w:tcMar>
          </w:tcPr>
          <w:p>
            <w:pPr>
              <w:spacing w:after="0" w:before="0" w:line="260"/>
            </w:pPr>
            <w:r>
              <w:rPr>
                <w:rFonts w:ascii="Georgia" w:cs="Georgia" w:eastAsia="Georgia" w:hAnsi="Georgia"/>
                <w:b w:val="false"/>
                <w:bCs w:val="false"/>
                <w:color w:val="1D1D1D"/>
                <w:sz w:val="20"/>
                <w:szCs w:val="20"/>
              </w:rPr>
              <w:t xml:space="preserve">SMM (Mayo 20-2-20, 0 factors)</w:t>
            </w:r>
          </w:p>
        </w:tc>
        <w:tc>
          <w:tcPr>
            <w:tcW w:type="dxa" w:w="2200"/>
            <w:tcBorders>
              <w:top w:val="single" w:color="D8C9CB" w:sz="4"/>
              <w:left w:val="single" w:color="D8C9CB" w:sz="4"/>
              <w:bottom w:val="single" w:color="D8C9CB" w:sz="4"/>
              <w:right w:val="single" w:color="D8C9CB" w:sz="4"/>
            </w:tcBorders>
            <w:tcMar>
              <w:top w:type="dxa" w:w="80"/>
              <w:left w:type="dxa" w:w="120"/>
              <w:bottom w:type="dxa" w:w="80"/>
              <w:right w:type="dxa" w:w="120"/>
            </w:tcMar>
          </w:tcPr>
          <w:p>
            <w:pPr>
              <w:spacing w:after="0" w:before="0" w:line="260"/>
            </w:pPr>
            <w:r>
              <w:rPr>
                <w:rFonts w:ascii="Georgia" w:cs="Georgia" w:eastAsia="Georgia" w:hAnsi="Georgia"/>
                <w:b w:val="false"/>
                <w:bCs w:val="false"/>
                <w:color w:val="1D1D1D"/>
                <w:sz w:val="20"/>
                <w:szCs w:val="20"/>
              </w:rPr>
              <w:t xml:space="preserve">~20% of SMM</w:t>
            </w:r>
          </w:p>
        </w:tc>
        <w:tc>
          <w:tcPr>
            <w:tcW w:type="dxa" w:w="2200"/>
            <w:tcBorders>
              <w:top w:val="single" w:color="D8C9CB" w:sz="4"/>
              <w:left w:val="single" w:color="D8C9CB" w:sz="4"/>
              <w:bottom w:val="single" w:color="D8C9CB" w:sz="4"/>
              <w:right w:val="single" w:color="D8C9CB" w:sz="4"/>
            </w:tcBorders>
            <w:tcMar>
              <w:top w:type="dxa" w:w="80"/>
              <w:left w:type="dxa" w:w="120"/>
              <w:bottom w:type="dxa" w:w="80"/>
              <w:right w:type="dxa" w:w="120"/>
            </w:tcMar>
          </w:tcPr>
          <w:p>
            <w:pPr>
              <w:spacing w:after="0" w:before="0" w:line="260"/>
            </w:pPr>
            <w:r>
              <w:rPr>
                <w:rFonts w:ascii="Georgia" w:cs="Georgia" w:eastAsia="Georgia" w:hAnsi="Georgia"/>
                <w:b w:val="false"/>
                <w:bCs w:val="false"/>
                <w:color w:val="1D1D1D"/>
                <w:sz w:val="20"/>
                <w:szCs w:val="20"/>
              </w:rPr>
              <w:t xml:space="preserve">~10% over 2 years</w:t>
            </w:r>
          </w:p>
        </w:tc>
        <w:tc>
          <w:tcPr>
            <w:tcW w:type="dxa" w:w="2226"/>
            <w:tcBorders>
              <w:top w:val="single" w:color="D8C9CB" w:sz="4"/>
              <w:left w:val="single" w:color="D8C9CB" w:sz="4"/>
              <w:bottom w:val="single" w:color="D8C9CB" w:sz="4"/>
              <w:right w:val="single" w:color="D8C9CB" w:sz="4"/>
            </w:tcBorders>
            <w:tcMar>
              <w:top w:type="dxa" w:w="80"/>
              <w:left w:type="dxa" w:w="120"/>
              <w:bottom w:type="dxa" w:w="80"/>
              <w:right w:type="dxa" w:w="120"/>
            </w:tcMar>
          </w:tcPr>
          <w:p>
            <w:pPr>
              <w:spacing w:after="0" w:before="0" w:line="260"/>
            </w:pPr>
            <w:r>
              <w:rPr>
                <w:rFonts w:ascii="Georgia" w:cs="Georgia" w:eastAsia="Georgia" w:hAnsi="Georgia"/>
                <w:b w:val="false"/>
                <w:bCs w:val="false"/>
                <w:color w:val="1D1D1D"/>
                <w:sz w:val="20"/>
                <w:szCs w:val="20"/>
              </w:rPr>
              <w:t xml:space="preserve">6–12 monthly surveillance</w:t>
            </w:r>
          </w:p>
        </w:tc>
      </w:tr>
      <w:tr>
        <w:tc>
          <w:tcPr>
            <w:tcW w:type="dxa" w:w="2400"/>
            <w:tcBorders>
              <w:top w:val="single" w:color="D8C9CB" w:sz="4"/>
              <w:left w:val="single" w:color="D8C9CB" w:sz="4"/>
              <w:bottom w:val="single" w:color="D8C9CB" w:sz="4"/>
              <w:right w:val="single" w:color="D8C9CB" w:sz="4"/>
            </w:tcBorders>
            <w:tcMar>
              <w:top w:type="dxa" w:w="80"/>
              <w:left w:type="dxa" w:w="120"/>
              <w:bottom w:type="dxa" w:w="80"/>
              <w:right w:type="dxa" w:w="120"/>
            </w:tcMar>
          </w:tcPr>
          <w:p>
            <w:pPr>
              <w:spacing w:after="0" w:before="0" w:line="260"/>
            </w:pPr>
            <w:r>
              <w:rPr>
                <w:rFonts w:ascii="Georgia" w:cs="Georgia" w:eastAsia="Georgia" w:hAnsi="Georgia"/>
                <w:b w:val="false"/>
                <w:bCs w:val="false"/>
                <w:color w:val="1D1D1D"/>
                <w:sz w:val="20"/>
                <w:szCs w:val="20"/>
              </w:rPr>
              <w:t xml:space="preserve">SMM (1 factor)</w:t>
            </w:r>
          </w:p>
        </w:tc>
        <w:tc>
          <w:tcPr>
            <w:tcW w:type="dxa" w:w="2200"/>
            <w:tcBorders>
              <w:top w:val="single" w:color="D8C9CB" w:sz="4"/>
              <w:left w:val="single" w:color="D8C9CB" w:sz="4"/>
              <w:bottom w:val="single" w:color="D8C9CB" w:sz="4"/>
              <w:right w:val="single" w:color="D8C9CB" w:sz="4"/>
            </w:tcBorders>
            <w:tcMar>
              <w:top w:type="dxa" w:w="80"/>
              <w:left w:type="dxa" w:w="120"/>
              <w:bottom w:type="dxa" w:w="80"/>
              <w:right w:type="dxa" w:w="120"/>
            </w:tcMar>
          </w:tcPr>
          <w:p>
            <w:pPr>
              <w:spacing w:after="0" w:before="0" w:line="260"/>
            </w:pPr>
            <w:r>
              <w:rPr>
                <w:rFonts w:ascii="Georgia" w:cs="Georgia" w:eastAsia="Georgia" w:hAnsi="Georgia"/>
                <w:b w:val="false"/>
                <w:bCs w:val="false"/>
                <w:color w:val="1D1D1D"/>
                <w:sz w:val="20"/>
                <w:szCs w:val="20"/>
              </w:rPr>
              <w:t xml:space="preserve">~40% of SMM</w:t>
            </w:r>
          </w:p>
        </w:tc>
        <w:tc>
          <w:tcPr>
            <w:tcW w:type="dxa" w:w="2200"/>
            <w:tcBorders>
              <w:top w:val="single" w:color="D8C9CB" w:sz="4"/>
              <w:left w:val="single" w:color="D8C9CB" w:sz="4"/>
              <w:bottom w:val="single" w:color="D8C9CB" w:sz="4"/>
              <w:right w:val="single" w:color="D8C9CB" w:sz="4"/>
            </w:tcBorders>
            <w:tcMar>
              <w:top w:type="dxa" w:w="80"/>
              <w:left w:type="dxa" w:w="120"/>
              <w:bottom w:type="dxa" w:w="80"/>
              <w:right w:type="dxa" w:w="120"/>
            </w:tcMar>
          </w:tcPr>
          <w:p>
            <w:pPr>
              <w:spacing w:after="0" w:before="0" w:line="260"/>
            </w:pPr>
            <w:r>
              <w:rPr>
                <w:rFonts w:ascii="Georgia" w:cs="Georgia" w:eastAsia="Georgia" w:hAnsi="Georgia"/>
                <w:b w:val="false"/>
                <w:bCs w:val="false"/>
                <w:color w:val="1D1D1D"/>
                <w:sz w:val="20"/>
                <w:szCs w:val="20"/>
              </w:rPr>
              <w:t xml:space="preserve">~26% over 2 years</w:t>
            </w:r>
          </w:p>
        </w:tc>
        <w:tc>
          <w:tcPr>
            <w:tcW w:type="dxa" w:w="2226"/>
            <w:tcBorders>
              <w:top w:val="single" w:color="D8C9CB" w:sz="4"/>
              <w:left w:val="single" w:color="D8C9CB" w:sz="4"/>
              <w:bottom w:val="single" w:color="D8C9CB" w:sz="4"/>
              <w:right w:val="single" w:color="D8C9CB" w:sz="4"/>
            </w:tcBorders>
            <w:tcMar>
              <w:top w:type="dxa" w:w="80"/>
              <w:left w:type="dxa" w:w="120"/>
              <w:bottom w:type="dxa" w:w="80"/>
              <w:right w:type="dxa" w:w="120"/>
            </w:tcMar>
          </w:tcPr>
          <w:p>
            <w:pPr>
              <w:spacing w:after="0" w:before="0" w:line="260"/>
            </w:pPr>
            <w:r>
              <w:rPr>
                <w:rFonts w:ascii="Georgia" w:cs="Georgia" w:eastAsia="Georgia" w:hAnsi="Georgia"/>
                <w:b w:val="false"/>
                <w:bCs w:val="false"/>
                <w:color w:val="1D1D1D"/>
                <w:sz w:val="20"/>
                <w:szCs w:val="20"/>
              </w:rPr>
              <w:t xml:space="preserve">3-monthly surveillance, trial consideration</w:t>
            </w:r>
          </w:p>
        </w:tc>
      </w:tr>
      <w:tr>
        <w:tc>
          <w:tcPr>
            <w:tcW w:type="dxa" w:w="2400"/>
            <w:tcBorders>
              <w:top w:val="single" w:color="D8C9CB" w:sz="4"/>
              <w:left w:val="single" w:color="D8C9CB" w:sz="4"/>
              <w:bottom w:val="single" w:color="D8C9CB" w:sz="4"/>
              <w:right w:val="single" w:color="D8C9CB" w:sz="4"/>
            </w:tcBorders>
            <w:tcMar>
              <w:top w:type="dxa" w:w="80"/>
              <w:left w:type="dxa" w:w="120"/>
              <w:bottom w:type="dxa" w:w="80"/>
              <w:right w:type="dxa" w:w="120"/>
            </w:tcMar>
          </w:tcPr>
          <w:p>
            <w:pPr>
              <w:spacing w:after="0" w:before="0" w:line="260"/>
            </w:pPr>
            <w:r>
              <w:rPr>
                <w:rFonts w:ascii="Georgia" w:cs="Georgia" w:eastAsia="Georgia" w:hAnsi="Georgia"/>
                <w:b w:val="false"/>
                <w:bCs w:val="false"/>
                <w:color w:val="1D1D1D"/>
                <w:sz w:val="20"/>
                <w:szCs w:val="20"/>
              </w:rPr>
              <w:t xml:space="preserve">SMM (2 or more factors)</w:t>
            </w:r>
          </w:p>
        </w:tc>
        <w:tc>
          <w:tcPr>
            <w:tcW w:type="dxa" w:w="2200"/>
            <w:tcBorders>
              <w:top w:val="single" w:color="D8C9CB" w:sz="4"/>
              <w:left w:val="single" w:color="D8C9CB" w:sz="4"/>
              <w:bottom w:val="single" w:color="D8C9CB" w:sz="4"/>
              <w:right w:val="single" w:color="D8C9CB" w:sz="4"/>
            </w:tcBorders>
            <w:tcMar>
              <w:top w:type="dxa" w:w="80"/>
              <w:left w:type="dxa" w:w="120"/>
              <w:bottom w:type="dxa" w:w="80"/>
              <w:right w:type="dxa" w:w="120"/>
            </w:tcMar>
          </w:tcPr>
          <w:p>
            <w:pPr>
              <w:spacing w:after="0" w:before="0" w:line="260"/>
            </w:pPr>
            <w:r>
              <w:rPr>
                <w:rFonts w:ascii="Georgia" w:cs="Georgia" w:eastAsia="Georgia" w:hAnsi="Georgia"/>
                <w:b w:val="false"/>
                <w:bCs w:val="false"/>
                <w:color w:val="1D1D1D"/>
                <w:sz w:val="20"/>
                <w:szCs w:val="20"/>
              </w:rPr>
              <w:t xml:space="preserve">~40% of SMM</w:t>
            </w:r>
          </w:p>
        </w:tc>
        <w:tc>
          <w:tcPr>
            <w:tcW w:type="dxa" w:w="2200"/>
            <w:tcBorders>
              <w:top w:val="single" w:color="D8C9CB" w:sz="4"/>
              <w:left w:val="single" w:color="D8C9CB" w:sz="4"/>
              <w:bottom w:val="single" w:color="D8C9CB" w:sz="4"/>
              <w:right w:val="single" w:color="D8C9CB" w:sz="4"/>
            </w:tcBorders>
            <w:tcMar>
              <w:top w:type="dxa" w:w="80"/>
              <w:left w:type="dxa" w:w="120"/>
              <w:bottom w:type="dxa" w:w="80"/>
              <w:right w:type="dxa" w:w="120"/>
            </w:tcMar>
          </w:tcPr>
          <w:p>
            <w:pPr>
              <w:spacing w:after="0" w:before="0" w:line="260"/>
            </w:pPr>
            <w:r>
              <w:rPr>
                <w:rFonts w:ascii="Georgia" w:cs="Georgia" w:eastAsia="Georgia" w:hAnsi="Georgia"/>
                <w:b w:val="false"/>
                <w:bCs w:val="false"/>
                <w:color w:val="1D1D1D"/>
                <w:sz w:val="20"/>
                <w:szCs w:val="20"/>
              </w:rPr>
              <w:t xml:space="preserve">~47% over 2 years</w:t>
            </w:r>
          </w:p>
        </w:tc>
        <w:tc>
          <w:tcPr>
            <w:tcW w:type="dxa" w:w="2226"/>
            <w:tcBorders>
              <w:top w:val="single" w:color="D8C9CB" w:sz="4"/>
              <w:left w:val="single" w:color="D8C9CB" w:sz="4"/>
              <w:bottom w:val="single" w:color="D8C9CB" w:sz="4"/>
              <w:right w:val="single" w:color="D8C9CB" w:sz="4"/>
            </w:tcBorders>
            <w:tcMar>
              <w:top w:type="dxa" w:w="80"/>
              <w:left w:type="dxa" w:w="120"/>
              <w:bottom w:type="dxa" w:w="80"/>
              <w:right w:type="dxa" w:w="120"/>
            </w:tcMar>
          </w:tcPr>
          <w:p>
            <w:pPr>
              <w:spacing w:after="0" w:before="0" w:line="260"/>
            </w:pPr>
            <w:r>
              <w:rPr>
                <w:rFonts w:ascii="Georgia" w:cs="Georgia" w:eastAsia="Georgia" w:hAnsi="Georgia"/>
                <w:b w:val="false"/>
                <w:bCs w:val="false"/>
                <w:color w:val="1D1D1D"/>
                <w:sz w:val="20"/>
                <w:szCs w:val="20"/>
              </w:rPr>
              <w:t xml:space="preserve">3-monthly surveillance, trial consideration mandatory</w:t>
            </w:r>
          </w:p>
        </w:tc>
      </w:tr>
      <w:tr>
        <w:tc>
          <w:tcPr>
            <w:tcW w:type="dxa" w:w="2400"/>
            <w:tcBorders>
              <w:top w:val="single" w:color="D8C9CB" w:sz="4"/>
              <w:left w:val="single" w:color="D8C9CB" w:sz="4"/>
              <w:bottom w:val="single" w:color="D8C9CB" w:sz="4"/>
              <w:right w:val="single" w:color="D8C9CB" w:sz="4"/>
            </w:tcBorders>
            <w:tcMar>
              <w:top w:type="dxa" w:w="80"/>
              <w:left w:type="dxa" w:w="120"/>
              <w:bottom w:type="dxa" w:w="80"/>
              <w:right w:type="dxa" w:w="120"/>
            </w:tcMar>
          </w:tcPr>
          <w:p>
            <w:pPr>
              <w:spacing w:after="0" w:before="0" w:line="260"/>
            </w:pPr>
            <w:r>
              <w:rPr>
                <w:rFonts w:ascii="Georgia" w:cs="Georgia" w:eastAsia="Georgia" w:hAnsi="Georgia"/>
                <w:b w:val="false"/>
                <w:bCs w:val="false"/>
                <w:color w:val="1D1D1D"/>
                <w:sz w:val="20"/>
                <w:szCs w:val="20"/>
              </w:rPr>
              <w:t xml:space="preserve">Active myeloma</w:t>
            </w:r>
          </w:p>
        </w:tc>
        <w:tc>
          <w:tcPr>
            <w:tcW w:type="dxa" w:w="2200"/>
            <w:tcBorders>
              <w:top w:val="single" w:color="D8C9CB" w:sz="4"/>
              <w:left w:val="single" w:color="D8C9CB" w:sz="4"/>
              <w:bottom w:val="single" w:color="D8C9CB" w:sz="4"/>
              <w:right w:val="single" w:color="D8C9CB" w:sz="4"/>
            </w:tcBorders>
            <w:tcMar>
              <w:top w:type="dxa" w:w="80"/>
              <w:left w:type="dxa" w:w="120"/>
              <w:bottom w:type="dxa" w:w="80"/>
              <w:right w:type="dxa" w:w="120"/>
            </w:tcMar>
          </w:tcPr>
          <w:p>
            <w:pPr>
              <w:spacing w:after="0" w:before="0" w:line="260"/>
            </w:pPr>
            <w:r>
              <w:rPr>
                <w:rFonts w:ascii="Georgia" w:cs="Georgia" w:eastAsia="Georgia" w:hAnsi="Georgia"/>
                <w:b w:val="false"/>
                <w:bCs w:val="false"/>
                <w:color w:val="1D1D1D"/>
                <w:sz w:val="20"/>
                <w:szCs w:val="20"/>
              </w:rPr>
              <w:t xml:space="preserve">~6 per 100,000/year (UK)</w:t>
            </w:r>
          </w:p>
        </w:tc>
        <w:tc>
          <w:tcPr>
            <w:tcW w:type="dxa" w:w="2200"/>
            <w:tcBorders>
              <w:top w:val="single" w:color="D8C9CB" w:sz="4"/>
              <w:left w:val="single" w:color="D8C9CB" w:sz="4"/>
              <w:bottom w:val="single" w:color="D8C9CB" w:sz="4"/>
              <w:right w:val="single" w:color="D8C9CB" w:sz="4"/>
            </w:tcBorders>
            <w:tcMar>
              <w:top w:type="dxa" w:w="80"/>
              <w:left w:type="dxa" w:w="120"/>
              <w:bottom w:type="dxa" w:w="80"/>
              <w:right w:type="dxa" w:w="120"/>
            </w:tcMar>
          </w:tcPr>
          <w:p>
            <w:pPr>
              <w:spacing w:after="0" w:before="0" w:line="260"/>
            </w:pPr>
            <w:r>
              <w:rPr>
                <w:rFonts w:ascii="Georgia" w:cs="Georgia" w:eastAsia="Georgia" w:hAnsi="Georgia"/>
                <w:b w:val="false"/>
                <w:bCs w:val="false"/>
                <w:color w:val="1D1D1D"/>
                <w:sz w:val="20"/>
                <w:szCs w:val="20"/>
              </w:rPr>
              <w:t xml:space="preserve">n/a</w:t>
            </w:r>
          </w:p>
        </w:tc>
        <w:tc>
          <w:tcPr>
            <w:tcW w:type="dxa" w:w="2226"/>
            <w:tcBorders>
              <w:top w:val="single" w:color="D8C9CB" w:sz="4"/>
              <w:left w:val="single" w:color="D8C9CB" w:sz="4"/>
              <w:bottom w:val="single" w:color="D8C9CB" w:sz="4"/>
              <w:right w:val="single" w:color="D8C9CB" w:sz="4"/>
            </w:tcBorders>
            <w:tcMar>
              <w:top w:type="dxa" w:w="80"/>
              <w:left w:type="dxa" w:w="120"/>
              <w:bottom w:type="dxa" w:w="80"/>
              <w:right w:type="dxa" w:w="120"/>
            </w:tcMar>
          </w:tcPr>
          <w:p>
            <w:pPr>
              <w:spacing w:after="0" w:before="0" w:line="260"/>
            </w:pPr>
            <w:r>
              <w:rPr>
                <w:rFonts w:ascii="Georgia" w:cs="Georgia" w:eastAsia="Georgia" w:hAnsi="Georgia"/>
                <w:b w:val="false"/>
                <w:bCs w:val="false"/>
                <w:color w:val="1D1D1D"/>
                <w:sz w:val="20"/>
                <w:szCs w:val="20"/>
              </w:rPr>
              <w:t xml:space="preserve">Specialist MDT treatment pathway</w:t>
            </w:r>
          </w:p>
        </w:tc>
      </w:tr>
    </w:tbl>
    <w:p>
      <w:pPr>
        <w:spacing w:after="80" w:before="80" w:line="300"/>
        <w:jc w:val="left"/>
      </w:pPr>
      <w:r>
        <w:rPr>
          <w:rFonts w:ascii="Georgia" w:cs="Georgia" w:eastAsia="Georgia" w:hAnsi="Georgia"/>
          <w:b w:val="false"/>
          <w:bCs w:val="false"/>
          <w:i/>
          <w:iCs/>
          <w:color w:val="4A4A4A"/>
          <w:sz w:val="18"/>
          <w:szCs w:val="18"/>
        </w:rPr>
        <w:t xml:space="preserve">Sources: Stern 2023 BSH MGUS; Hughes 2024 BSH SMM; Lakshman 2018; Mateos 2020.</w:t>
      </w:r>
    </w:p>
    <w:p>
      <w:pPr>
        <w:pStyle w:val="Heading1"/>
        <w:spacing w:after="160" w:before="360"/>
      </w:pPr>
      <w:r>
        <w:rPr>
          <w:rFonts w:ascii="Georgia" w:cs="Georgia" w:eastAsia="Georgia" w:hAnsi="Georgia"/>
          <w:b/>
          <w:bCs/>
          <w:color w:val="7A1F2B"/>
          <w:sz w:val="30"/>
          <w:szCs w:val="30"/>
        </w:rPr>
        <w:t xml:space="preserve">5. </w:t>
      </w:r>
      <w:r>
        <w:rPr>
          <w:rFonts w:ascii="Georgia" w:cs="Georgia" w:eastAsia="Georgia" w:hAnsi="Georgia"/>
          <w:b/>
          <w:bCs/>
          <w:color w:val="7A1F2B"/>
          <w:sz w:val="30"/>
          <w:szCs w:val="30"/>
        </w:rPr>
        <w:t xml:space="preserve">MGUS — Investigation and Risk Stratification</w:t>
      </w:r>
    </w:p>
    <w:p>
      <w:pPr>
        <w:spacing w:after="80" w:before="80" w:line="300"/>
        <w:jc w:val="left"/>
      </w:pPr>
      <w:r>
        <w:rPr>
          <w:rFonts w:ascii="Georgia" w:cs="Georgia" w:eastAsia="Georgia" w:hAnsi="Georgia"/>
          <w:b w:val="false"/>
          <w:bCs w:val="false"/>
          <w:i w:val="false"/>
          <w:iCs w:val="false"/>
          <w:color w:val="1D1D1D"/>
          <w:sz w:val="22"/>
          <w:szCs w:val="22"/>
        </w:rPr>
        <w:t xml:space="preserve">MGUS is defined by a serum M-protein below 30 g/L, clonal bone marrow plasma cells below 10 per cent, and the absence of any feature of myeloma or a related lymphoplasmacytic malignancy. Prevalence is approximately 3 per cent over the age of 50 and rises with age. Most patients die of unrelated causes. The average risk of progression to a related malignancy is approximately 1 per cent per year and persists beyond 25 years. IgM MGUS is more likely to progress to lymphoplasmacytic lymphoma or Waldenstrom macroglobulinaemia than to myeloma.</w:t>
      </w:r>
    </w:p>
    <w:p>
      <w:pPr>
        <w:spacing w:after="80" w:before="180"/>
      </w:pPr>
      <w:r>
        <w:rPr>
          <w:rFonts w:ascii="Georgia" w:cs="Georgia" w:eastAsia="Georgia" w:hAnsi="Georgia"/>
          <w:b/>
          <w:bCs/>
          <w:color w:val="1D1D1D"/>
          <w:sz w:val="24"/>
          <w:szCs w:val="24"/>
        </w:rPr>
        <w:t xml:space="preserve">Initial investigations (all patients)</w:t>
      </w:r>
    </w:p>
    <w:p>
      <w:pPr>
        <w:pStyle w:val="ListParagraph"/>
        <w:numPr>
          <w:ilvl w:val="0"/>
          <w:numId w:val="2"/>
        </w:numPr>
        <w:spacing w:after="40" w:before="40" w:line="280"/>
      </w:pPr>
      <w:r>
        <w:rPr>
          <w:rFonts w:ascii="Georgia" w:cs="Georgia" w:eastAsia="Georgia" w:hAnsi="Georgia"/>
          <w:b w:val="false"/>
          <w:bCs w:val="false"/>
          <w:i w:val="false"/>
          <w:iCs w:val="false"/>
          <w:color w:val="1D1D1D"/>
          <w:sz w:val="22"/>
          <w:szCs w:val="22"/>
        </w:rPr>
        <w:t xml:space="preserve">FBC, urea and electrolytes, eGFR, corrected calcium, albumin.</w:t>
      </w:r>
    </w:p>
    <w:p>
      <w:pPr>
        <w:pStyle w:val="ListParagraph"/>
        <w:numPr>
          <w:ilvl w:val="0"/>
          <w:numId w:val="2"/>
        </w:numPr>
        <w:spacing w:after="40" w:before="40" w:line="280"/>
      </w:pPr>
      <w:r>
        <w:rPr>
          <w:rFonts w:ascii="Georgia" w:cs="Georgia" w:eastAsia="Georgia" w:hAnsi="Georgia"/>
          <w:b w:val="false"/>
          <w:bCs w:val="false"/>
          <w:i w:val="false"/>
          <w:iCs w:val="false"/>
          <w:color w:val="1D1D1D"/>
          <w:sz w:val="22"/>
          <w:szCs w:val="22"/>
        </w:rPr>
        <w:t xml:space="preserve">Urine dipstick for proteinuria; if positive, send urine protein:creatinine ratio (PCR) or albumin:creatinine ratio (ACR).</w:t>
      </w:r>
    </w:p>
    <w:p>
      <w:pPr>
        <w:pStyle w:val="ListParagraph"/>
        <w:numPr>
          <w:ilvl w:val="0"/>
          <w:numId w:val="2"/>
        </w:numPr>
        <w:spacing w:after="40" w:before="40" w:line="280"/>
      </w:pPr>
      <w:r>
        <w:rPr>
          <w:rFonts w:ascii="Georgia" w:cs="Georgia" w:eastAsia="Georgia" w:hAnsi="Georgia"/>
          <w:b w:val="false"/>
          <w:bCs w:val="false"/>
          <w:i w:val="false"/>
          <w:iCs w:val="false"/>
          <w:color w:val="1D1D1D"/>
          <w:sz w:val="22"/>
          <w:szCs w:val="22"/>
        </w:rPr>
        <w:t xml:space="preserve">Serum protein electrophoresis with quantification of the M-protein and uninvolved immunoglobulins.</w:t>
      </w:r>
    </w:p>
    <w:p>
      <w:pPr>
        <w:pStyle w:val="ListParagraph"/>
        <w:numPr>
          <w:ilvl w:val="0"/>
          <w:numId w:val="2"/>
        </w:numPr>
        <w:spacing w:after="40" w:before="40" w:line="280"/>
      </w:pPr>
      <w:r>
        <w:rPr>
          <w:rFonts w:ascii="Georgia" w:cs="Georgia" w:eastAsia="Georgia" w:hAnsi="Georgia"/>
          <w:b w:val="false"/>
          <w:bCs w:val="false"/>
          <w:i w:val="false"/>
          <w:iCs w:val="false"/>
          <w:color w:val="1D1D1D"/>
          <w:sz w:val="22"/>
          <w:szCs w:val="22"/>
        </w:rPr>
        <w:t xml:space="preserve">Immunofixation to confirm M-protein type.</w:t>
      </w:r>
    </w:p>
    <w:p>
      <w:pPr>
        <w:pStyle w:val="ListParagraph"/>
        <w:numPr>
          <w:ilvl w:val="0"/>
          <w:numId w:val="2"/>
        </w:numPr>
        <w:spacing w:after="40" w:before="40" w:line="280"/>
      </w:pPr>
      <w:r>
        <w:rPr>
          <w:rFonts w:ascii="Georgia" w:cs="Georgia" w:eastAsia="Georgia" w:hAnsi="Georgia"/>
          <w:b w:val="false"/>
          <w:bCs w:val="false"/>
          <w:i w:val="false"/>
          <w:iCs w:val="false"/>
          <w:color w:val="1D1D1D"/>
          <w:sz w:val="22"/>
          <w:szCs w:val="22"/>
        </w:rPr>
        <w:t xml:space="preserve">Serum free light chain assay (kappa, lambda, ratio).</w:t>
      </w:r>
    </w:p>
    <w:p>
      <w:pPr>
        <w:pStyle w:val="ListParagraph"/>
        <w:numPr>
          <w:ilvl w:val="0"/>
          <w:numId w:val="2"/>
        </w:numPr>
        <w:spacing w:after="40" w:before="40" w:line="280"/>
      </w:pPr>
      <w:r>
        <w:rPr>
          <w:rFonts w:ascii="Georgia" w:cs="Georgia" w:eastAsia="Georgia" w:hAnsi="Georgia"/>
          <w:b w:val="false"/>
          <w:bCs w:val="false"/>
          <w:i w:val="false"/>
          <w:iCs w:val="false"/>
          <w:color w:val="1D1D1D"/>
          <w:sz w:val="22"/>
          <w:szCs w:val="22"/>
        </w:rPr>
        <w:t xml:space="preserve">Serum LDH and beta-2 microglobulin only if myeloma is suspected.</w:t>
      </w:r>
    </w:p>
    <w:p>
      <w:pPr>
        <w:spacing w:after="80" w:before="80" w:line="300"/>
        <w:jc w:val="left"/>
      </w:pPr>
      <w:r>
        <w:rPr>
          <w:rFonts w:ascii="Georgia" w:cs="Georgia" w:eastAsia="Georgia" w:hAnsi="Georgia"/>
          <w:b w:val="false"/>
          <w:bCs w:val="false"/>
          <w:i w:val="false"/>
          <w:iCs w:val="false"/>
          <w:color w:val="1D1D1D"/>
          <w:sz w:val="22"/>
          <w:szCs w:val="22"/>
        </w:rPr>
        <w:t xml:space="preserve">Serum FLC testing is central to assessment. Routine 24-hour urine collection is not required for initial screening in most UK pathways. Urine studies remain important where local laboratory protocols, amyloid/MGRS assessment, response assessment or trial requirements specify them.</w:t>
      </w:r>
    </w:p>
    <w:p>
      <w:pPr>
        <w:spacing w:after="80" w:before="180"/>
      </w:pPr>
      <w:r>
        <w:rPr>
          <w:rFonts w:ascii="Georgia" w:cs="Georgia" w:eastAsia="Georgia" w:hAnsi="Georgia"/>
          <w:b/>
          <w:bCs/>
          <w:color w:val="1D1D1D"/>
          <w:sz w:val="24"/>
          <w:szCs w:val="24"/>
        </w:rPr>
        <w:t xml:space="preserve">Mayo Clinic risk stratification — preferred UK model</w:t>
      </w:r>
    </w:p>
    <w:p>
      <w:pPr>
        <w:spacing w:after="80" w:before="80" w:line="300"/>
        <w:jc w:val="left"/>
      </w:pPr>
      <w:r>
        <w:rPr>
          <w:rFonts w:ascii="Georgia" w:cs="Georgia" w:eastAsia="Georgia" w:hAnsi="Georgia"/>
          <w:b w:val="false"/>
          <w:bCs w:val="false"/>
          <w:i w:val="false"/>
          <w:iCs w:val="false"/>
          <w:color w:val="1D1D1D"/>
          <w:sz w:val="22"/>
          <w:szCs w:val="22"/>
        </w:rPr>
        <w:t xml:space="preserve">The 2005 Mayo Clinic model uses three readily available variables: an abnormal kappa to lambda FLC ratio (below 0.26 or above 1.65), a serum M-protein above 15 g/L, and a non-IgG isotype (IgA or IgM). Patients are stratified by the number of risk factors present.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400"/>
        <w:gridCol w:w="3000"/>
        <w:gridCol w:w="3626"/>
      </w:tblGrid>
      <w:tr>
        <w:trPr>
          <w:tblHeader/>
        </w:trPr>
        <w:tc>
          <w:tcPr>
            <w:tcW w:type="dxa" w:w="2400"/>
            <w:tcBorders>
              <w:top w:val="single" w:color="D8C9CB" w:sz="4"/>
              <w:left w:val="single" w:color="D8C9CB" w:sz="4"/>
              <w:bottom w:val="single" w:color="D8C9CB" w:sz="4"/>
              <w:right w:val="single" w:color="D8C9CB" w:sz="4"/>
            </w:tcBorders>
            <w:shd w:fill="F5E9EB" w:val="clear"/>
            <w:tcMar>
              <w:top w:type="dxa" w:w="80"/>
              <w:left w:type="dxa" w:w="120"/>
              <w:bottom w:type="dxa" w:w="80"/>
              <w:right w:type="dxa" w:w="120"/>
            </w:tcMar>
          </w:tcPr>
          <w:p>
            <w:pPr>
              <w:spacing w:after="0" w:before="0" w:line="260"/>
            </w:pPr>
            <w:r>
              <w:rPr>
                <w:rFonts w:ascii="Georgia" w:cs="Georgia" w:eastAsia="Georgia" w:hAnsi="Georgia"/>
                <w:b/>
                <w:bCs/>
                <w:color w:val="7A1F2B"/>
                <w:sz w:val="20"/>
                <w:szCs w:val="20"/>
              </w:rPr>
              <w:t xml:space="preserve">Risk factors</w:t>
            </w:r>
          </w:p>
        </w:tc>
        <w:tc>
          <w:tcPr>
            <w:tcW w:type="dxa" w:w="3000"/>
            <w:tcBorders>
              <w:top w:val="single" w:color="D8C9CB" w:sz="4"/>
              <w:left w:val="single" w:color="D8C9CB" w:sz="4"/>
              <w:bottom w:val="single" w:color="D8C9CB" w:sz="4"/>
              <w:right w:val="single" w:color="D8C9CB" w:sz="4"/>
            </w:tcBorders>
            <w:shd w:fill="F5E9EB" w:val="clear"/>
            <w:tcMar>
              <w:top w:type="dxa" w:w="80"/>
              <w:left w:type="dxa" w:w="120"/>
              <w:bottom w:type="dxa" w:w="80"/>
              <w:right w:type="dxa" w:w="120"/>
            </w:tcMar>
          </w:tcPr>
          <w:p>
            <w:pPr>
              <w:spacing w:after="0" w:before="0" w:line="260"/>
            </w:pPr>
            <w:r>
              <w:rPr>
                <w:rFonts w:ascii="Georgia" w:cs="Georgia" w:eastAsia="Georgia" w:hAnsi="Georgia"/>
                <w:b/>
                <w:bCs/>
                <w:color w:val="7A1F2B"/>
                <w:sz w:val="20"/>
                <w:szCs w:val="20"/>
              </w:rPr>
              <w:t xml:space="preserve">Risk group</w:t>
            </w:r>
          </w:p>
        </w:tc>
        <w:tc>
          <w:tcPr>
            <w:tcW w:type="dxa" w:w="3626"/>
            <w:tcBorders>
              <w:top w:val="single" w:color="D8C9CB" w:sz="4"/>
              <w:left w:val="single" w:color="D8C9CB" w:sz="4"/>
              <w:bottom w:val="single" w:color="D8C9CB" w:sz="4"/>
              <w:right w:val="single" w:color="D8C9CB" w:sz="4"/>
            </w:tcBorders>
            <w:shd w:fill="F5E9EB" w:val="clear"/>
            <w:tcMar>
              <w:top w:type="dxa" w:w="80"/>
              <w:left w:type="dxa" w:w="120"/>
              <w:bottom w:type="dxa" w:w="80"/>
              <w:right w:type="dxa" w:w="120"/>
            </w:tcMar>
          </w:tcPr>
          <w:p>
            <w:pPr>
              <w:spacing w:after="0" w:before="0" w:line="260"/>
            </w:pPr>
            <w:r>
              <w:rPr>
                <w:rFonts w:ascii="Georgia" w:cs="Georgia" w:eastAsia="Georgia" w:hAnsi="Georgia"/>
                <w:b/>
                <w:bCs/>
                <w:color w:val="7A1F2B"/>
                <w:sz w:val="20"/>
                <w:szCs w:val="20"/>
              </w:rPr>
              <w:t xml:space="preserve">Absolute risk of progression at 20 years</w:t>
            </w:r>
          </w:p>
        </w:tc>
      </w:tr>
      <w:tr>
        <w:tc>
          <w:tcPr>
            <w:tcW w:type="dxa" w:w="2400"/>
            <w:tcBorders>
              <w:top w:val="single" w:color="D8C9CB" w:sz="4"/>
              <w:left w:val="single" w:color="D8C9CB" w:sz="4"/>
              <w:bottom w:val="single" w:color="D8C9CB" w:sz="4"/>
              <w:right w:val="single" w:color="D8C9CB" w:sz="4"/>
            </w:tcBorders>
            <w:tcMar>
              <w:top w:type="dxa" w:w="80"/>
              <w:left w:type="dxa" w:w="120"/>
              <w:bottom w:type="dxa" w:w="80"/>
              <w:right w:type="dxa" w:w="120"/>
            </w:tcMar>
          </w:tcPr>
          <w:p>
            <w:pPr>
              <w:spacing w:after="0" w:before="0" w:line="260"/>
            </w:pPr>
            <w:r>
              <w:rPr>
                <w:rFonts w:ascii="Georgia" w:cs="Georgia" w:eastAsia="Georgia" w:hAnsi="Georgia"/>
                <w:b w:val="false"/>
                <w:bCs w:val="false"/>
                <w:color w:val="1D1D1D"/>
                <w:sz w:val="20"/>
                <w:szCs w:val="20"/>
              </w:rPr>
              <w:t xml:space="preserve">0</w:t>
            </w:r>
          </w:p>
        </w:tc>
        <w:tc>
          <w:tcPr>
            <w:tcW w:type="dxa" w:w="3000"/>
            <w:tcBorders>
              <w:top w:val="single" w:color="D8C9CB" w:sz="4"/>
              <w:left w:val="single" w:color="D8C9CB" w:sz="4"/>
              <w:bottom w:val="single" w:color="D8C9CB" w:sz="4"/>
              <w:right w:val="single" w:color="D8C9CB" w:sz="4"/>
            </w:tcBorders>
            <w:tcMar>
              <w:top w:type="dxa" w:w="80"/>
              <w:left w:type="dxa" w:w="120"/>
              <w:bottom w:type="dxa" w:w="80"/>
              <w:right w:type="dxa" w:w="120"/>
            </w:tcMar>
          </w:tcPr>
          <w:p>
            <w:pPr>
              <w:spacing w:after="0" w:before="0" w:line="260"/>
            </w:pPr>
            <w:r>
              <w:rPr>
                <w:rFonts w:ascii="Georgia" w:cs="Georgia" w:eastAsia="Georgia" w:hAnsi="Georgia"/>
                <w:b w:val="false"/>
                <w:bCs w:val="false"/>
                <w:color w:val="1D1D1D"/>
                <w:sz w:val="20"/>
                <w:szCs w:val="20"/>
              </w:rPr>
              <w:t xml:space="preserve">Low risk</w:t>
            </w:r>
          </w:p>
        </w:tc>
        <w:tc>
          <w:tcPr>
            <w:tcW w:type="dxa" w:w="3626"/>
            <w:tcBorders>
              <w:top w:val="single" w:color="D8C9CB" w:sz="4"/>
              <w:left w:val="single" w:color="D8C9CB" w:sz="4"/>
              <w:bottom w:val="single" w:color="D8C9CB" w:sz="4"/>
              <w:right w:val="single" w:color="D8C9CB" w:sz="4"/>
            </w:tcBorders>
            <w:tcMar>
              <w:top w:type="dxa" w:w="80"/>
              <w:left w:type="dxa" w:w="120"/>
              <w:bottom w:type="dxa" w:w="80"/>
              <w:right w:type="dxa" w:w="120"/>
            </w:tcMar>
          </w:tcPr>
          <w:p>
            <w:pPr>
              <w:spacing w:after="0" w:before="0" w:line="260"/>
            </w:pPr>
            <w:r>
              <w:rPr>
                <w:rFonts w:ascii="Georgia" w:cs="Georgia" w:eastAsia="Georgia" w:hAnsi="Georgia"/>
                <w:b w:val="false"/>
                <w:bCs w:val="false"/>
                <w:color w:val="1D1D1D"/>
                <w:sz w:val="20"/>
                <w:szCs w:val="20"/>
              </w:rPr>
              <w:t xml:space="preserve">2%</w:t>
            </w:r>
          </w:p>
        </w:tc>
      </w:tr>
      <w:tr>
        <w:tc>
          <w:tcPr>
            <w:tcW w:type="dxa" w:w="2400"/>
            <w:tcBorders>
              <w:top w:val="single" w:color="D8C9CB" w:sz="4"/>
              <w:left w:val="single" w:color="D8C9CB" w:sz="4"/>
              <w:bottom w:val="single" w:color="D8C9CB" w:sz="4"/>
              <w:right w:val="single" w:color="D8C9CB" w:sz="4"/>
            </w:tcBorders>
            <w:tcMar>
              <w:top w:type="dxa" w:w="80"/>
              <w:left w:type="dxa" w:w="120"/>
              <w:bottom w:type="dxa" w:w="80"/>
              <w:right w:type="dxa" w:w="120"/>
            </w:tcMar>
          </w:tcPr>
          <w:p>
            <w:pPr>
              <w:spacing w:after="0" w:before="0" w:line="260"/>
            </w:pPr>
            <w:r>
              <w:rPr>
                <w:rFonts w:ascii="Georgia" w:cs="Georgia" w:eastAsia="Georgia" w:hAnsi="Georgia"/>
                <w:b w:val="false"/>
                <w:bCs w:val="false"/>
                <w:color w:val="1D1D1D"/>
                <w:sz w:val="20"/>
                <w:szCs w:val="20"/>
              </w:rPr>
              <w:t xml:space="preserve">1</w:t>
            </w:r>
          </w:p>
        </w:tc>
        <w:tc>
          <w:tcPr>
            <w:tcW w:type="dxa" w:w="3000"/>
            <w:tcBorders>
              <w:top w:val="single" w:color="D8C9CB" w:sz="4"/>
              <w:left w:val="single" w:color="D8C9CB" w:sz="4"/>
              <w:bottom w:val="single" w:color="D8C9CB" w:sz="4"/>
              <w:right w:val="single" w:color="D8C9CB" w:sz="4"/>
            </w:tcBorders>
            <w:tcMar>
              <w:top w:type="dxa" w:w="80"/>
              <w:left w:type="dxa" w:w="120"/>
              <w:bottom w:type="dxa" w:w="80"/>
              <w:right w:type="dxa" w:w="120"/>
            </w:tcMar>
          </w:tcPr>
          <w:p>
            <w:pPr>
              <w:spacing w:after="0" w:before="0" w:line="260"/>
            </w:pPr>
            <w:r>
              <w:rPr>
                <w:rFonts w:ascii="Georgia" w:cs="Georgia" w:eastAsia="Georgia" w:hAnsi="Georgia"/>
                <w:b w:val="false"/>
                <w:bCs w:val="false"/>
                <w:color w:val="1D1D1D"/>
                <w:sz w:val="20"/>
                <w:szCs w:val="20"/>
              </w:rPr>
              <w:t xml:space="preserve">Low-intermediate</w:t>
            </w:r>
          </w:p>
        </w:tc>
        <w:tc>
          <w:tcPr>
            <w:tcW w:type="dxa" w:w="3626"/>
            <w:tcBorders>
              <w:top w:val="single" w:color="D8C9CB" w:sz="4"/>
              <w:left w:val="single" w:color="D8C9CB" w:sz="4"/>
              <w:bottom w:val="single" w:color="D8C9CB" w:sz="4"/>
              <w:right w:val="single" w:color="D8C9CB" w:sz="4"/>
            </w:tcBorders>
            <w:tcMar>
              <w:top w:type="dxa" w:w="80"/>
              <w:left w:type="dxa" w:w="120"/>
              <w:bottom w:type="dxa" w:w="80"/>
              <w:right w:type="dxa" w:w="120"/>
            </w:tcMar>
          </w:tcPr>
          <w:p>
            <w:pPr>
              <w:spacing w:after="0" w:before="0" w:line="260"/>
            </w:pPr>
            <w:r>
              <w:rPr>
                <w:rFonts w:ascii="Georgia" w:cs="Georgia" w:eastAsia="Georgia" w:hAnsi="Georgia"/>
                <w:b w:val="false"/>
                <w:bCs w:val="false"/>
                <w:color w:val="1D1D1D"/>
                <w:sz w:val="20"/>
                <w:szCs w:val="20"/>
              </w:rPr>
              <w:t xml:space="preserve">10%</w:t>
            </w:r>
          </w:p>
        </w:tc>
      </w:tr>
      <w:tr>
        <w:tc>
          <w:tcPr>
            <w:tcW w:type="dxa" w:w="2400"/>
            <w:tcBorders>
              <w:top w:val="single" w:color="D8C9CB" w:sz="4"/>
              <w:left w:val="single" w:color="D8C9CB" w:sz="4"/>
              <w:bottom w:val="single" w:color="D8C9CB" w:sz="4"/>
              <w:right w:val="single" w:color="D8C9CB" w:sz="4"/>
            </w:tcBorders>
            <w:tcMar>
              <w:top w:type="dxa" w:w="80"/>
              <w:left w:type="dxa" w:w="120"/>
              <w:bottom w:type="dxa" w:w="80"/>
              <w:right w:type="dxa" w:w="120"/>
            </w:tcMar>
          </w:tcPr>
          <w:p>
            <w:pPr>
              <w:spacing w:after="0" w:before="0" w:line="260"/>
            </w:pPr>
            <w:r>
              <w:rPr>
                <w:rFonts w:ascii="Georgia" w:cs="Georgia" w:eastAsia="Georgia" w:hAnsi="Georgia"/>
                <w:b w:val="false"/>
                <w:bCs w:val="false"/>
                <w:color w:val="1D1D1D"/>
                <w:sz w:val="20"/>
                <w:szCs w:val="20"/>
              </w:rPr>
              <w:t xml:space="preserve">2</w:t>
            </w:r>
          </w:p>
        </w:tc>
        <w:tc>
          <w:tcPr>
            <w:tcW w:type="dxa" w:w="3000"/>
            <w:tcBorders>
              <w:top w:val="single" w:color="D8C9CB" w:sz="4"/>
              <w:left w:val="single" w:color="D8C9CB" w:sz="4"/>
              <w:bottom w:val="single" w:color="D8C9CB" w:sz="4"/>
              <w:right w:val="single" w:color="D8C9CB" w:sz="4"/>
            </w:tcBorders>
            <w:tcMar>
              <w:top w:type="dxa" w:w="80"/>
              <w:left w:type="dxa" w:w="120"/>
              <w:bottom w:type="dxa" w:w="80"/>
              <w:right w:type="dxa" w:w="120"/>
            </w:tcMar>
          </w:tcPr>
          <w:p>
            <w:pPr>
              <w:spacing w:after="0" w:before="0" w:line="260"/>
            </w:pPr>
            <w:r>
              <w:rPr>
                <w:rFonts w:ascii="Georgia" w:cs="Georgia" w:eastAsia="Georgia" w:hAnsi="Georgia"/>
                <w:b w:val="false"/>
                <w:bCs w:val="false"/>
                <w:color w:val="1D1D1D"/>
                <w:sz w:val="20"/>
                <w:szCs w:val="20"/>
              </w:rPr>
              <w:t xml:space="preserve">High-intermediate</w:t>
            </w:r>
          </w:p>
        </w:tc>
        <w:tc>
          <w:tcPr>
            <w:tcW w:type="dxa" w:w="3626"/>
            <w:tcBorders>
              <w:top w:val="single" w:color="D8C9CB" w:sz="4"/>
              <w:left w:val="single" w:color="D8C9CB" w:sz="4"/>
              <w:bottom w:val="single" w:color="D8C9CB" w:sz="4"/>
              <w:right w:val="single" w:color="D8C9CB" w:sz="4"/>
            </w:tcBorders>
            <w:tcMar>
              <w:top w:type="dxa" w:w="80"/>
              <w:left w:type="dxa" w:w="120"/>
              <w:bottom w:type="dxa" w:w="80"/>
              <w:right w:type="dxa" w:w="120"/>
            </w:tcMar>
          </w:tcPr>
          <w:p>
            <w:pPr>
              <w:spacing w:after="0" w:before="0" w:line="260"/>
            </w:pPr>
            <w:r>
              <w:rPr>
                <w:rFonts w:ascii="Georgia" w:cs="Georgia" w:eastAsia="Georgia" w:hAnsi="Georgia"/>
                <w:b w:val="false"/>
                <w:bCs w:val="false"/>
                <w:color w:val="1D1D1D"/>
                <w:sz w:val="20"/>
                <w:szCs w:val="20"/>
              </w:rPr>
              <w:t xml:space="preserve">18%</w:t>
            </w:r>
          </w:p>
        </w:tc>
      </w:tr>
      <w:tr>
        <w:tc>
          <w:tcPr>
            <w:tcW w:type="dxa" w:w="2400"/>
            <w:tcBorders>
              <w:top w:val="single" w:color="D8C9CB" w:sz="4"/>
              <w:left w:val="single" w:color="D8C9CB" w:sz="4"/>
              <w:bottom w:val="single" w:color="D8C9CB" w:sz="4"/>
              <w:right w:val="single" w:color="D8C9CB" w:sz="4"/>
            </w:tcBorders>
            <w:tcMar>
              <w:top w:type="dxa" w:w="80"/>
              <w:left w:type="dxa" w:w="120"/>
              <w:bottom w:type="dxa" w:w="80"/>
              <w:right w:type="dxa" w:w="120"/>
            </w:tcMar>
          </w:tcPr>
          <w:p>
            <w:pPr>
              <w:spacing w:after="0" w:before="0" w:line="260"/>
            </w:pPr>
            <w:r>
              <w:rPr>
                <w:rFonts w:ascii="Georgia" w:cs="Georgia" w:eastAsia="Georgia" w:hAnsi="Georgia"/>
                <w:b w:val="false"/>
                <w:bCs w:val="false"/>
                <w:color w:val="1D1D1D"/>
                <w:sz w:val="20"/>
                <w:szCs w:val="20"/>
              </w:rPr>
              <w:t xml:space="preserve">3</w:t>
            </w:r>
          </w:p>
        </w:tc>
        <w:tc>
          <w:tcPr>
            <w:tcW w:type="dxa" w:w="3000"/>
            <w:tcBorders>
              <w:top w:val="single" w:color="D8C9CB" w:sz="4"/>
              <w:left w:val="single" w:color="D8C9CB" w:sz="4"/>
              <w:bottom w:val="single" w:color="D8C9CB" w:sz="4"/>
              <w:right w:val="single" w:color="D8C9CB" w:sz="4"/>
            </w:tcBorders>
            <w:tcMar>
              <w:top w:type="dxa" w:w="80"/>
              <w:left w:type="dxa" w:w="120"/>
              <w:bottom w:type="dxa" w:w="80"/>
              <w:right w:type="dxa" w:w="120"/>
            </w:tcMar>
          </w:tcPr>
          <w:p>
            <w:pPr>
              <w:spacing w:after="0" w:before="0" w:line="260"/>
            </w:pPr>
            <w:r>
              <w:rPr>
                <w:rFonts w:ascii="Georgia" w:cs="Georgia" w:eastAsia="Georgia" w:hAnsi="Georgia"/>
                <w:b w:val="false"/>
                <w:bCs w:val="false"/>
                <w:color w:val="1D1D1D"/>
                <w:sz w:val="20"/>
                <w:szCs w:val="20"/>
              </w:rPr>
              <w:t xml:space="preserve">High risk</w:t>
            </w:r>
          </w:p>
        </w:tc>
        <w:tc>
          <w:tcPr>
            <w:tcW w:type="dxa" w:w="3626"/>
            <w:tcBorders>
              <w:top w:val="single" w:color="D8C9CB" w:sz="4"/>
              <w:left w:val="single" w:color="D8C9CB" w:sz="4"/>
              <w:bottom w:val="single" w:color="D8C9CB" w:sz="4"/>
              <w:right w:val="single" w:color="D8C9CB" w:sz="4"/>
            </w:tcBorders>
            <w:tcMar>
              <w:top w:type="dxa" w:w="80"/>
              <w:left w:type="dxa" w:w="120"/>
              <w:bottom w:type="dxa" w:w="80"/>
              <w:right w:type="dxa" w:w="120"/>
            </w:tcMar>
          </w:tcPr>
          <w:p>
            <w:pPr>
              <w:spacing w:after="0" w:before="0" w:line="260"/>
            </w:pPr>
            <w:r>
              <w:rPr>
                <w:rFonts w:ascii="Georgia" w:cs="Georgia" w:eastAsia="Georgia" w:hAnsi="Georgia"/>
                <w:b w:val="false"/>
                <w:bCs w:val="false"/>
                <w:color w:val="1D1D1D"/>
                <w:sz w:val="20"/>
                <w:szCs w:val="20"/>
              </w:rPr>
              <w:t xml:space="preserve">27%</w:t>
            </w:r>
          </w:p>
        </w:tc>
      </w:tr>
    </w:tbl>
    <w:p>
      <w:pPr>
        <w:spacing w:after="80" w:before="80" w:line="300"/>
        <w:jc w:val="left"/>
      </w:pPr>
      <w:r>
        <w:rPr>
          <w:rFonts w:ascii="Georgia" w:cs="Georgia" w:eastAsia="Georgia" w:hAnsi="Georgia"/>
          <w:b w:val="false"/>
          <w:bCs w:val="false"/>
          <w:i/>
          <w:iCs/>
          <w:color w:val="4A4A4A"/>
          <w:sz w:val="18"/>
          <w:szCs w:val="18"/>
        </w:rPr>
        <w:t xml:space="preserve">Source: Rajkumar 2005 (Blood); endorsed by Stern 2023 BSH Good Practice Paper.</w:t>
      </w:r>
    </w:p>
    <w:p>
      <w:pPr>
        <w:spacing w:after="80" w:before="180"/>
      </w:pPr>
      <w:r>
        <w:rPr>
          <w:rFonts w:ascii="Georgia" w:cs="Georgia" w:eastAsia="Georgia" w:hAnsi="Georgia"/>
          <w:b/>
          <w:bCs/>
          <w:color w:val="1D1D1D"/>
          <w:sz w:val="24"/>
          <w:szCs w:val="24"/>
        </w:rPr>
        <w:t xml:space="preserve">Bone marrow and imaging — risk-stratified</w:t>
      </w:r>
    </w:p>
    <w:p>
      <w:pPr>
        <w:pStyle w:val="ListParagraph"/>
        <w:numPr>
          <w:ilvl w:val="0"/>
          <w:numId w:val="2"/>
        </w:numPr>
        <w:spacing w:after="40" w:before="40" w:line="280"/>
      </w:pPr>
      <w:r>
        <w:rPr>
          <w:rFonts w:ascii="Georgia" w:cs="Georgia" w:eastAsia="Georgia" w:hAnsi="Georgia"/>
          <w:b/>
          <w:bCs/>
          <w:i w:val="false"/>
          <w:iCs w:val="false"/>
          <w:color w:val="1D1D1D"/>
          <w:sz w:val="22"/>
          <w:szCs w:val="22"/>
        </w:rPr>
        <w:t xml:space="preserve">Low and low-intermediate risk MGUS: </w:t>
      </w:r>
      <w:r>
        <w:rPr>
          <w:rFonts w:ascii="Georgia" w:cs="Georgia" w:eastAsia="Georgia" w:hAnsi="Georgia"/>
          <w:b w:val="false"/>
          <w:bCs w:val="false"/>
          <w:i w:val="false"/>
          <w:iCs w:val="false"/>
          <w:color w:val="1D1D1D"/>
          <w:sz w:val="22"/>
          <w:szCs w:val="22"/>
        </w:rPr>
        <w:t xml:space="preserve">no bone marrow examination and no imaging at diagnosis.</w:t>
      </w:r>
    </w:p>
    <w:p>
      <w:pPr>
        <w:pStyle w:val="ListParagraph"/>
        <w:numPr>
          <w:ilvl w:val="0"/>
          <w:numId w:val="2"/>
        </w:numPr>
        <w:spacing w:after="40" w:before="40" w:line="280"/>
      </w:pPr>
      <w:r>
        <w:rPr>
          <w:rFonts w:ascii="Georgia" w:cs="Georgia" w:eastAsia="Georgia" w:hAnsi="Georgia"/>
          <w:b/>
          <w:bCs/>
          <w:i w:val="false"/>
          <w:iCs w:val="false"/>
          <w:color w:val="1D1D1D"/>
          <w:sz w:val="22"/>
          <w:szCs w:val="22"/>
        </w:rPr>
        <w:t xml:space="preserve">High-intermediate and high-risk MGUS: </w:t>
      </w:r>
      <w:r>
        <w:rPr>
          <w:rFonts w:ascii="Georgia" w:cs="Georgia" w:eastAsia="Georgia" w:hAnsi="Georgia"/>
          <w:b w:val="false"/>
          <w:bCs w:val="false"/>
          <w:i w:val="false"/>
          <w:iCs w:val="false"/>
          <w:color w:val="1D1D1D"/>
          <w:sz w:val="22"/>
          <w:szCs w:val="22"/>
        </w:rPr>
        <w:t xml:space="preserve">bone marrow aspirate, trephine, plasma cell immunophenotyping and FISH; whole-body imaging (low-dose WB-CT, WB-MRI or PET-CT, by clinical question and local access).</w:t>
      </w:r>
    </w:p>
    <w:p>
      <w:pPr>
        <w:pStyle w:val="ListParagraph"/>
        <w:numPr>
          <w:ilvl w:val="0"/>
          <w:numId w:val="2"/>
        </w:numPr>
        <w:spacing w:after="40" w:before="40" w:line="280"/>
      </w:pPr>
      <w:r>
        <w:rPr>
          <w:rFonts w:ascii="Georgia" w:cs="Georgia" w:eastAsia="Georgia" w:hAnsi="Georgia"/>
          <w:b w:val="false"/>
          <w:bCs w:val="false"/>
          <w:i w:val="false"/>
          <w:iCs w:val="false"/>
          <w:color w:val="1D1D1D"/>
          <w:sz w:val="22"/>
          <w:szCs w:val="22"/>
        </w:rPr>
        <w:t xml:space="preserve">At the high-intermediate or high-risk threshold, also send urine ACR, troponin and NT-proBNP to screen for AL amyloidosis.</w:t>
      </w:r>
    </w:p>
    <w:p>
      <w:pPr>
        <w:spacing w:after="80" w:before="180"/>
      </w:pPr>
      <w:r>
        <w:rPr>
          <w:rFonts w:ascii="Georgia" w:cs="Georgia" w:eastAsia="Georgia" w:hAnsi="Georgia"/>
          <w:b/>
          <w:bCs/>
          <w:color w:val="1D1D1D"/>
          <w:sz w:val="24"/>
          <w:szCs w:val="24"/>
        </w:rPr>
        <w:t xml:space="preserve">Monitoring schedule</w:t>
      </w:r>
    </w:p>
    <w:p>
      <w:pPr>
        <w:pStyle w:val="ListParagraph"/>
        <w:numPr>
          <w:ilvl w:val="0"/>
          <w:numId w:val="2"/>
        </w:numPr>
        <w:spacing w:after="40" w:before="40" w:line="280"/>
      </w:pPr>
      <w:r>
        <w:rPr>
          <w:rFonts w:ascii="Georgia" w:cs="Georgia" w:eastAsia="Georgia" w:hAnsi="Georgia"/>
          <w:b/>
          <w:bCs/>
          <w:i w:val="false"/>
          <w:iCs w:val="false"/>
          <w:color w:val="1D1D1D"/>
          <w:sz w:val="22"/>
          <w:szCs w:val="22"/>
        </w:rPr>
        <w:t xml:space="preserve">All newly diagnosed MGUS: </w:t>
      </w:r>
      <w:r>
        <w:rPr>
          <w:rFonts w:ascii="Georgia" w:cs="Georgia" w:eastAsia="Georgia" w:hAnsi="Georgia"/>
          <w:b w:val="false"/>
          <w:bCs w:val="false"/>
          <w:i w:val="false"/>
          <w:iCs w:val="false"/>
          <w:color w:val="1D1D1D"/>
          <w:sz w:val="22"/>
          <w:szCs w:val="22"/>
        </w:rPr>
        <w:t xml:space="preserve">repeat FBC, creatinine, calcium, M-protein and serum FLC at 6 months.</w:t>
      </w:r>
    </w:p>
    <w:p>
      <w:pPr>
        <w:pStyle w:val="ListParagraph"/>
        <w:numPr>
          <w:ilvl w:val="0"/>
          <w:numId w:val="2"/>
        </w:numPr>
        <w:spacing w:after="40" w:before="40" w:line="280"/>
      </w:pPr>
      <w:r>
        <w:rPr>
          <w:rFonts w:ascii="Georgia" w:cs="Georgia" w:eastAsia="Georgia" w:hAnsi="Georgia"/>
          <w:b/>
          <w:bCs/>
          <w:i w:val="false"/>
          <w:iCs w:val="false"/>
          <w:color w:val="1D1D1D"/>
          <w:sz w:val="22"/>
          <w:szCs w:val="22"/>
        </w:rPr>
        <w:t xml:space="preserve">Low-risk MGUS: </w:t>
      </w:r>
      <w:r>
        <w:rPr>
          <w:rFonts w:ascii="Georgia" w:cs="Georgia" w:eastAsia="Georgia" w:hAnsi="Georgia"/>
          <w:b w:val="false"/>
          <w:bCs w:val="false"/>
          <w:i w:val="false"/>
          <w:iCs w:val="false"/>
          <w:color w:val="1D1D1D"/>
          <w:sz w:val="22"/>
          <w:szCs w:val="22"/>
        </w:rPr>
        <w:t xml:space="preserve">annually thereafter; consider longer intervals or discharge to primary care where life expectancy is short.</w:t>
      </w:r>
    </w:p>
    <w:p>
      <w:pPr>
        <w:pStyle w:val="ListParagraph"/>
        <w:numPr>
          <w:ilvl w:val="0"/>
          <w:numId w:val="2"/>
        </w:numPr>
        <w:spacing w:after="40" w:before="40" w:line="280"/>
      </w:pPr>
      <w:r>
        <w:rPr>
          <w:rFonts w:ascii="Georgia" w:cs="Georgia" w:eastAsia="Georgia" w:hAnsi="Georgia"/>
          <w:b/>
          <w:bCs/>
          <w:i w:val="false"/>
          <w:iCs w:val="false"/>
          <w:color w:val="1D1D1D"/>
          <w:sz w:val="22"/>
          <w:szCs w:val="22"/>
        </w:rPr>
        <w:t xml:space="preserve">Low-intermediate MGUS: </w:t>
      </w:r>
      <w:r>
        <w:rPr>
          <w:rFonts w:ascii="Georgia" w:cs="Georgia" w:eastAsia="Georgia" w:hAnsi="Georgia"/>
          <w:b w:val="false"/>
          <w:bCs w:val="false"/>
          <w:i w:val="false"/>
          <w:iCs w:val="false"/>
          <w:color w:val="1D1D1D"/>
          <w:sz w:val="22"/>
          <w:szCs w:val="22"/>
        </w:rPr>
        <w:t xml:space="preserve">annual review in primary or secondary care.</w:t>
      </w:r>
    </w:p>
    <w:p>
      <w:pPr>
        <w:pStyle w:val="ListParagraph"/>
        <w:numPr>
          <w:ilvl w:val="0"/>
          <w:numId w:val="2"/>
        </w:numPr>
        <w:spacing w:after="40" w:before="40" w:line="280"/>
      </w:pPr>
      <w:r>
        <w:rPr>
          <w:rFonts w:ascii="Georgia" w:cs="Georgia" w:eastAsia="Georgia" w:hAnsi="Georgia"/>
          <w:b/>
          <w:bCs/>
          <w:i w:val="false"/>
          <w:iCs w:val="false"/>
          <w:color w:val="1D1D1D"/>
          <w:sz w:val="22"/>
          <w:szCs w:val="22"/>
        </w:rPr>
        <w:t xml:space="preserve">High-intermediate and high-risk MGUS: </w:t>
      </w:r>
      <w:r>
        <w:rPr>
          <w:rFonts w:ascii="Georgia" w:cs="Georgia" w:eastAsia="Georgia" w:hAnsi="Georgia"/>
          <w:b w:val="false"/>
          <w:bCs w:val="false"/>
          <w:i w:val="false"/>
          <w:iCs w:val="false"/>
          <w:color w:val="1D1D1D"/>
          <w:sz w:val="22"/>
          <w:szCs w:val="22"/>
        </w:rPr>
        <w:t xml:space="preserve">annual secondary-care review (virtual or face-to-face). Re-stratify formally every 3 years.</w:t>
      </w:r>
    </w:p>
    <w:p>
      <w:pPr>
        <w:pStyle w:val="ListParagraph"/>
        <w:numPr>
          <w:ilvl w:val="0"/>
          <w:numId w:val="2"/>
        </w:numPr>
        <w:spacing w:after="40" w:before="40" w:line="280"/>
      </w:pPr>
      <w:r>
        <w:rPr>
          <w:rFonts w:ascii="Georgia" w:cs="Georgia" w:eastAsia="Georgia" w:hAnsi="Georgia"/>
          <w:b w:val="false"/>
          <w:bCs w:val="false"/>
          <w:i w:val="false"/>
          <w:iCs w:val="false"/>
          <w:color w:val="1D1D1D"/>
          <w:sz w:val="22"/>
          <w:szCs w:val="22"/>
        </w:rPr>
        <w:t xml:space="preserve">Any progressive rise in M-protein or FLC, or development of anaemia, ESR rise, renal impairment, hypercalcaemia or new bone pain, prompts urgent reassessment.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D8C9CB" w:sz="4"/>
              <w:left w:val="single" w:color="7A1F2B" w:sz="16"/>
              <w:bottom w:val="single" w:color="D8C9CB" w:sz="4"/>
              <w:right w:val="single" w:color="D8C9CB" w:sz="4"/>
            </w:tcBorders>
            <w:shd w:fill="F5E9EB" w:val="clear"/>
            <w:tcMar>
              <w:top w:type="dxa" w:w="140"/>
              <w:left w:type="dxa" w:w="200"/>
              <w:bottom w:type="dxa" w:w="140"/>
              <w:right w:type="dxa" w:w="160"/>
            </w:tcMar>
          </w:tcPr>
          <w:p>
            <w:pPr>
              <w:spacing w:after="80" w:before="0"/>
            </w:pPr>
            <w:r>
              <w:rPr>
                <w:rFonts w:ascii="Georgia" w:cs="Georgia" w:eastAsia="Georgia" w:hAnsi="Georgia"/>
                <w:b/>
                <w:bCs/>
                <w:color w:val="7A1F2B"/>
                <w:sz w:val="22"/>
                <w:szCs w:val="22"/>
              </w:rPr>
              <w:t xml:space="preserve">Pattern recognition — IgM MGUS</w:t>
            </w:r>
          </w:p>
          <w:p>
            <w:pPr>
              <w:spacing w:after="0" w:before="0" w:line="280"/>
            </w:pPr>
            <w:r>
              <w:rPr>
                <w:rFonts w:ascii="Georgia" w:cs="Georgia" w:eastAsia="Georgia" w:hAnsi="Georgia"/>
                <w:color w:val="1D1D1D"/>
                <w:sz w:val="22"/>
                <w:szCs w:val="22"/>
              </w:rPr>
              <w:t xml:space="preserve">IgM MGUS is biologically distinct. It carries a different progression risk profile (lymphoplasmacytic lymphoma / Waldenstrom macroglobulinaemia rather than myeloma) and a different surveillance pathway. CT neck-thorax-abdomen-pelvis at baseline is appropriate where the IgM concentration is rising or symptoms suggest nodal disease.</w:t>
            </w:r>
          </w:p>
        </w:tc>
      </w:tr>
    </w:tbl>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D8C9CB" w:sz="4"/>
              <w:left w:val="single" w:color="C87A00" w:sz="16"/>
              <w:bottom w:val="single" w:color="D8C9CB" w:sz="4"/>
              <w:right w:val="single" w:color="D8C9CB" w:sz="4"/>
            </w:tcBorders>
            <w:shd w:fill="FFF4E0" w:val="clear"/>
            <w:tcMar>
              <w:top w:type="dxa" w:w="140"/>
              <w:left w:type="dxa" w:w="200"/>
              <w:bottom w:type="dxa" w:w="140"/>
              <w:right w:type="dxa" w:w="160"/>
            </w:tcMar>
          </w:tcPr>
          <w:p>
            <w:pPr>
              <w:spacing w:after="80" w:before="0"/>
            </w:pPr>
            <w:r>
              <w:rPr>
                <w:rFonts w:ascii="Georgia" w:cs="Georgia" w:eastAsia="Georgia" w:hAnsi="Georgia"/>
                <w:b/>
                <w:bCs/>
                <w:color w:val="C87A00"/>
                <w:sz w:val="22"/>
                <w:szCs w:val="22"/>
              </w:rPr>
              <w:t xml:space="preserve">Common pitfall — proteinuria assumed benign</w:t>
            </w:r>
          </w:p>
          <w:p>
            <w:pPr>
              <w:spacing w:after="0" w:before="0" w:line="280"/>
            </w:pPr>
            <w:r>
              <w:rPr>
                <w:rFonts w:ascii="Georgia" w:cs="Georgia" w:eastAsia="Georgia" w:hAnsi="Georgia"/>
                <w:color w:val="1D1D1D"/>
                <w:sz w:val="22"/>
                <w:szCs w:val="22"/>
              </w:rPr>
              <w:t xml:space="preserve">Urine dipstick is insensitive to light chains. A "trace" or "negative" dipstick does not exclude significant Bence Jones proteinuria. Always send urine ACR (not PCR) where AL amyloid or MGRS is in the differential.</w:t>
            </w:r>
          </w:p>
        </w:tc>
      </w:tr>
    </w:tbl>
    <w:p>
      <w:pPr>
        <w:spacing w:after="80" w:before="180"/>
      </w:pPr>
      <w:r>
        <w:rPr>
          <w:rFonts w:ascii="Georgia" w:cs="Georgia" w:eastAsia="Georgia" w:hAnsi="Georgia"/>
          <w:b/>
          <w:bCs/>
          <w:color w:val="1D1D1D"/>
          <w:sz w:val="24"/>
          <w:szCs w:val="24"/>
        </w:rPr>
        <w:t xml:space="preserve">BSH 2023 recommendations</w:t>
      </w:r>
    </w:p>
    <w:p>
      <w:pPr>
        <w:pStyle w:val="ListParagraph"/>
        <w:numPr>
          <w:ilvl w:val="0"/>
          <w:numId w:val="2"/>
        </w:numPr>
        <w:spacing w:after="40" w:before="40" w:line="280"/>
      </w:pPr>
      <w:r>
        <w:rPr>
          <w:rFonts w:ascii="Georgia" w:cs="Georgia" w:eastAsia="Georgia" w:hAnsi="Georgia"/>
          <w:b w:val="false"/>
          <w:bCs w:val="false"/>
          <w:i w:val="false"/>
          <w:iCs w:val="false"/>
          <w:color w:val="1D1D1D"/>
          <w:sz w:val="22"/>
          <w:szCs w:val="22"/>
        </w:rPr>
        <w:t xml:space="preserve">Risk-stratify all newly diagnosed MGUS using a validated published model that does not require bone marrow biopsy (Mayo criteria preferred).</w:t>
      </w:r>
    </w:p>
    <w:p>
      <w:pPr>
        <w:pStyle w:val="ListParagraph"/>
        <w:numPr>
          <w:ilvl w:val="0"/>
          <w:numId w:val="2"/>
        </w:numPr>
        <w:spacing w:after="40" w:before="40" w:line="280"/>
      </w:pPr>
      <w:r>
        <w:rPr>
          <w:rFonts w:ascii="Georgia" w:cs="Georgia" w:eastAsia="Georgia" w:hAnsi="Georgia"/>
          <w:b w:val="false"/>
          <w:bCs w:val="false"/>
          <w:i w:val="false"/>
          <w:iCs w:val="false"/>
          <w:color w:val="1D1D1D"/>
          <w:sz w:val="22"/>
          <w:szCs w:val="22"/>
        </w:rPr>
        <w:t xml:space="preserve">Low and low-intermediate risk MGUS do not need bone marrow examination or imaging at diagnosis.</w:t>
      </w:r>
    </w:p>
    <w:p>
      <w:pPr>
        <w:pStyle w:val="ListParagraph"/>
        <w:numPr>
          <w:ilvl w:val="0"/>
          <w:numId w:val="2"/>
        </w:numPr>
        <w:spacing w:after="40" w:before="40" w:line="280"/>
      </w:pPr>
      <w:r>
        <w:rPr>
          <w:rFonts w:ascii="Georgia" w:cs="Georgia" w:eastAsia="Georgia" w:hAnsi="Georgia"/>
          <w:b w:val="false"/>
          <w:bCs w:val="false"/>
          <w:i w:val="false"/>
          <w:iCs w:val="false"/>
          <w:color w:val="1D1D1D"/>
          <w:sz w:val="22"/>
          <w:szCs w:val="22"/>
        </w:rPr>
        <w:t xml:space="preserve">High-intermediate and high-risk MGUS need bone marrow examination and whole-body imaging.</w:t>
      </w:r>
    </w:p>
    <w:p>
      <w:pPr>
        <w:pStyle w:val="ListParagraph"/>
        <w:numPr>
          <w:ilvl w:val="0"/>
          <w:numId w:val="2"/>
        </w:numPr>
        <w:spacing w:after="40" w:before="40" w:line="280"/>
      </w:pPr>
      <w:r>
        <w:rPr>
          <w:rFonts w:ascii="Georgia" w:cs="Georgia" w:eastAsia="Georgia" w:hAnsi="Georgia"/>
          <w:b w:val="false"/>
          <w:bCs w:val="false"/>
          <w:i w:val="false"/>
          <w:iCs w:val="false"/>
          <w:color w:val="1D1D1D"/>
          <w:sz w:val="22"/>
          <w:szCs w:val="22"/>
        </w:rPr>
        <w:t xml:space="preserve">Decisions to treat MGCS with systemic chemotherapy must be made through an MDT with appropriate sub-specialty representation.</w:t>
      </w:r>
    </w:p>
    <w:p>
      <w:pPr>
        <w:pStyle w:val="ListParagraph"/>
        <w:numPr>
          <w:ilvl w:val="0"/>
          <w:numId w:val="2"/>
        </w:numPr>
        <w:spacing w:after="40" w:before="40" w:line="280"/>
      </w:pPr>
      <w:r>
        <w:rPr>
          <w:rFonts w:ascii="Georgia" w:cs="Georgia" w:eastAsia="Georgia" w:hAnsi="Georgia"/>
          <w:b w:val="false"/>
          <w:bCs w:val="false"/>
          <w:i w:val="false"/>
          <w:iCs w:val="false"/>
          <w:color w:val="1D1D1D"/>
          <w:sz w:val="22"/>
          <w:szCs w:val="22"/>
        </w:rPr>
        <w:t xml:space="preserve">Clear information and psychological support at diagnosis and at each review.</w:t>
      </w:r>
    </w:p>
    <w:p>
      <w:pPr>
        <w:spacing w:after="80" w:before="180"/>
      </w:pPr>
      <w:r>
        <w:rPr>
          <w:rFonts w:ascii="Georgia" w:cs="Georgia" w:eastAsia="Georgia" w:hAnsi="Georgia"/>
          <w:b/>
          <w:bCs/>
          <w:color w:val="1D1D1D"/>
          <w:sz w:val="24"/>
          <w:szCs w:val="24"/>
        </w:rPr>
        <w:t xml:space="preserve">MGCS — monoclonal gammopathy of clinical significance</w:t>
      </w:r>
    </w:p>
    <w:p>
      <w:pPr>
        <w:spacing w:after="80" w:before="80" w:line="300"/>
        <w:jc w:val="left"/>
      </w:pPr>
      <w:r>
        <w:rPr>
          <w:rFonts w:ascii="Georgia" w:cs="Georgia" w:eastAsia="Georgia" w:hAnsi="Georgia"/>
          <w:b w:val="false"/>
          <w:bCs w:val="false"/>
          <w:i w:val="false"/>
          <w:iCs w:val="false"/>
          <w:color w:val="1D1D1D"/>
          <w:sz w:val="22"/>
          <w:szCs w:val="22"/>
        </w:rPr>
        <w:t xml:space="preserve">MGCS describes organ damage from a small B-cell or plasma cell clone where criteria for haematological malignancy are not met. Recognised entities include scleromyxoedema, IgM-associated peripheral neuropathy, cold agglutinin disease, POEMS syndrome, Schnitzler syndrome, type 2 mixed cryoglobulinaemia and capillary leak syndrome. Management is sub-specialty led with MDT input.</w:t>
      </w:r>
    </w:p>
    <w:p>
      <w:pPr>
        <w:spacing w:after="80" w:before="180"/>
      </w:pPr>
      <w:r>
        <w:rPr>
          <w:rFonts w:ascii="Georgia" w:cs="Georgia" w:eastAsia="Georgia" w:hAnsi="Georgia"/>
          <w:b/>
          <w:bCs/>
          <w:color w:val="1D1D1D"/>
          <w:sz w:val="24"/>
          <w:szCs w:val="24"/>
        </w:rPr>
        <w:t xml:space="preserve">Other MGUS-associated risks</w:t>
      </w:r>
    </w:p>
    <w:p>
      <w:pPr>
        <w:pStyle w:val="ListParagraph"/>
        <w:numPr>
          <w:ilvl w:val="0"/>
          <w:numId w:val="2"/>
        </w:numPr>
        <w:spacing w:after="40" w:before="40" w:line="280"/>
      </w:pPr>
      <w:r>
        <w:rPr>
          <w:rFonts w:ascii="Georgia" w:cs="Georgia" w:eastAsia="Georgia" w:hAnsi="Georgia"/>
          <w:b w:val="false"/>
          <w:bCs w:val="false"/>
          <w:i w:val="false"/>
          <w:iCs w:val="false"/>
          <w:color w:val="1D1D1D"/>
          <w:sz w:val="22"/>
          <w:szCs w:val="22"/>
        </w:rPr>
        <w:t xml:space="preserve">Increased risk of axial fractures; optimise vitamin D and calcium; consider DEXA in patients with additional osteoporosis risk factors.</w:t>
      </w:r>
    </w:p>
    <w:p>
      <w:pPr>
        <w:pStyle w:val="ListParagraph"/>
        <w:numPr>
          <w:ilvl w:val="0"/>
          <w:numId w:val="2"/>
        </w:numPr>
        <w:spacing w:after="40" w:before="40" w:line="280"/>
      </w:pPr>
      <w:r>
        <w:rPr>
          <w:rFonts w:ascii="Georgia" w:cs="Georgia" w:eastAsia="Georgia" w:hAnsi="Georgia"/>
          <w:b w:val="false"/>
          <w:bCs w:val="false"/>
          <w:i w:val="false"/>
          <w:iCs w:val="false"/>
          <w:color w:val="1D1D1D"/>
          <w:sz w:val="22"/>
          <w:szCs w:val="22"/>
        </w:rPr>
        <w:t xml:space="preserve">Modestly increased risk of venous (and to a lesser extent arterial) thrombosis; routine primary thromboprophylaxis is not recommended.</w:t>
      </w:r>
    </w:p>
    <w:p>
      <w:pPr>
        <w:pStyle w:val="ListParagraph"/>
        <w:numPr>
          <w:ilvl w:val="0"/>
          <w:numId w:val="2"/>
        </w:numPr>
        <w:spacing w:after="40" w:before="40" w:line="280"/>
      </w:pPr>
      <w:r>
        <w:rPr>
          <w:rFonts w:ascii="Georgia" w:cs="Georgia" w:eastAsia="Georgia" w:hAnsi="Georgia"/>
          <w:b w:val="false"/>
          <w:bCs w:val="false"/>
          <w:i w:val="false"/>
          <w:iCs w:val="false"/>
          <w:color w:val="1D1D1D"/>
          <w:sz w:val="22"/>
          <w:szCs w:val="22"/>
        </w:rPr>
        <w:t xml:space="preserve">Increased risk of bacterial infection; ensure vaccination is current.</w:t>
      </w:r>
    </w:p>
    <w:p>
      <w:pPr>
        <w:pStyle w:val="ListParagraph"/>
        <w:numPr>
          <w:ilvl w:val="0"/>
          <w:numId w:val="2"/>
        </w:numPr>
        <w:spacing w:after="40" w:before="40" w:line="280"/>
      </w:pPr>
      <w:r>
        <w:rPr>
          <w:rFonts w:ascii="Georgia" w:cs="Georgia" w:eastAsia="Georgia" w:hAnsi="Georgia"/>
          <w:b w:val="false"/>
          <w:bCs w:val="false"/>
          <w:i w:val="false"/>
          <w:iCs w:val="false"/>
          <w:color w:val="1D1D1D"/>
          <w:sz w:val="22"/>
          <w:szCs w:val="22"/>
        </w:rPr>
        <w:t xml:space="preserve">Psychological burden of watch-and-wait should be acknowledged and supported at each visit.</w:t>
      </w:r>
    </w:p>
    <w:p>
      <w:pPr>
        <w:pStyle w:val="Heading1"/>
        <w:spacing w:after="160" w:before="360"/>
      </w:pPr>
      <w:r>
        <w:rPr>
          <w:rFonts w:ascii="Georgia" w:cs="Georgia" w:eastAsia="Georgia" w:hAnsi="Georgia"/>
          <w:b/>
          <w:bCs/>
          <w:color w:val="7A1F2B"/>
          <w:sz w:val="30"/>
          <w:szCs w:val="30"/>
        </w:rPr>
        <w:t xml:space="preserve">6. </w:t>
      </w:r>
      <w:r>
        <w:rPr>
          <w:rFonts w:ascii="Georgia" w:cs="Georgia" w:eastAsia="Georgia" w:hAnsi="Georgia"/>
          <w:b/>
          <w:bCs/>
          <w:color w:val="7A1F2B"/>
          <w:sz w:val="30"/>
          <w:szCs w:val="30"/>
        </w:rPr>
        <w:t xml:space="preserve">Smouldering Myeloma — Diagnosis, Risk and Monitoring</w:t>
      </w:r>
    </w:p>
    <w:p>
      <w:pPr>
        <w:spacing w:after="80" w:before="80" w:line="300"/>
        <w:jc w:val="left"/>
      </w:pPr>
      <w:r>
        <w:rPr>
          <w:rFonts w:ascii="Georgia" w:cs="Georgia" w:eastAsia="Georgia" w:hAnsi="Georgia"/>
          <w:b w:val="false"/>
          <w:bCs w:val="false"/>
          <w:i w:val="false"/>
          <w:iCs w:val="false"/>
          <w:color w:val="1D1D1D"/>
          <w:sz w:val="22"/>
          <w:szCs w:val="22"/>
        </w:rPr>
        <w:t xml:space="preserve">Smouldering myeloma sits between MGUS and active myeloma. Untreated, the rate of progression to symptomatic myeloma is approximately 10 per cent per year in the first five years, 3 per cent per year for the next five years, and 1 per cent per year thereafter. The risk varies widely with biological behaviour and is best estimated using a validated model.</w:t>
      </w:r>
    </w:p>
    <w:p>
      <w:pPr>
        <w:spacing w:after="80" w:before="180"/>
      </w:pPr>
      <w:r>
        <w:rPr>
          <w:rFonts w:ascii="Georgia" w:cs="Georgia" w:eastAsia="Georgia" w:hAnsi="Georgia"/>
          <w:b/>
          <w:bCs/>
          <w:color w:val="1D1D1D"/>
          <w:sz w:val="24"/>
          <w:szCs w:val="24"/>
        </w:rPr>
        <w:t xml:space="preserve">Diagnostic criteria (IMWG 2014)</w:t>
      </w:r>
    </w:p>
    <w:p>
      <w:pPr>
        <w:pStyle w:val="ListParagraph"/>
        <w:numPr>
          <w:ilvl w:val="0"/>
          <w:numId w:val="2"/>
        </w:numPr>
        <w:spacing w:after="40" w:before="40" w:line="280"/>
      </w:pPr>
      <w:r>
        <w:rPr>
          <w:rFonts w:ascii="Georgia" w:cs="Georgia" w:eastAsia="Georgia" w:hAnsi="Georgia"/>
          <w:b w:val="false"/>
          <w:bCs w:val="false"/>
          <w:i w:val="false"/>
          <w:iCs w:val="false"/>
          <w:color w:val="1D1D1D"/>
          <w:sz w:val="22"/>
          <w:szCs w:val="22"/>
        </w:rPr>
        <w:t xml:space="preserve">Serum M-protein 30 g/L or above, or urinary M-protein 500 mg/24h or above, and/or clonal bone marrow plasma cells 10 to 59 per cent.</w:t>
      </w:r>
    </w:p>
    <w:p>
      <w:pPr>
        <w:pStyle w:val="ListParagraph"/>
        <w:numPr>
          <w:ilvl w:val="0"/>
          <w:numId w:val="2"/>
        </w:numPr>
        <w:spacing w:after="40" w:before="40" w:line="280"/>
      </w:pPr>
      <w:r>
        <w:rPr>
          <w:rFonts w:ascii="Georgia" w:cs="Georgia" w:eastAsia="Georgia" w:hAnsi="Georgia"/>
          <w:b w:val="false"/>
          <w:bCs w:val="false"/>
          <w:i w:val="false"/>
          <w:iCs w:val="false"/>
          <w:color w:val="1D1D1D"/>
          <w:sz w:val="22"/>
          <w:szCs w:val="22"/>
        </w:rPr>
        <w:t xml:space="preserve">Absence of myeloma-defining events (SLiM CRAB) and no amyloidosis.</w:t>
      </w:r>
    </w:p>
    <w:p>
      <w:pPr>
        <w:spacing w:after="80" w:before="180"/>
      </w:pPr>
      <w:r>
        <w:rPr>
          <w:rFonts w:ascii="Georgia" w:cs="Georgia" w:eastAsia="Georgia" w:hAnsi="Georgia"/>
          <w:b/>
          <w:bCs/>
          <w:color w:val="1D1D1D"/>
          <w:sz w:val="24"/>
          <w:szCs w:val="24"/>
        </w:rPr>
        <w:t xml:space="preserve">Investigations at diagnosis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400"/>
        <w:gridCol w:w="6626"/>
      </w:tblGrid>
      <w:tr>
        <w:trPr>
          <w:tblHeader/>
        </w:trPr>
        <w:tc>
          <w:tcPr>
            <w:tcW w:type="dxa" w:w="2400"/>
            <w:tcBorders>
              <w:top w:val="single" w:color="D8C9CB" w:sz="4"/>
              <w:left w:val="single" w:color="D8C9CB" w:sz="4"/>
              <w:bottom w:val="single" w:color="D8C9CB" w:sz="4"/>
              <w:right w:val="single" w:color="D8C9CB" w:sz="4"/>
            </w:tcBorders>
            <w:shd w:fill="F5E9EB" w:val="clear"/>
            <w:tcMar>
              <w:top w:type="dxa" w:w="80"/>
              <w:left w:type="dxa" w:w="120"/>
              <w:bottom w:type="dxa" w:w="80"/>
              <w:right w:type="dxa" w:w="120"/>
            </w:tcMar>
          </w:tcPr>
          <w:p>
            <w:pPr>
              <w:spacing w:after="0" w:before="0" w:line="260"/>
            </w:pPr>
            <w:r>
              <w:rPr>
                <w:rFonts w:ascii="Georgia" w:cs="Georgia" w:eastAsia="Georgia" w:hAnsi="Georgia"/>
                <w:b/>
                <w:bCs/>
                <w:color w:val="7A1F2B"/>
                <w:sz w:val="20"/>
                <w:szCs w:val="20"/>
              </w:rPr>
              <w:t xml:space="preserve">Domain</w:t>
            </w:r>
          </w:p>
        </w:tc>
        <w:tc>
          <w:tcPr>
            <w:tcW w:type="dxa" w:w="6626"/>
            <w:tcBorders>
              <w:top w:val="single" w:color="D8C9CB" w:sz="4"/>
              <w:left w:val="single" w:color="D8C9CB" w:sz="4"/>
              <w:bottom w:val="single" w:color="D8C9CB" w:sz="4"/>
              <w:right w:val="single" w:color="D8C9CB" w:sz="4"/>
            </w:tcBorders>
            <w:shd w:fill="F5E9EB" w:val="clear"/>
            <w:tcMar>
              <w:top w:type="dxa" w:w="80"/>
              <w:left w:type="dxa" w:w="120"/>
              <w:bottom w:type="dxa" w:w="80"/>
              <w:right w:type="dxa" w:w="120"/>
            </w:tcMar>
          </w:tcPr>
          <w:p>
            <w:pPr>
              <w:spacing w:after="0" w:before="0" w:line="260"/>
            </w:pPr>
            <w:r>
              <w:rPr>
                <w:rFonts w:ascii="Georgia" w:cs="Georgia" w:eastAsia="Georgia" w:hAnsi="Georgia"/>
                <w:b/>
                <w:bCs/>
                <w:color w:val="7A1F2B"/>
                <w:sz w:val="20"/>
                <w:szCs w:val="20"/>
              </w:rPr>
              <w:t xml:space="preserve">Recommended tests</w:t>
            </w:r>
          </w:p>
        </w:tc>
      </w:tr>
      <w:tr>
        <w:tc>
          <w:tcPr>
            <w:tcW w:type="dxa" w:w="2400"/>
            <w:tcBorders>
              <w:top w:val="single" w:color="D8C9CB" w:sz="4"/>
              <w:left w:val="single" w:color="D8C9CB" w:sz="4"/>
              <w:bottom w:val="single" w:color="D8C9CB" w:sz="4"/>
              <w:right w:val="single" w:color="D8C9CB" w:sz="4"/>
            </w:tcBorders>
            <w:tcMar>
              <w:top w:type="dxa" w:w="80"/>
              <w:left w:type="dxa" w:w="120"/>
              <w:bottom w:type="dxa" w:w="80"/>
              <w:right w:type="dxa" w:w="120"/>
            </w:tcMar>
          </w:tcPr>
          <w:p>
            <w:pPr>
              <w:spacing w:after="0" w:before="0" w:line="260"/>
            </w:pPr>
            <w:r>
              <w:rPr>
                <w:rFonts w:ascii="Georgia" w:cs="Georgia" w:eastAsia="Georgia" w:hAnsi="Georgia"/>
                <w:b w:val="false"/>
                <w:bCs w:val="false"/>
                <w:color w:val="1D1D1D"/>
                <w:sz w:val="20"/>
                <w:szCs w:val="20"/>
              </w:rPr>
              <w:t xml:space="preserve">Screening</w:t>
            </w:r>
          </w:p>
        </w:tc>
        <w:tc>
          <w:tcPr>
            <w:tcW w:type="dxa" w:w="6626"/>
            <w:tcBorders>
              <w:top w:val="single" w:color="D8C9CB" w:sz="4"/>
              <w:left w:val="single" w:color="D8C9CB" w:sz="4"/>
              <w:bottom w:val="single" w:color="D8C9CB" w:sz="4"/>
              <w:right w:val="single" w:color="D8C9CB" w:sz="4"/>
            </w:tcBorders>
            <w:tcMar>
              <w:top w:type="dxa" w:w="80"/>
              <w:left w:type="dxa" w:w="120"/>
              <w:bottom w:type="dxa" w:w="80"/>
              <w:right w:type="dxa" w:w="120"/>
            </w:tcMar>
          </w:tcPr>
          <w:p>
            <w:pPr>
              <w:spacing w:after="0" w:before="0" w:line="260"/>
            </w:pPr>
            <w:r>
              <w:rPr>
                <w:rFonts w:ascii="Georgia" w:cs="Georgia" w:eastAsia="Georgia" w:hAnsi="Georgia"/>
                <w:b w:val="false"/>
                <w:bCs w:val="false"/>
                <w:color w:val="1D1D1D"/>
                <w:sz w:val="20"/>
                <w:szCs w:val="20"/>
              </w:rPr>
              <w:t xml:space="preserve">FBC, U and E, calcium, immunoglobulins, serum protein electrophoresis, immunofixation, serum FLC.</w:t>
            </w:r>
          </w:p>
        </w:tc>
      </w:tr>
      <w:tr>
        <w:tc>
          <w:tcPr>
            <w:tcW w:type="dxa" w:w="2400"/>
            <w:tcBorders>
              <w:top w:val="single" w:color="D8C9CB" w:sz="4"/>
              <w:left w:val="single" w:color="D8C9CB" w:sz="4"/>
              <w:bottom w:val="single" w:color="D8C9CB" w:sz="4"/>
              <w:right w:val="single" w:color="D8C9CB" w:sz="4"/>
            </w:tcBorders>
            <w:tcMar>
              <w:top w:type="dxa" w:w="80"/>
              <w:left w:type="dxa" w:w="120"/>
              <w:bottom w:type="dxa" w:w="80"/>
              <w:right w:type="dxa" w:w="120"/>
            </w:tcMar>
          </w:tcPr>
          <w:p>
            <w:pPr>
              <w:spacing w:after="0" w:before="0" w:line="260"/>
            </w:pPr>
            <w:r>
              <w:rPr>
                <w:rFonts w:ascii="Georgia" w:cs="Georgia" w:eastAsia="Georgia" w:hAnsi="Georgia"/>
                <w:b w:val="false"/>
                <w:bCs w:val="false"/>
                <w:color w:val="1D1D1D"/>
                <w:sz w:val="20"/>
                <w:szCs w:val="20"/>
              </w:rPr>
              <w:t xml:space="preserve">Diagnostic</w:t>
            </w:r>
          </w:p>
        </w:tc>
        <w:tc>
          <w:tcPr>
            <w:tcW w:type="dxa" w:w="6626"/>
            <w:tcBorders>
              <w:top w:val="single" w:color="D8C9CB" w:sz="4"/>
              <w:left w:val="single" w:color="D8C9CB" w:sz="4"/>
              <w:bottom w:val="single" w:color="D8C9CB" w:sz="4"/>
              <w:right w:val="single" w:color="D8C9CB" w:sz="4"/>
            </w:tcBorders>
            <w:tcMar>
              <w:top w:type="dxa" w:w="80"/>
              <w:left w:type="dxa" w:w="120"/>
              <w:bottom w:type="dxa" w:w="80"/>
              <w:right w:type="dxa" w:w="120"/>
            </w:tcMar>
          </w:tcPr>
          <w:p>
            <w:pPr>
              <w:spacing w:after="0" w:before="0" w:line="260"/>
            </w:pPr>
            <w:r>
              <w:rPr>
                <w:rFonts w:ascii="Georgia" w:cs="Georgia" w:eastAsia="Georgia" w:hAnsi="Georgia"/>
                <w:b w:val="false"/>
                <w:bCs w:val="false"/>
                <w:color w:val="1D1D1D"/>
                <w:sz w:val="20"/>
                <w:szCs w:val="20"/>
              </w:rPr>
              <w:t xml:space="preserve">Bone marrow aspirate and trephine with plasma cell phenotyping; cross-sectional imaging (WB-MRI preferred, then PET-CT, then low-dose WB-CT). Skeletal survey is not recommended as the sole staging investigation.</w:t>
            </w:r>
          </w:p>
        </w:tc>
      </w:tr>
      <w:tr>
        <w:tc>
          <w:tcPr>
            <w:tcW w:type="dxa" w:w="2400"/>
            <w:tcBorders>
              <w:top w:val="single" w:color="D8C9CB" w:sz="4"/>
              <w:left w:val="single" w:color="D8C9CB" w:sz="4"/>
              <w:bottom w:val="single" w:color="D8C9CB" w:sz="4"/>
              <w:right w:val="single" w:color="D8C9CB" w:sz="4"/>
            </w:tcBorders>
            <w:tcMar>
              <w:top w:type="dxa" w:w="80"/>
              <w:left w:type="dxa" w:w="120"/>
              <w:bottom w:type="dxa" w:w="80"/>
              <w:right w:type="dxa" w:w="120"/>
            </w:tcMar>
          </w:tcPr>
          <w:p>
            <w:pPr>
              <w:spacing w:after="0" w:before="0" w:line="260"/>
            </w:pPr>
            <w:r>
              <w:rPr>
                <w:rFonts w:ascii="Georgia" w:cs="Georgia" w:eastAsia="Georgia" w:hAnsi="Georgia"/>
                <w:b w:val="false"/>
                <w:bCs w:val="false"/>
                <w:color w:val="1D1D1D"/>
                <w:sz w:val="20"/>
                <w:szCs w:val="20"/>
              </w:rPr>
              <w:t xml:space="preserve">Risk and prognosis</w:t>
            </w:r>
          </w:p>
        </w:tc>
        <w:tc>
          <w:tcPr>
            <w:tcW w:type="dxa" w:w="6626"/>
            <w:tcBorders>
              <w:top w:val="single" w:color="D8C9CB" w:sz="4"/>
              <w:left w:val="single" w:color="D8C9CB" w:sz="4"/>
              <w:bottom w:val="single" w:color="D8C9CB" w:sz="4"/>
              <w:right w:val="single" w:color="D8C9CB" w:sz="4"/>
            </w:tcBorders>
            <w:tcMar>
              <w:top w:type="dxa" w:w="80"/>
              <w:left w:type="dxa" w:w="120"/>
              <w:bottom w:type="dxa" w:w="80"/>
              <w:right w:type="dxa" w:w="120"/>
            </w:tcMar>
          </w:tcPr>
          <w:p>
            <w:pPr>
              <w:spacing w:after="0" w:before="0" w:line="260"/>
            </w:pPr>
            <w:r>
              <w:rPr>
                <w:rFonts w:ascii="Georgia" w:cs="Georgia" w:eastAsia="Georgia" w:hAnsi="Georgia"/>
                <w:b w:val="false"/>
                <w:bCs w:val="false"/>
                <w:color w:val="1D1D1D"/>
                <w:sz w:val="20"/>
                <w:szCs w:val="20"/>
              </w:rPr>
              <w:t xml:space="preserve">Interphase FISH on CD138-selected cells for t(4;14), t(14;16), t(11;14), del(17p), gain(1q), del(1p); consider t(14;20), del(13q) and hyperdiploidy. Beta-2 microglobulin, LDH, albumin.</w:t>
            </w:r>
          </w:p>
        </w:tc>
      </w:tr>
      <w:tr>
        <w:tc>
          <w:tcPr>
            <w:tcW w:type="dxa" w:w="2400"/>
            <w:tcBorders>
              <w:top w:val="single" w:color="D8C9CB" w:sz="4"/>
              <w:left w:val="single" w:color="D8C9CB" w:sz="4"/>
              <w:bottom w:val="single" w:color="D8C9CB" w:sz="4"/>
              <w:right w:val="single" w:color="D8C9CB" w:sz="4"/>
            </w:tcBorders>
            <w:tcMar>
              <w:top w:type="dxa" w:w="80"/>
              <w:left w:type="dxa" w:w="120"/>
              <w:bottom w:type="dxa" w:w="80"/>
              <w:right w:type="dxa" w:w="120"/>
            </w:tcMar>
          </w:tcPr>
          <w:p>
            <w:pPr>
              <w:spacing w:after="0" w:before="0" w:line="260"/>
            </w:pPr>
            <w:r>
              <w:rPr>
                <w:rFonts w:ascii="Georgia" w:cs="Georgia" w:eastAsia="Georgia" w:hAnsi="Georgia"/>
                <w:b w:val="false"/>
                <w:bCs w:val="false"/>
                <w:color w:val="1D1D1D"/>
                <w:sz w:val="20"/>
                <w:szCs w:val="20"/>
              </w:rPr>
              <w:t xml:space="preserve">Light-chain SMM or possible amyloidosis</w:t>
            </w:r>
          </w:p>
        </w:tc>
        <w:tc>
          <w:tcPr>
            <w:tcW w:type="dxa" w:w="6626"/>
            <w:tcBorders>
              <w:top w:val="single" w:color="D8C9CB" w:sz="4"/>
              <w:left w:val="single" w:color="D8C9CB" w:sz="4"/>
              <w:bottom w:val="single" w:color="D8C9CB" w:sz="4"/>
              <w:right w:val="single" w:color="D8C9CB" w:sz="4"/>
            </w:tcBorders>
            <w:tcMar>
              <w:top w:type="dxa" w:w="80"/>
              <w:left w:type="dxa" w:w="120"/>
              <w:bottom w:type="dxa" w:w="80"/>
              <w:right w:type="dxa" w:w="120"/>
            </w:tcMar>
          </w:tcPr>
          <w:p>
            <w:pPr>
              <w:spacing w:after="0" w:before="0" w:line="260"/>
            </w:pPr>
            <w:r>
              <w:rPr>
                <w:rFonts w:ascii="Georgia" w:cs="Georgia" w:eastAsia="Georgia" w:hAnsi="Georgia"/>
                <w:b w:val="false"/>
                <w:bCs w:val="false"/>
                <w:color w:val="1D1D1D"/>
                <w:sz w:val="20"/>
                <w:szCs w:val="20"/>
              </w:rPr>
              <w:t xml:space="preserve">Urine ACR, troponin, NT-proBNP; renal biopsy if SFLC below 500 mg/L and renal impairment is unexplained.</w:t>
            </w:r>
          </w:p>
        </w:tc>
      </w:tr>
    </w:tbl>
    <w:p>
      <w:pPr>
        <w:spacing w:after="80" w:before="180"/>
      </w:pPr>
      <w:r>
        <w:rPr>
          <w:rFonts w:ascii="Georgia" w:cs="Georgia" w:eastAsia="Georgia" w:hAnsi="Georgia"/>
          <w:b/>
          <w:bCs/>
          <w:color w:val="1D1D1D"/>
          <w:sz w:val="24"/>
          <w:szCs w:val="24"/>
        </w:rPr>
        <w:t xml:space="preserve">Risk stratification — Mayo 20-2-20 and IMWG 2020</w:t>
      </w:r>
    </w:p>
    <w:p>
      <w:pPr>
        <w:spacing w:after="80" w:before="80" w:line="300"/>
        <w:jc w:val="left"/>
      </w:pPr>
      <w:r>
        <w:rPr>
          <w:rFonts w:ascii="Georgia" w:cs="Georgia" w:eastAsia="Georgia" w:hAnsi="Georgia"/>
          <w:b w:val="false"/>
          <w:bCs w:val="false"/>
          <w:i w:val="false"/>
          <w:iCs w:val="false"/>
          <w:color w:val="1D1D1D"/>
          <w:sz w:val="22"/>
          <w:szCs w:val="22"/>
        </w:rPr>
        <w:t xml:space="preserve">BSH 2024 endorses the Mayo 20-2-20 (2018) and the updated IMWG 2020 model that incorporates FISH.</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400"/>
        <w:gridCol w:w="4626"/>
      </w:tblGrid>
      <w:tr>
        <w:trPr>
          <w:tblHeader/>
        </w:trPr>
        <w:tc>
          <w:tcPr>
            <w:tcW w:type="dxa" w:w="4400"/>
            <w:tcBorders>
              <w:top w:val="single" w:color="D8C9CB" w:sz="4"/>
              <w:left w:val="single" w:color="D8C9CB" w:sz="4"/>
              <w:bottom w:val="single" w:color="D8C9CB" w:sz="4"/>
              <w:right w:val="single" w:color="D8C9CB" w:sz="4"/>
            </w:tcBorders>
            <w:shd w:fill="F5E9EB" w:val="clear"/>
            <w:tcMar>
              <w:top w:type="dxa" w:w="80"/>
              <w:left w:type="dxa" w:w="120"/>
              <w:bottom w:type="dxa" w:w="80"/>
              <w:right w:type="dxa" w:w="120"/>
            </w:tcMar>
          </w:tcPr>
          <w:p>
            <w:pPr>
              <w:spacing w:after="0" w:before="0" w:line="260"/>
            </w:pPr>
            <w:r>
              <w:rPr>
                <w:rFonts w:ascii="Georgia" w:cs="Georgia" w:eastAsia="Georgia" w:hAnsi="Georgia"/>
                <w:b/>
                <w:bCs/>
                <w:color w:val="7A1F2B"/>
                <w:sz w:val="20"/>
                <w:szCs w:val="20"/>
              </w:rPr>
              <w:t xml:space="preserve">Risk factor</w:t>
            </w:r>
          </w:p>
        </w:tc>
        <w:tc>
          <w:tcPr>
            <w:tcW w:type="dxa" w:w="4626"/>
            <w:tcBorders>
              <w:top w:val="single" w:color="D8C9CB" w:sz="4"/>
              <w:left w:val="single" w:color="D8C9CB" w:sz="4"/>
              <w:bottom w:val="single" w:color="D8C9CB" w:sz="4"/>
              <w:right w:val="single" w:color="D8C9CB" w:sz="4"/>
            </w:tcBorders>
            <w:shd w:fill="F5E9EB" w:val="clear"/>
            <w:tcMar>
              <w:top w:type="dxa" w:w="80"/>
              <w:left w:type="dxa" w:w="120"/>
              <w:bottom w:type="dxa" w:w="80"/>
              <w:right w:type="dxa" w:w="120"/>
            </w:tcMar>
          </w:tcPr>
          <w:p>
            <w:pPr>
              <w:spacing w:after="0" w:before="0" w:line="260"/>
            </w:pPr>
            <w:r>
              <w:rPr>
                <w:rFonts w:ascii="Georgia" w:cs="Georgia" w:eastAsia="Georgia" w:hAnsi="Georgia"/>
                <w:b/>
                <w:bCs/>
                <w:color w:val="7A1F2B"/>
                <w:sz w:val="20"/>
                <w:szCs w:val="20"/>
              </w:rPr>
              <w:t xml:space="preserve">Threshold</w:t>
            </w:r>
          </w:p>
        </w:tc>
      </w:tr>
      <w:tr>
        <w:tc>
          <w:tcPr>
            <w:tcW w:type="dxa" w:w="4400"/>
            <w:tcBorders>
              <w:top w:val="single" w:color="D8C9CB" w:sz="4"/>
              <w:left w:val="single" w:color="D8C9CB" w:sz="4"/>
              <w:bottom w:val="single" w:color="D8C9CB" w:sz="4"/>
              <w:right w:val="single" w:color="D8C9CB" w:sz="4"/>
            </w:tcBorders>
            <w:tcMar>
              <w:top w:type="dxa" w:w="80"/>
              <w:left w:type="dxa" w:w="120"/>
              <w:bottom w:type="dxa" w:w="80"/>
              <w:right w:type="dxa" w:w="120"/>
            </w:tcMar>
          </w:tcPr>
          <w:p>
            <w:pPr>
              <w:spacing w:after="0" w:before="0" w:line="260"/>
            </w:pPr>
            <w:r>
              <w:rPr>
                <w:rFonts w:ascii="Georgia" w:cs="Georgia" w:eastAsia="Georgia" w:hAnsi="Georgia"/>
                <w:b w:val="false"/>
                <w:bCs w:val="false"/>
                <w:color w:val="1D1D1D"/>
                <w:sz w:val="20"/>
                <w:szCs w:val="20"/>
              </w:rPr>
              <w:t xml:space="preserve">Bone marrow plasma cells</w:t>
            </w:r>
          </w:p>
        </w:tc>
        <w:tc>
          <w:tcPr>
            <w:tcW w:type="dxa" w:w="4626"/>
            <w:tcBorders>
              <w:top w:val="single" w:color="D8C9CB" w:sz="4"/>
              <w:left w:val="single" w:color="D8C9CB" w:sz="4"/>
              <w:bottom w:val="single" w:color="D8C9CB" w:sz="4"/>
              <w:right w:val="single" w:color="D8C9CB" w:sz="4"/>
            </w:tcBorders>
            <w:tcMar>
              <w:top w:type="dxa" w:w="80"/>
              <w:left w:type="dxa" w:w="120"/>
              <w:bottom w:type="dxa" w:w="80"/>
              <w:right w:type="dxa" w:w="120"/>
            </w:tcMar>
          </w:tcPr>
          <w:p>
            <w:pPr>
              <w:spacing w:after="0" w:before="0" w:line="260"/>
            </w:pPr>
            <w:r>
              <w:rPr>
                <w:rFonts w:ascii="Georgia" w:cs="Georgia" w:eastAsia="Georgia" w:hAnsi="Georgia"/>
                <w:b w:val="false"/>
                <w:bCs w:val="false"/>
                <w:color w:val="1D1D1D"/>
                <w:sz w:val="20"/>
                <w:szCs w:val="20"/>
              </w:rPr>
              <w:t xml:space="preserve">Above 20%</w:t>
            </w:r>
          </w:p>
        </w:tc>
      </w:tr>
      <w:tr>
        <w:tc>
          <w:tcPr>
            <w:tcW w:type="dxa" w:w="4400"/>
            <w:tcBorders>
              <w:top w:val="single" w:color="D8C9CB" w:sz="4"/>
              <w:left w:val="single" w:color="D8C9CB" w:sz="4"/>
              <w:bottom w:val="single" w:color="D8C9CB" w:sz="4"/>
              <w:right w:val="single" w:color="D8C9CB" w:sz="4"/>
            </w:tcBorders>
            <w:tcMar>
              <w:top w:type="dxa" w:w="80"/>
              <w:left w:type="dxa" w:w="120"/>
              <w:bottom w:type="dxa" w:w="80"/>
              <w:right w:type="dxa" w:w="120"/>
            </w:tcMar>
          </w:tcPr>
          <w:p>
            <w:pPr>
              <w:spacing w:after="0" w:before="0" w:line="260"/>
            </w:pPr>
            <w:r>
              <w:rPr>
                <w:rFonts w:ascii="Georgia" w:cs="Georgia" w:eastAsia="Georgia" w:hAnsi="Georgia"/>
                <w:b w:val="false"/>
                <w:bCs w:val="false"/>
                <w:color w:val="1D1D1D"/>
                <w:sz w:val="20"/>
                <w:szCs w:val="20"/>
              </w:rPr>
              <w:t xml:space="preserve">Serum M-protein</w:t>
            </w:r>
          </w:p>
        </w:tc>
        <w:tc>
          <w:tcPr>
            <w:tcW w:type="dxa" w:w="4626"/>
            <w:tcBorders>
              <w:top w:val="single" w:color="D8C9CB" w:sz="4"/>
              <w:left w:val="single" w:color="D8C9CB" w:sz="4"/>
              <w:bottom w:val="single" w:color="D8C9CB" w:sz="4"/>
              <w:right w:val="single" w:color="D8C9CB" w:sz="4"/>
            </w:tcBorders>
            <w:tcMar>
              <w:top w:type="dxa" w:w="80"/>
              <w:left w:type="dxa" w:w="120"/>
              <w:bottom w:type="dxa" w:w="80"/>
              <w:right w:type="dxa" w:w="120"/>
            </w:tcMar>
          </w:tcPr>
          <w:p>
            <w:pPr>
              <w:spacing w:after="0" w:before="0" w:line="260"/>
            </w:pPr>
            <w:r>
              <w:rPr>
                <w:rFonts w:ascii="Georgia" w:cs="Georgia" w:eastAsia="Georgia" w:hAnsi="Georgia"/>
                <w:b w:val="false"/>
                <w:bCs w:val="false"/>
                <w:color w:val="1D1D1D"/>
                <w:sz w:val="20"/>
                <w:szCs w:val="20"/>
              </w:rPr>
              <w:t xml:space="preserve">Above 20 g/L</w:t>
            </w:r>
          </w:p>
        </w:tc>
      </w:tr>
      <w:tr>
        <w:tc>
          <w:tcPr>
            <w:tcW w:type="dxa" w:w="4400"/>
            <w:tcBorders>
              <w:top w:val="single" w:color="D8C9CB" w:sz="4"/>
              <w:left w:val="single" w:color="D8C9CB" w:sz="4"/>
              <w:bottom w:val="single" w:color="D8C9CB" w:sz="4"/>
              <w:right w:val="single" w:color="D8C9CB" w:sz="4"/>
            </w:tcBorders>
            <w:tcMar>
              <w:top w:type="dxa" w:w="80"/>
              <w:left w:type="dxa" w:w="120"/>
              <w:bottom w:type="dxa" w:w="80"/>
              <w:right w:type="dxa" w:w="120"/>
            </w:tcMar>
          </w:tcPr>
          <w:p>
            <w:pPr>
              <w:spacing w:after="0" w:before="0" w:line="260"/>
            </w:pPr>
            <w:r>
              <w:rPr>
                <w:rFonts w:ascii="Georgia" w:cs="Georgia" w:eastAsia="Georgia" w:hAnsi="Georgia"/>
                <w:b w:val="false"/>
                <w:bCs w:val="false"/>
                <w:color w:val="1D1D1D"/>
                <w:sz w:val="20"/>
                <w:szCs w:val="20"/>
              </w:rPr>
              <w:t xml:space="preserve">Involved to uninvolved SFLC ratio</w:t>
            </w:r>
          </w:p>
        </w:tc>
        <w:tc>
          <w:tcPr>
            <w:tcW w:type="dxa" w:w="4626"/>
            <w:tcBorders>
              <w:top w:val="single" w:color="D8C9CB" w:sz="4"/>
              <w:left w:val="single" w:color="D8C9CB" w:sz="4"/>
              <w:bottom w:val="single" w:color="D8C9CB" w:sz="4"/>
              <w:right w:val="single" w:color="D8C9CB" w:sz="4"/>
            </w:tcBorders>
            <w:tcMar>
              <w:top w:type="dxa" w:w="80"/>
              <w:left w:type="dxa" w:w="120"/>
              <w:bottom w:type="dxa" w:w="80"/>
              <w:right w:type="dxa" w:w="120"/>
            </w:tcMar>
          </w:tcPr>
          <w:p>
            <w:pPr>
              <w:spacing w:after="0" w:before="0" w:line="260"/>
            </w:pPr>
            <w:r>
              <w:rPr>
                <w:rFonts w:ascii="Georgia" w:cs="Georgia" w:eastAsia="Georgia" w:hAnsi="Georgia"/>
                <w:b w:val="false"/>
                <w:bCs w:val="false"/>
                <w:color w:val="1D1D1D"/>
                <w:sz w:val="20"/>
                <w:szCs w:val="20"/>
              </w:rPr>
              <w:t xml:space="preserve">Above 20</w:t>
            </w:r>
          </w:p>
        </w:tc>
      </w:tr>
      <w:tr>
        <w:tc>
          <w:tcPr>
            <w:tcW w:type="dxa" w:w="4400"/>
            <w:tcBorders>
              <w:top w:val="single" w:color="D8C9CB" w:sz="4"/>
              <w:left w:val="single" w:color="D8C9CB" w:sz="4"/>
              <w:bottom w:val="single" w:color="D8C9CB" w:sz="4"/>
              <w:right w:val="single" w:color="D8C9CB" w:sz="4"/>
            </w:tcBorders>
            <w:tcMar>
              <w:top w:type="dxa" w:w="80"/>
              <w:left w:type="dxa" w:w="120"/>
              <w:bottom w:type="dxa" w:w="80"/>
              <w:right w:type="dxa" w:w="120"/>
            </w:tcMar>
          </w:tcPr>
          <w:p>
            <w:pPr>
              <w:spacing w:after="0" w:before="0" w:line="260"/>
            </w:pPr>
            <w:r>
              <w:rPr>
                <w:rFonts w:ascii="Georgia" w:cs="Georgia" w:eastAsia="Georgia" w:hAnsi="Georgia"/>
                <w:b w:val="false"/>
                <w:bCs w:val="false"/>
                <w:color w:val="1D1D1D"/>
                <w:sz w:val="20"/>
                <w:szCs w:val="20"/>
              </w:rPr>
              <w:t xml:space="preserve">High-risk cytogenetics (IMWG 2020 only)</w:t>
            </w:r>
          </w:p>
        </w:tc>
        <w:tc>
          <w:tcPr>
            <w:tcW w:type="dxa" w:w="4626"/>
            <w:tcBorders>
              <w:top w:val="single" w:color="D8C9CB" w:sz="4"/>
              <w:left w:val="single" w:color="D8C9CB" w:sz="4"/>
              <w:bottom w:val="single" w:color="D8C9CB" w:sz="4"/>
              <w:right w:val="single" w:color="D8C9CB" w:sz="4"/>
            </w:tcBorders>
            <w:tcMar>
              <w:top w:type="dxa" w:w="80"/>
              <w:left w:type="dxa" w:w="120"/>
              <w:bottom w:type="dxa" w:w="80"/>
              <w:right w:type="dxa" w:w="120"/>
            </w:tcMar>
          </w:tcPr>
          <w:p>
            <w:pPr>
              <w:spacing w:after="0" w:before="0" w:line="260"/>
            </w:pPr>
            <w:r>
              <w:rPr>
                <w:rFonts w:ascii="Georgia" w:cs="Georgia" w:eastAsia="Georgia" w:hAnsi="Georgia"/>
                <w:b w:val="false"/>
                <w:bCs w:val="false"/>
                <w:color w:val="1D1D1D"/>
                <w:sz w:val="20"/>
                <w:szCs w:val="20"/>
              </w:rPr>
              <w:t xml:space="preserve">t(4;14), t(14;16), gain(1q), monosomy 13 or del(13q)</w:t>
            </w:r>
          </w:p>
        </w:tc>
      </w:tr>
    </w:tbl>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0"/>
        <w:gridCol w:w="3000"/>
        <w:gridCol w:w="3026"/>
      </w:tblGrid>
      <w:tr>
        <w:trPr>
          <w:tblHeader/>
        </w:trPr>
        <w:tc>
          <w:tcPr>
            <w:tcW w:type="dxa" w:w="3000"/>
            <w:tcBorders>
              <w:top w:val="single" w:color="D8C9CB" w:sz="4"/>
              <w:left w:val="single" w:color="D8C9CB" w:sz="4"/>
              <w:bottom w:val="single" w:color="D8C9CB" w:sz="4"/>
              <w:right w:val="single" w:color="D8C9CB" w:sz="4"/>
            </w:tcBorders>
            <w:shd w:fill="F5E9EB" w:val="clear"/>
            <w:tcMar>
              <w:top w:type="dxa" w:w="80"/>
              <w:left w:type="dxa" w:w="120"/>
              <w:bottom w:type="dxa" w:w="80"/>
              <w:right w:type="dxa" w:w="120"/>
            </w:tcMar>
          </w:tcPr>
          <w:p>
            <w:pPr>
              <w:spacing w:after="0" w:before="0" w:line="260"/>
            </w:pPr>
            <w:r>
              <w:rPr>
                <w:rFonts w:ascii="Georgia" w:cs="Georgia" w:eastAsia="Georgia" w:hAnsi="Georgia"/>
                <w:b/>
                <w:bCs/>
                <w:color w:val="7A1F2B"/>
                <w:sz w:val="20"/>
                <w:szCs w:val="20"/>
              </w:rPr>
              <w:t xml:space="preserve">Risk group (Mayo 20-2-20)</w:t>
            </w:r>
          </w:p>
        </w:tc>
        <w:tc>
          <w:tcPr>
            <w:tcW w:type="dxa" w:w="3000"/>
            <w:tcBorders>
              <w:top w:val="single" w:color="D8C9CB" w:sz="4"/>
              <w:left w:val="single" w:color="D8C9CB" w:sz="4"/>
              <w:bottom w:val="single" w:color="D8C9CB" w:sz="4"/>
              <w:right w:val="single" w:color="D8C9CB" w:sz="4"/>
            </w:tcBorders>
            <w:shd w:fill="F5E9EB" w:val="clear"/>
            <w:tcMar>
              <w:top w:type="dxa" w:w="80"/>
              <w:left w:type="dxa" w:w="120"/>
              <w:bottom w:type="dxa" w:w="80"/>
              <w:right w:type="dxa" w:w="120"/>
            </w:tcMar>
          </w:tcPr>
          <w:p>
            <w:pPr>
              <w:spacing w:after="0" w:before="0" w:line="260"/>
            </w:pPr>
            <w:r>
              <w:rPr>
                <w:rFonts w:ascii="Georgia" w:cs="Georgia" w:eastAsia="Georgia" w:hAnsi="Georgia"/>
                <w:b/>
                <w:bCs/>
                <w:color w:val="7A1F2B"/>
                <w:sz w:val="20"/>
                <w:szCs w:val="20"/>
              </w:rPr>
              <w:t xml:space="preserve">2-year progression risk</w:t>
            </w:r>
          </w:p>
        </w:tc>
        <w:tc>
          <w:tcPr>
            <w:tcW w:type="dxa" w:w="3026"/>
            <w:tcBorders>
              <w:top w:val="single" w:color="D8C9CB" w:sz="4"/>
              <w:left w:val="single" w:color="D8C9CB" w:sz="4"/>
              <w:bottom w:val="single" w:color="D8C9CB" w:sz="4"/>
              <w:right w:val="single" w:color="D8C9CB" w:sz="4"/>
            </w:tcBorders>
            <w:shd w:fill="F5E9EB" w:val="clear"/>
            <w:tcMar>
              <w:top w:type="dxa" w:w="80"/>
              <w:left w:type="dxa" w:w="120"/>
              <w:bottom w:type="dxa" w:w="80"/>
              <w:right w:type="dxa" w:w="120"/>
            </w:tcMar>
          </w:tcPr>
          <w:p>
            <w:pPr>
              <w:spacing w:after="0" w:before="0" w:line="260"/>
            </w:pPr>
            <w:r>
              <w:rPr>
                <w:rFonts w:ascii="Georgia" w:cs="Georgia" w:eastAsia="Georgia" w:hAnsi="Georgia"/>
                <w:b/>
                <w:bCs/>
                <w:color w:val="7A1F2B"/>
                <w:sz w:val="20"/>
                <w:szCs w:val="20"/>
              </w:rPr>
              <w:t xml:space="preserve">Median time to progression</w:t>
            </w:r>
          </w:p>
        </w:tc>
      </w:tr>
      <w:tr>
        <w:tc>
          <w:tcPr>
            <w:tcW w:type="dxa" w:w="3000"/>
            <w:tcBorders>
              <w:top w:val="single" w:color="D8C9CB" w:sz="4"/>
              <w:left w:val="single" w:color="D8C9CB" w:sz="4"/>
              <w:bottom w:val="single" w:color="D8C9CB" w:sz="4"/>
              <w:right w:val="single" w:color="D8C9CB" w:sz="4"/>
            </w:tcBorders>
            <w:tcMar>
              <w:top w:type="dxa" w:w="80"/>
              <w:left w:type="dxa" w:w="120"/>
              <w:bottom w:type="dxa" w:w="80"/>
              <w:right w:type="dxa" w:w="120"/>
            </w:tcMar>
          </w:tcPr>
          <w:p>
            <w:pPr>
              <w:spacing w:after="0" w:before="0" w:line="260"/>
            </w:pPr>
            <w:r>
              <w:rPr>
                <w:rFonts w:ascii="Georgia" w:cs="Georgia" w:eastAsia="Georgia" w:hAnsi="Georgia"/>
                <w:b w:val="false"/>
                <w:bCs w:val="false"/>
                <w:color w:val="1D1D1D"/>
                <w:sz w:val="20"/>
                <w:szCs w:val="20"/>
              </w:rPr>
              <w:t xml:space="preserve">Low (0 risk factors)</w:t>
            </w:r>
          </w:p>
        </w:tc>
        <w:tc>
          <w:tcPr>
            <w:tcW w:type="dxa" w:w="3000"/>
            <w:tcBorders>
              <w:top w:val="single" w:color="D8C9CB" w:sz="4"/>
              <w:left w:val="single" w:color="D8C9CB" w:sz="4"/>
              <w:bottom w:val="single" w:color="D8C9CB" w:sz="4"/>
              <w:right w:val="single" w:color="D8C9CB" w:sz="4"/>
            </w:tcBorders>
            <w:tcMar>
              <w:top w:type="dxa" w:w="80"/>
              <w:left w:type="dxa" w:w="120"/>
              <w:bottom w:type="dxa" w:w="80"/>
              <w:right w:type="dxa" w:w="120"/>
            </w:tcMar>
          </w:tcPr>
          <w:p>
            <w:pPr>
              <w:spacing w:after="0" w:before="0" w:line="260"/>
            </w:pPr>
            <w:r>
              <w:rPr>
                <w:rFonts w:ascii="Georgia" w:cs="Georgia" w:eastAsia="Georgia" w:hAnsi="Georgia"/>
                <w:b w:val="false"/>
                <w:bCs w:val="false"/>
                <w:color w:val="1D1D1D"/>
                <w:sz w:val="20"/>
                <w:szCs w:val="20"/>
              </w:rPr>
              <w:t xml:space="preserve">~10%</w:t>
            </w:r>
          </w:p>
        </w:tc>
        <w:tc>
          <w:tcPr>
            <w:tcW w:type="dxa" w:w="3026"/>
            <w:tcBorders>
              <w:top w:val="single" w:color="D8C9CB" w:sz="4"/>
              <w:left w:val="single" w:color="D8C9CB" w:sz="4"/>
              <w:bottom w:val="single" w:color="D8C9CB" w:sz="4"/>
              <w:right w:val="single" w:color="D8C9CB" w:sz="4"/>
            </w:tcBorders>
            <w:tcMar>
              <w:top w:type="dxa" w:w="80"/>
              <w:left w:type="dxa" w:w="120"/>
              <w:bottom w:type="dxa" w:w="80"/>
              <w:right w:type="dxa" w:w="120"/>
            </w:tcMar>
          </w:tcPr>
          <w:p>
            <w:pPr>
              <w:spacing w:after="0" w:before="0" w:line="260"/>
            </w:pPr>
            <w:r>
              <w:rPr>
                <w:rFonts w:ascii="Georgia" w:cs="Georgia" w:eastAsia="Georgia" w:hAnsi="Georgia"/>
                <w:b w:val="false"/>
                <w:bCs w:val="false"/>
                <w:color w:val="1D1D1D"/>
                <w:sz w:val="20"/>
                <w:szCs w:val="20"/>
              </w:rPr>
              <w:t xml:space="preserve">~110 months</w:t>
            </w:r>
          </w:p>
        </w:tc>
      </w:tr>
      <w:tr>
        <w:tc>
          <w:tcPr>
            <w:tcW w:type="dxa" w:w="3000"/>
            <w:tcBorders>
              <w:top w:val="single" w:color="D8C9CB" w:sz="4"/>
              <w:left w:val="single" w:color="D8C9CB" w:sz="4"/>
              <w:bottom w:val="single" w:color="D8C9CB" w:sz="4"/>
              <w:right w:val="single" w:color="D8C9CB" w:sz="4"/>
            </w:tcBorders>
            <w:tcMar>
              <w:top w:type="dxa" w:w="80"/>
              <w:left w:type="dxa" w:w="120"/>
              <w:bottom w:type="dxa" w:w="80"/>
              <w:right w:type="dxa" w:w="120"/>
            </w:tcMar>
          </w:tcPr>
          <w:p>
            <w:pPr>
              <w:spacing w:after="0" w:before="0" w:line="260"/>
            </w:pPr>
            <w:r>
              <w:rPr>
                <w:rFonts w:ascii="Georgia" w:cs="Georgia" w:eastAsia="Georgia" w:hAnsi="Georgia"/>
                <w:b w:val="false"/>
                <w:bCs w:val="false"/>
                <w:color w:val="1D1D1D"/>
                <w:sz w:val="20"/>
                <w:szCs w:val="20"/>
              </w:rPr>
              <w:t xml:space="preserve">Intermediate (1 risk factor)</w:t>
            </w:r>
          </w:p>
        </w:tc>
        <w:tc>
          <w:tcPr>
            <w:tcW w:type="dxa" w:w="3000"/>
            <w:tcBorders>
              <w:top w:val="single" w:color="D8C9CB" w:sz="4"/>
              <w:left w:val="single" w:color="D8C9CB" w:sz="4"/>
              <w:bottom w:val="single" w:color="D8C9CB" w:sz="4"/>
              <w:right w:val="single" w:color="D8C9CB" w:sz="4"/>
            </w:tcBorders>
            <w:tcMar>
              <w:top w:type="dxa" w:w="80"/>
              <w:left w:type="dxa" w:w="120"/>
              <w:bottom w:type="dxa" w:w="80"/>
              <w:right w:type="dxa" w:w="120"/>
            </w:tcMar>
          </w:tcPr>
          <w:p>
            <w:pPr>
              <w:spacing w:after="0" w:before="0" w:line="260"/>
            </w:pPr>
            <w:r>
              <w:rPr>
                <w:rFonts w:ascii="Georgia" w:cs="Georgia" w:eastAsia="Georgia" w:hAnsi="Georgia"/>
                <w:b w:val="false"/>
                <w:bCs w:val="false"/>
                <w:color w:val="1D1D1D"/>
                <w:sz w:val="20"/>
                <w:szCs w:val="20"/>
              </w:rPr>
              <w:t xml:space="preserve">~26%</w:t>
            </w:r>
          </w:p>
        </w:tc>
        <w:tc>
          <w:tcPr>
            <w:tcW w:type="dxa" w:w="3026"/>
            <w:tcBorders>
              <w:top w:val="single" w:color="D8C9CB" w:sz="4"/>
              <w:left w:val="single" w:color="D8C9CB" w:sz="4"/>
              <w:bottom w:val="single" w:color="D8C9CB" w:sz="4"/>
              <w:right w:val="single" w:color="D8C9CB" w:sz="4"/>
            </w:tcBorders>
            <w:tcMar>
              <w:top w:type="dxa" w:w="80"/>
              <w:left w:type="dxa" w:w="120"/>
              <w:bottom w:type="dxa" w:w="80"/>
              <w:right w:type="dxa" w:w="120"/>
            </w:tcMar>
          </w:tcPr>
          <w:p>
            <w:pPr>
              <w:spacing w:after="0" w:before="0" w:line="260"/>
            </w:pPr>
            <w:r>
              <w:rPr>
                <w:rFonts w:ascii="Georgia" w:cs="Georgia" w:eastAsia="Georgia" w:hAnsi="Georgia"/>
                <w:b w:val="false"/>
                <w:bCs w:val="false"/>
                <w:color w:val="1D1D1D"/>
                <w:sz w:val="20"/>
                <w:szCs w:val="20"/>
              </w:rPr>
              <w:t xml:space="preserve">~45 months</w:t>
            </w:r>
          </w:p>
        </w:tc>
      </w:tr>
      <w:tr>
        <w:tc>
          <w:tcPr>
            <w:tcW w:type="dxa" w:w="3000"/>
            <w:tcBorders>
              <w:top w:val="single" w:color="D8C9CB" w:sz="4"/>
              <w:left w:val="single" w:color="D8C9CB" w:sz="4"/>
              <w:bottom w:val="single" w:color="D8C9CB" w:sz="4"/>
              <w:right w:val="single" w:color="D8C9CB" w:sz="4"/>
            </w:tcBorders>
            <w:tcMar>
              <w:top w:type="dxa" w:w="80"/>
              <w:left w:type="dxa" w:w="120"/>
              <w:bottom w:type="dxa" w:w="80"/>
              <w:right w:type="dxa" w:w="120"/>
            </w:tcMar>
          </w:tcPr>
          <w:p>
            <w:pPr>
              <w:spacing w:after="0" w:before="0" w:line="260"/>
            </w:pPr>
            <w:r>
              <w:rPr>
                <w:rFonts w:ascii="Georgia" w:cs="Georgia" w:eastAsia="Georgia" w:hAnsi="Georgia"/>
                <w:b w:val="false"/>
                <w:bCs w:val="false"/>
                <w:color w:val="1D1D1D"/>
                <w:sz w:val="20"/>
                <w:szCs w:val="20"/>
              </w:rPr>
              <w:t xml:space="preserve">High (2 or more risk factors)</w:t>
            </w:r>
          </w:p>
        </w:tc>
        <w:tc>
          <w:tcPr>
            <w:tcW w:type="dxa" w:w="3000"/>
            <w:tcBorders>
              <w:top w:val="single" w:color="D8C9CB" w:sz="4"/>
              <w:left w:val="single" w:color="D8C9CB" w:sz="4"/>
              <w:bottom w:val="single" w:color="D8C9CB" w:sz="4"/>
              <w:right w:val="single" w:color="D8C9CB" w:sz="4"/>
            </w:tcBorders>
            <w:tcMar>
              <w:top w:type="dxa" w:w="80"/>
              <w:left w:type="dxa" w:w="120"/>
              <w:bottom w:type="dxa" w:w="80"/>
              <w:right w:type="dxa" w:w="120"/>
            </w:tcMar>
          </w:tcPr>
          <w:p>
            <w:pPr>
              <w:spacing w:after="0" w:before="0" w:line="260"/>
            </w:pPr>
            <w:r>
              <w:rPr>
                <w:rFonts w:ascii="Georgia" w:cs="Georgia" w:eastAsia="Georgia" w:hAnsi="Georgia"/>
                <w:b w:val="false"/>
                <w:bCs w:val="false"/>
                <w:color w:val="1D1D1D"/>
                <w:sz w:val="20"/>
                <w:szCs w:val="20"/>
              </w:rPr>
              <w:t xml:space="preserve">~47%</w:t>
            </w:r>
          </w:p>
        </w:tc>
        <w:tc>
          <w:tcPr>
            <w:tcW w:type="dxa" w:w="3026"/>
            <w:tcBorders>
              <w:top w:val="single" w:color="D8C9CB" w:sz="4"/>
              <w:left w:val="single" w:color="D8C9CB" w:sz="4"/>
              <w:bottom w:val="single" w:color="D8C9CB" w:sz="4"/>
              <w:right w:val="single" w:color="D8C9CB" w:sz="4"/>
            </w:tcBorders>
            <w:tcMar>
              <w:top w:type="dxa" w:w="80"/>
              <w:left w:type="dxa" w:w="120"/>
              <w:bottom w:type="dxa" w:w="80"/>
              <w:right w:type="dxa" w:w="120"/>
            </w:tcMar>
          </w:tcPr>
          <w:p>
            <w:pPr>
              <w:spacing w:after="0" w:before="0" w:line="260"/>
            </w:pPr>
            <w:r>
              <w:rPr>
                <w:rFonts w:ascii="Georgia" w:cs="Georgia" w:eastAsia="Georgia" w:hAnsi="Georgia"/>
                <w:b w:val="false"/>
                <w:bCs w:val="false"/>
                <w:color w:val="1D1D1D"/>
                <w:sz w:val="20"/>
                <w:szCs w:val="20"/>
              </w:rPr>
              <w:t xml:space="preserve">~23 months</w:t>
            </w:r>
          </w:p>
        </w:tc>
      </w:tr>
    </w:tbl>
    <w:p>
      <w:pPr>
        <w:spacing w:after="80" w:before="80" w:line="300"/>
        <w:jc w:val="left"/>
      </w:pPr>
      <w:r>
        <w:rPr>
          <w:rFonts w:ascii="Georgia" w:cs="Georgia" w:eastAsia="Georgia" w:hAnsi="Georgia"/>
          <w:b w:val="false"/>
          <w:bCs w:val="false"/>
          <w:i/>
          <w:iCs/>
          <w:color w:val="4A4A4A"/>
          <w:sz w:val="18"/>
          <w:szCs w:val="18"/>
        </w:rPr>
        <w:t xml:space="preserve">Source: Lakshman 2018 (Blood Cancer J); endorsed by Hughes 2024.</w:t>
      </w:r>
    </w:p>
    <w:p>
      <w:pPr>
        <w:spacing w:after="80" w:before="80" w:line="300"/>
        <w:jc w:val="left"/>
      </w:pPr>
      <w:r>
        <w:rPr>
          <w:rFonts w:ascii="Georgia" w:cs="Georgia" w:eastAsia="Georgia" w:hAnsi="Georgia"/>
          <w:b w:val="false"/>
          <w:bCs w:val="false"/>
          <w:i w:val="false"/>
          <w:iCs w:val="false"/>
          <w:color w:val="1D1D1D"/>
          <w:sz w:val="22"/>
          <w:szCs w:val="22"/>
        </w:rPr>
        <w:t xml:space="preserve">Re-stratify patients annually for the first five years post-diagnosis. Movement to a higher risk group between assessments is itself prognostic.</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D8C9CB" w:sz="4"/>
              <w:left w:val="single" w:color="7A1F2B" w:sz="16"/>
              <w:bottom w:val="single" w:color="D8C9CB" w:sz="4"/>
              <w:right w:val="single" w:color="D8C9CB" w:sz="4"/>
            </w:tcBorders>
            <w:shd w:fill="F5E9EB" w:val="clear"/>
            <w:tcMar>
              <w:top w:type="dxa" w:w="140"/>
              <w:left w:type="dxa" w:w="200"/>
              <w:bottom w:type="dxa" w:w="140"/>
              <w:right w:type="dxa" w:w="160"/>
            </w:tcMar>
          </w:tcPr>
          <w:p>
            <w:pPr>
              <w:spacing w:after="80" w:before="0"/>
            </w:pPr>
            <w:r>
              <w:rPr>
                <w:rFonts w:ascii="Georgia" w:cs="Georgia" w:eastAsia="Georgia" w:hAnsi="Georgia"/>
                <w:b/>
                <w:bCs/>
                <w:color w:val="7A1F2B"/>
                <w:sz w:val="22"/>
                <w:szCs w:val="22"/>
              </w:rPr>
              <w:t xml:space="preserve">Pattern recognition — evolving SMM</w:t>
            </w:r>
          </w:p>
          <w:p>
            <w:pPr>
              <w:spacing w:after="0" w:before="0" w:line="280"/>
            </w:pPr>
            <w:r>
              <w:rPr>
                <w:rFonts w:ascii="Georgia" w:cs="Georgia" w:eastAsia="Georgia" w:hAnsi="Georgia"/>
                <w:color w:val="1D1D1D"/>
                <w:sz w:val="22"/>
                <w:szCs w:val="22"/>
              </w:rPr>
              <w:t xml:space="preserve">An evolving M-protein or FLC trajectory (a rise of more than 10 per cent over six months, or any new immunoparesis) carries independent prognostic weight beyond the static Mayo 20-2-20 group. Re-stratify and consider trial referral early.</w:t>
            </w:r>
          </w:p>
        </w:tc>
      </w:tr>
    </w:tbl>
    <w:p>
      <w:pPr>
        <w:spacing w:after="80" w:before="180"/>
      </w:pPr>
      <w:r>
        <w:rPr>
          <w:rFonts w:ascii="Georgia" w:cs="Georgia" w:eastAsia="Georgia" w:hAnsi="Georgia"/>
          <w:b/>
          <w:bCs/>
          <w:color w:val="1D1D1D"/>
          <w:sz w:val="24"/>
          <w:szCs w:val="24"/>
        </w:rPr>
        <w:t xml:space="preserve">Monitoring and intervention</w:t>
      </w:r>
    </w:p>
    <w:p>
      <w:pPr>
        <w:pStyle w:val="ListParagraph"/>
        <w:numPr>
          <w:ilvl w:val="0"/>
          <w:numId w:val="2"/>
        </w:numPr>
        <w:spacing w:after="40" w:before="40" w:line="280"/>
      </w:pPr>
      <w:r>
        <w:rPr>
          <w:rFonts w:ascii="Georgia" w:cs="Georgia" w:eastAsia="Georgia" w:hAnsi="Georgia"/>
          <w:b/>
          <w:bCs/>
          <w:i w:val="false"/>
          <w:iCs w:val="false"/>
          <w:color w:val="1D1D1D"/>
          <w:sz w:val="22"/>
          <w:szCs w:val="22"/>
        </w:rPr>
        <w:t xml:space="preserve">Low-risk SMM: </w:t>
      </w:r>
      <w:r>
        <w:rPr>
          <w:rFonts w:ascii="Georgia" w:cs="Georgia" w:eastAsia="Georgia" w:hAnsi="Georgia"/>
          <w:b w:val="false"/>
          <w:bCs w:val="false"/>
          <w:i w:val="false"/>
          <w:iCs w:val="false"/>
          <w:color w:val="1D1D1D"/>
          <w:sz w:val="22"/>
          <w:szCs w:val="22"/>
        </w:rPr>
        <w:t xml:space="preserve">3-monthly clinical and biochemical review for the first year, extending to 6 to 12 monthly if stable.</w:t>
      </w:r>
    </w:p>
    <w:p>
      <w:pPr>
        <w:pStyle w:val="ListParagraph"/>
        <w:numPr>
          <w:ilvl w:val="0"/>
          <w:numId w:val="2"/>
        </w:numPr>
        <w:spacing w:after="40" w:before="40" w:line="280"/>
      </w:pPr>
      <w:r>
        <w:rPr>
          <w:rFonts w:ascii="Georgia" w:cs="Georgia" w:eastAsia="Georgia" w:hAnsi="Georgia"/>
          <w:b/>
          <w:bCs/>
          <w:i w:val="false"/>
          <w:iCs w:val="false"/>
          <w:color w:val="1D1D1D"/>
          <w:sz w:val="22"/>
          <w:szCs w:val="22"/>
        </w:rPr>
        <w:t xml:space="preserve">Intermediate-risk SMM: </w:t>
      </w:r>
      <w:r>
        <w:rPr>
          <w:rFonts w:ascii="Georgia" w:cs="Georgia" w:eastAsia="Georgia" w:hAnsi="Georgia"/>
          <w:b w:val="false"/>
          <w:bCs w:val="false"/>
          <w:i w:val="false"/>
          <w:iCs w:val="false"/>
          <w:color w:val="1D1D1D"/>
          <w:sz w:val="22"/>
          <w:szCs w:val="22"/>
        </w:rPr>
        <w:t xml:space="preserve">3-monthly review for 1 to 2 years, extending to 4 to 6 monthly if stable.</w:t>
      </w:r>
    </w:p>
    <w:p>
      <w:pPr>
        <w:pStyle w:val="ListParagraph"/>
        <w:numPr>
          <w:ilvl w:val="0"/>
          <w:numId w:val="2"/>
        </w:numPr>
        <w:spacing w:after="40" w:before="40" w:line="280"/>
      </w:pPr>
      <w:r>
        <w:rPr>
          <w:rFonts w:ascii="Georgia" w:cs="Georgia" w:eastAsia="Georgia" w:hAnsi="Georgia"/>
          <w:b/>
          <w:bCs/>
          <w:i w:val="false"/>
          <w:iCs w:val="false"/>
          <w:color w:val="1D1D1D"/>
          <w:sz w:val="22"/>
          <w:szCs w:val="22"/>
        </w:rPr>
        <w:t xml:space="preserve">High-risk SMM: </w:t>
      </w:r>
      <w:r>
        <w:rPr>
          <w:rFonts w:ascii="Georgia" w:cs="Georgia" w:eastAsia="Georgia" w:hAnsi="Georgia"/>
          <w:b w:val="false"/>
          <w:bCs w:val="false"/>
          <w:i w:val="false"/>
          <w:iCs w:val="false"/>
          <w:color w:val="1D1D1D"/>
          <w:sz w:val="22"/>
          <w:szCs w:val="22"/>
        </w:rPr>
        <w:t xml:space="preserve">3-monthly review for at least 5 years; consider entry into a clinical trial. Outside trials, BSH 2024 states there is insufficient evidence to treat SMM routinely.</w:t>
      </w:r>
    </w:p>
    <w:p>
      <w:pPr>
        <w:pStyle w:val="ListParagraph"/>
        <w:numPr>
          <w:ilvl w:val="0"/>
          <w:numId w:val="2"/>
        </w:numPr>
        <w:spacing w:after="40" w:before="40" w:line="280"/>
      </w:pPr>
      <w:r>
        <w:rPr>
          <w:rFonts w:ascii="Georgia" w:cs="Georgia" w:eastAsia="Georgia" w:hAnsi="Georgia"/>
          <w:b w:val="false"/>
          <w:bCs w:val="false"/>
          <w:i w:val="false"/>
          <w:iCs w:val="false"/>
          <w:color w:val="1D1D1D"/>
          <w:sz w:val="22"/>
          <w:szCs w:val="22"/>
        </w:rPr>
        <w:t xml:space="preserve">Repeat imaging annually in high-risk SMM and at a low threshold in those with evolving disease markers. Equivocal or solitary focal lesions at baseline warrant interval imaging at 3 to 6 months.</w:t>
      </w:r>
    </w:p>
    <w:p>
      <w:pPr>
        <w:pStyle w:val="ListParagraph"/>
        <w:numPr>
          <w:ilvl w:val="0"/>
          <w:numId w:val="2"/>
        </w:numPr>
        <w:spacing w:after="40" w:before="40" w:line="280"/>
      </w:pPr>
      <w:r>
        <w:rPr>
          <w:rFonts w:ascii="Georgia" w:cs="Georgia" w:eastAsia="Georgia" w:hAnsi="Georgia"/>
          <w:b w:val="false"/>
          <w:bCs w:val="false"/>
          <w:i w:val="false"/>
          <w:iCs w:val="false"/>
          <w:color w:val="1D1D1D"/>
          <w:sz w:val="22"/>
          <w:szCs w:val="22"/>
        </w:rPr>
        <w:t xml:space="preserve">QuiRedex and SWOG E3A06 showed benefit from early lenalidomide-based therapy in high-risk SMM. Treatment of SMM is not NHS standard of care outside trials at the time of this draft.</w:t>
      </w:r>
    </w:p>
    <w:p>
      <w:pPr>
        <w:spacing w:after="80" w:before="180"/>
      </w:pPr>
      <w:r>
        <w:rPr>
          <w:rFonts w:ascii="Georgia" w:cs="Georgia" w:eastAsia="Georgia" w:hAnsi="Georgia"/>
          <w:b/>
          <w:bCs/>
          <w:color w:val="1D1D1D"/>
          <w:sz w:val="24"/>
          <w:szCs w:val="24"/>
        </w:rPr>
        <w:t xml:space="preserve">Supportive care in SMM</w:t>
      </w:r>
    </w:p>
    <w:p>
      <w:pPr>
        <w:pStyle w:val="ListParagraph"/>
        <w:numPr>
          <w:ilvl w:val="0"/>
          <w:numId w:val="2"/>
        </w:numPr>
        <w:spacing w:after="40" w:before="40" w:line="280"/>
      </w:pPr>
      <w:r>
        <w:rPr>
          <w:rFonts w:ascii="Georgia" w:cs="Georgia" w:eastAsia="Georgia" w:hAnsi="Georgia"/>
          <w:b w:val="false"/>
          <w:bCs w:val="false"/>
          <w:i w:val="false"/>
          <w:iCs w:val="false"/>
          <w:color w:val="1D1D1D"/>
          <w:sz w:val="22"/>
          <w:szCs w:val="22"/>
        </w:rPr>
        <w:t xml:space="preserve">Annual flu vaccination, full COVID-19 schedule, conjugate pneumococcal (PCV13) followed by polysaccharide (PPV23) at 2 months, repeated 5-yearly. Functional antibody check at 6 weeks in patients with recurrent infection.</w:t>
      </w:r>
    </w:p>
    <w:p>
      <w:pPr>
        <w:pStyle w:val="ListParagraph"/>
        <w:numPr>
          <w:ilvl w:val="0"/>
          <w:numId w:val="2"/>
        </w:numPr>
        <w:spacing w:after="40" w:before="40" w:line="280"/>
      </w:pPr>
      <w:r>
        <w:rPr>
          <w:rFonts w:ascii="Georgia" w:cs="Georgia" w:eastAsia="Georgia" w:hAnsi="Georgia"/>
          <w:b w:val="false"/>
          <w:bCs w:val="false"/>
          <w:i w:val="false"/>
          <w:iCs w:val="false"/>
          <w:color w:val="1D1D1D"/>
          <w:sz w:val="22"/>
          <w:szCs w:val="22"/>
        </w:rPr>
        <w:t xml:space="preserve">Recombinant zoster vaccine (Shingrix) two-dose schedule in patients over 50 years.</w:t>
      </w:r>
    </w:p>
    <w:p>
      <w:pPr>
        <w:pStyle w:val="ListParagraph"/>
        <w:numPr>
          <w:ilvl w:val="0"/>
          <w:numId w:val="2"/>
        </w:numPr>
        <w:spacing w:after="40" w:before="40" w:line="280"/>
      </w:pPr>
      <w:r>
        <w:rPr>
          <w:rFonts w:ascii="Georgia" w:cs="Georgia" w:eastAsia="Georgia" w:hAnsi="Georgia"/>
          <w:b w:val="false"/>
          <w:bCs w:val="false"/>
          <w:i w:val="false"/>
          <w:iCs w:val="false"/>
          <w:color w:val="1D1D1D"/>
          <w:sz w:val="22"/>
          <w:szCs w:val="22"/>
        </w:rPr>
        <w:t xml:space="preserve">No routine VTE prophylaxis. No routine bisphosphonates outside osteoporosis indication.</w:t>
      </w:r>
    </w:p>
    <w:p>
      <w:pPr>
        <w:pStyle w:val="ListParagraph"/>
        <w:numPr>
          <w:ilvl w:val="0"/>
          <w:numId w:val="2"/>
        </w:numPr>
        <w:spacing w:after="40" w:before="40" w:line="280"/>
      </w:pPr>
      <w:r>
        <w:rPr>
          <w:rFonts w:ascii="Georgia" w:cs="Georgia" w:eastAsia="Georgia" w:hAnsi="Georgia"/>
          <w:b w:val="false"/>
          <w:bCs w:val="false"/>
          <w:i w:val="false"/>
          <w:iCs w:val="false"/>
          <w:color w:val="1D1D1D"/>
          <w:sz w:val="22"/>
          <w:szCs w:val="22"/>
        </w:rPr>
        <w:t xml:space="preserve">Psychological support and clear information at diagnosis and at each review.</w:t>
      </w:r>
    </w:p>
    <w:p>
      <w:pPr>
        <w:pStyle w:val="Heading1"/>
        <w:spacing w:after="160" w:before="360"/>
      </w:pPr>
      <w:r>
        <w:rPr>
          <w:rFonts w:ascii="Georgia" w:cs="Georgia" w:eastAsia="Georgia" w:hAnsi="Georgia"/>
          <w:b/>
          <w:bCs/>
          <w:color w:val="7A1F2B"/>
          <w:sz w:val="30"/>
          <w:szCs w:val="30"/>
        </w:rPr>
        <w:t xml:space="preserve">7. </w:t>
      </w:r>
      <w:r>
        <w:rPr>
          <w:rFonts w:ascii="Georgia" w:cs="Georgia" w:eastAsia="Georgia" w:hAnsi="Georgia"/>
          <w:b/>
          <w:bCs/>
          <w:color w:val="7A1F2B"/>
          <w:sz w:val="30"/>
          <w:szCs w:val="30"/>
        </w:rPr>
        <w:t xml:space="preserve">MGRS — Monoclonal Gammopathy of Renal Significance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1E5D8C" w:sz="4"/>
              <w:left w:val="single" w:color="1E5D8C" w:sz="4"/>
              <w:bottom w:val="single" w:color="1E5D8C" w:sz="4"/>
              <w:right w:val="single" w:color="1E5D8C" w:sz="4"/>
            </w:tcBorders>
            <w:shd w:fill="E7F0F7" w:val="clear"/>
            <w:tcMar>
              <w:top w:type="dxa" w:w="140"/>
              <w:left w:type="dxa" w:w="160"/>
              <w:bottom w:type="dxa" w:w="140"/>
              <w:right w:type="dxa" w:w="160"/>
            </w:tcMar>
          </w:tcPr>
          <w:p>
            <w:pPr>
              <w:spacing w:after="80" w:before="0"/>
            </w:pPr>
            <w:r>
              <w:rPr>
                <w:rFonts w:ascii="Georgia" w:cs="Georgia" w:eastAsia="Georgia" w:hAnsi="Georgia"/>
                <w:b/>
                <w:bCs/>
                <w:color w:val="1E5D8C"/>
                <w:sz w:val="22"/>
                <w:szCs w:val="22"/>
              </w:rPr>
              <w:t xml:space="preserve">Clinical Vignette</w:t>
            </w:r>
          </w:p>
          <w:p>
            <w:pPr>
              <w:spacing w:after="0" w:before="0" w:line="280"/>
            </w:pPr>
            <w:r>
              <w:rPr>
                <w:rFonts w:ascii="Georgia" w:cs="Georgia" w:eastAsia="Georgia" w:hAnsi="Georgia"/>
                <w:color w:val="1D1D1D"/>
                <w:sz w:val="22"/>
                <w:szCs w:val="22"/>
              </w:rPr>
              <w:t xml:space="preserve">A 59-year-old man under MGUS surveillance for two years (low-risk Mayo, IgG-kappa, M-protein 12 g/L) attends with new ankle swelling and an eGFR drop from 78 to 49 mL/min/1.73 m squared. Urine ACR is 320 mg/mmol. He has no anaemia, no hypercalcaemia, no bone pain, no skeletal lesions on subsequent low-dose WB-CT. His M-protein remains stable. Is this MGRS?</w:t>
            </w:r>
          </w:p>
        </w:tc>
      </w:tr>
    </w:tbl>
    <w:p>
      <w:pPr>
        <w:spacing w:after="80" w:before="80" w:line="300"/>
        <w:jc w:val="left"/>
      </w:pPr>
      <w:r>
        <w:rPr>
          <w:rFonts w:ascii="Georgia" w:cs="Georgia" w:eastAsia="Georgia" w:hAnsi="Georgia"/>
          <w:b w:val="false"/>
          <w:bCs w:val="false"/>
          <w:i w:val="false"/>
          <w:iCs w:val="false"/>
          <w:color w:val="1D1D1D"/>
          <w:sz w:val="22"/>
          <w:szCs w:val="22"/>
        </w:rPr>
        <w:t xml:space="preserve">MGRS describes any kidney disease caused directly or indirectly by a small B-cell or plasma cell clone that does not meet WHO criteria for haematological neoplasm. Diagnosis links the underlying clone to a defined renal lesion confirmed on biopsy. The most common MGRS-associated disorder in the UK is AL amyloidosis. Progression to end-stage kidney disease (ESKD) is common; outcome is determined primarily by depth of haematological response.</w:t>
      </w:r>
    </w:p>
    <w:p>
      <w:pPr>
        <w:spacing w:after="80" w:before="180"/>
      </w:pPr>
      <w:r>
        <w:rPr>
          <w:rFonts w:ascii="Georgia" w:cs="Georgia" w:eastAsia="Georgia" w:hAnsi="Georgia"/>
          <w:b/>
          <w:bCs/>
          <w:color w:val="1D1D1D"/>
          <w:sz w:val="24"/>
          <w:szCs w:val="24"/>
        </w:rPr>
        <w:t xml:space="preserve">Screening in haematology clinic</w:t>
      </w:r>
    </w:p>
    <w:p>
      <w:pPr>
        <w:pStyle w:val="ListParagraph"/>
        <w:numPr>
          <w:ilvl w:val="0"/>
          <w:numId w:val="2"/>
        </w:numPr>
        <w:spacing w:after="40" w:before="40" w:line="280"/>
      </w:pPr>
      <w:r>
        <w:rPr>
          <w:rFonts w:ascii="Georgia" w:cs="Georgia" w:eastAsia="Georgia" w:hAnsi="Georgia"/>
          <w:b w:val="false"/>
          <w:bCs w:val="false"/>
          <w:i w:val="false"/>
          <w:iCs w:val="false"/>
          <w:color w:val="1D1D1D"/>
          <w:sz w:val="22"/>
          <w:szCs w:val="22"/>
        </w:rPr>
        <w:t xml:space="preserve">All patients with a known MGUS should have serum creatinine, eGFR, urinalysis and urine ACR (not PCR) checked at first presentation.</w:t>
      </w:r>
    </w:p>
    <w:p>
      <w:pPr>
        <w:pStyle w:val="ListParagraph"/>
        <w:numPr>
          <w:ilvl w:val="0"/>
          <w:numId w:val="2"/>
        </w:numPr>
        <w:spacing w:after="40" w:before="40" w:line="280"/>
      </w:pPr>
      <w:r>
        <w:rPr>
          <w:rFonts w:ascii="Georgia" w:cs="Georgia" w:eastAsia="Georgia" w:hAnsi="Georgia"/>
          <w:b w:val="false"/>
          <w:bCs w:val="false"/>
          <w:i w:val="false"/>
          <w:iCs w:val="false"/>
          <w:color w:val="1D1D1D"/>
          <w:sz w:val="22"/>
          <w:szCs w:val="22"/>
        </w:rPr>
        <w:t xml:space="preserve">Urine dipstick is insensitive to light chains; do not use it to exclude light-chain proteinuria.</w:t>
      </w:r>
    </w:p>
    <w:p>
      <w:pPr>
        <w:pStyle w:val="ListParagraph"/>
        <w:numPr>
          <w:ilvl w:val="0"/>
          <w:numId w:val="2"/>
        </w:numPr>
        <w:spacing w:after="40" w:before="40" w:line="280"/>
      </w:pPr>
      <w:r>
        <w:rPr>
          <w:rFonts w:ascii="Georgia" w:cs="Georgia" w:eastAsia="Georgia" w:hAnsi="Georgia"/>
          <w:b w:val="false"/>
          <w:bCs w:val="false"/>
          <w:i w:val="false"/>
          <w:iCs w:val="false"/>
          <w:color w:val="1D1D1D"/>
          <w:sz w:val="22"/>
          <w:szCs w:val="22"/>
        </w:rPr>
        <w:t xml:space="preserve">Refer to nephrology if ACR above 30 mg/mmol with a detectable clone, microscopic haematuria, or eGFR declines by more than 25 per cent in 12 months.</w:t>
      </w:r>
    </w:p>
    <w:p>
      <w:pPr>
        <w:spacing w:after="80" w:before="180"/>
      </w:pPr>
      <w:r>
        <w:rPr>
          <w:rFonts w:ascii="Georgia" w:cs="Georgia" w:eastAsia="Georgia" w:hAnsi="Georgia"/>
          <w:b/>
          <w:bCs/>
          <w:color w:val="1D1D1D"/>
          <w:sz w:val="24"/>
          <w:szCs w:val="24"/>
        </w:rPr>
        <w:t xml:space="preserve">Histological classification (IKMG)</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400"/>
        <w:gridCol w:w="4626"/>
      </w:tblGrid>
      <w:tr>
        <w:trPr>
          <w:tblHeader/>
        </w:trPr>
        <w:tc>
          <w:tcPr>
            <w:tcW w:type="dxa" w:w="4400"/>
            <w:tcBorders>
              <w:top w:val="single" w:color="D8C9CB" w:sz="4"/>
              <w:left w:val="single" w:color="D8C9CB" w:sz="4"/>
              <w:bottom w:val="single" w:color="D8C9CB" w:sz="4"/>
              <w:right w:val="single" w:color="D8C9CB" w:sz="4"/>
            </w:tcBorders>
            <w:shd w:fill="F5E9EB" w:val="clear"/>
            <w:tcMar>
              <w:top w:type="dxa" w:w="80"/>
              <w:left w:type="dxa" w:w="120"/>
              <w:bottom w:type="dxa" w:w="80"/>
              <w:right w:type="dxa" w:w="120"/>
            </w:tcMar>
          </w:tcPr>
          <w:p>
            <w:pPr>
              <w:spacing w:after="0" w:before="0" w:line="260"/>
            </w:pPr>
            <w:r>
              <w:rPr>
                <w:rFonts w:ascii="Georgia" w:cs="Georgia" w:eastAsia="Georgia" w:hAnsi="Georgia"/>
                <w:b/>
                <w:bCs/>
                <w:color w:val="7A1F2B"/>
                <w:sz w:val="20"/>
                <w:szCs w:val="20"/>
              </w:rPr>
              <w:t xml:space="preserve">MGRS-associated lesion</w:t>
            </w:r>
          </w:p>
        </w:tc>
        <w:tc>
          <w:tcPr>
            <w:tcW w:type="dxa" w:w="4626"/>
            <w:tcBorders>
              <w:top w:val="single" w:color="D8C9CB" w:sz="4"/>
              <w:left w:val="single" w:color="D8C9CB" w:sz="4"/>
              <w:bottom w:val="single" w:color="D8C9CB" w:sz="4"/>
              <w:right w:val="single" w:color="D8C9CB" w:sz="4"/>
            </w:tcBorders>
            <w:shd w:fill="F5E9EB" w:val="clear"/>
            <w:tcMar>
              <w:top w:type="dxa" w:w="80"/>
              <w:left w:type="dxa" w:w="120"/>
              <w:bottom w:type="dxa" w:w="80"/>
              <w:right w:type="dxa" w:w="120"/>
            </w:tcMar>
          </w:tcPr>
          <w:p>
            <w:pPr>
              <w:spacing w:after="0" w:before="0" w:line="260"/>
            </w:pPr>
            <w:r>
              <w:rPr>
                <w:rFonts w:ascii="Georgia" w:cs="Georgia" w:eastAsia="Georgia" w:hAnsi="Georgia"/>
                <w:b/>
                <w:bCs/>
                <w:color w:val="7A1F2B"/>
                <w:sz w:val="20"/>
                <w:szCs w:val="20"/>
              </w:rPr>
              <w:t xml:space="preserve">Type of deposit</w:t>
            </w:r>
          </w:p>
        </w:tc>
      </w:tr>
      <w:tr>
        <w:tc>
          <w:tcPr>
            <w:tcW w:type="dxa" w:w="4400"/>
            <w:tcBorders>
              <w:top w:val="single" w:color="D8C9CB" w:sz="4"/>
              <w:left w:val="single" w:color="D8C9CB" w:sz="4"/>
              <w:bottom w:val="single" w:color="D8C9CB" w:sz="4"/>
              <w:right w:val="single" w:color="D8C9CB" w:sz="4"/>
            </w:tcBorders>
            <w:tcMar>
              <w:top w:type="dxa" w:w="80"/>
              <w:left w:type="dxa" w:w="120"/>
              <w:bottom w:type="dxa" w:w="80"/>
              <w:right w:type="dxa" w:w="120"/>
            </w:tcMar>
          </w:tcPr>
          <w:p>
            <w:pPr>
              <w:spacing w:after="0" w:before="0" w:line="260"/>
            </w:pPr>
            <w:r>
              <w:rPr>
                <w:rFonts w:ascii="Georgia" w:cs="Georgia" w:eastAsia="Georgia" w:hAnsi="Georgia"/>
                <w:b w:val="false"/>
                <w:bCs w:val="false"/>
                <w:color w:val="1D1D1D"/>
                <w:sz w:val="20"/>
                <w:szCs w:val="20"/>
              </w:rPr>
              <w:t xml:space="preserve">Immunoglobulin-related amyloidosis (AL, AH, AHL)</w:t>
            </w:r>
          </w:p>
        </w:tc>
        <w:tc>
          <w:tcPr>
            <w:tcW w:type="dxa" w:w="4626"/>
            <w:tcBorders>
              <w:top w:val="single" w:color="D8C9CB" w:sz="4"/>
              <w:left w:val="single" w:color="D8C9CB" w:sz="4"/>
              <w:bottom w:val="single" w:color="D8C9CB" w:sz="4"/>
              <w:right w:val="single" w:color="D8C9CB" w:sz="4"/>
            </w:tcBorders>
            <w:tcMar>
              <w:top w:type="dxa" w:w="80"/>
              <w:left w:type="dxa" w:w="120"/>
              <w:bottom w:type="dxa" w:w="80"/>
              <w:right w:type="dxa" w:w="120"/>
            </w:tcMar>
          </w:tcPr>
          <w:p>
            <w:pPr>
              <w:spacing w:after="0" w:before="0" w:line="260"/>
            </w:pPr>
            <w:r>
              <w:rPr>
                <w:rFonts w:ascii="Georgia" w:cs="Georgia" w:eastAsia="Georgia" w:hAnsi="Georgia"/>
                <w:b w:val="false"/>
                <w:bCs w:val="false"/>
                <w:color w:val="1D1D1D"/>
                <w:sz w:val="20"/>
                <w:szCs w:val="20"/>
              </w:rPr>
              <w:t xml:space="preserve">Organised fibrils, Congo red positive</w:t>
            </w:r>
          </w:p>
        </w:tc>
      </w:tr>
      <w:tr>
        <w:tc>
          <w:tcPr>
            <w:tcW w:type="dxa" w:w="4400"/>
            <w:tcBorders>
              <w:top w:val="single" w:color="D8C9CB" w:sz="4"/>
              <w:left w:val="single" w:color="D8C9CB" w:sz="4"/>
              <w:bottom w:val="single" w:color="D8C9CB" w:sz="4"/>
              <w:right w:val="single" w:color="D8C9CB" w:sz="4"/>
            </w:tcBorders>
            <w:tcMar>
              <w:top w:type="dxa" w:w="80"/>
              <w:left w:type="dxa" w:w="120"/>
              <w:bottom w:type="dxa" w:w="80"/>
              <w:right w:type="dxa" w:w="120"/>
            </w:tcMar>
          </w:tcPr>
          <w:p>
            <w:pPr>
              <w:spacing w:after="0" w:before="0" w:line="260"/>
            </w:pPr>
            <w:r>
              <w:rPr>
                <w:rFonts w:ascii="Georgia" w:cs="Georgia" w:eastAsia="Georgia" w:hAnsi="Georgia"/>
                <w:b w:val="false"/>
                <w:bCs w:val="false"/>
                <w:color w:val="1D1D1D"/>
                <w:sz w:val="20"/>
                <w:szCs w:val="20"/>
              </w:rPr>
              <w:t xml:space="preserve">Monoclonal Ig deposition disease (LCDD, LHCDD, HCDD)</w:t>
            </w:r>
          </w:p>
        </w:tc>
        <w:tc>
          <w:tcPr>
            <w:tcW w:type="dxa" w:w="4626"/>
            <w:tcBorders>
              <w:top w:val="single" w:color="D8C9CB" w:sz="4"/>
              <w:left w:val="single" w:color="D8C9CB" w:sz="4"/>
              <w:bottom w:val="single" w:color="D8C9CB" w:sz="4"/>
              <w:right w:val="single" w:color="D8C9CB" w:sz="4"/>
            </w:tcBorders>
            <w:tcMar>
              <w:top w:type="dxa" w:w="80"/>
              <w:left w:type="dxa" w:w="120"/>
              <w:bottom w:type="dxa" w:w="80"/>
              <w:right w:type="dxa" w:w="120"/>
            </w:tcMar>
          </w:tcPr>
          <w:p>
            <w:pPr>
              <w:spacing w:after="0" w:before="0" w:line="260"/>
            </w:pPr>
            <w:r>
              <w:rPr>
                <w:rFonts w:ascii="Georgia" w:cs="Georgia" w:eastAsia="Georgia" w:hAnsi="Georgia"/>
                <w:b w:val="false"/>
                <w:bCs w:val="false"/>
                <w:color w:val="1D1D1D"/>
                <w:sz w:val="20"/>
                <w:szCs w:val="20"/>
              </w:rPr>
              <w:t xml:space="preserve">Non-organised, finely granular, linear Ig along GBM and TBM</w:t>
            </w:r>
          </w:p>
        </w:tc>
      </w:tr>
      <w:tr>
        <w:tc>
          <w:tcPr>
            <w:tcW w:type="dxa" w:w="4400"/>
            <w:tcBorders>
              <w:top w:val="single" w:color="D8C9CB" w:sz="4"/>
              <w:left w:val="single" w:color="D8C9CB" w:sz="4"/>
              <w:bottom w:val="single" w:color="D8C9CB" w:sz="4"/>
              <w:right w:val="single" w:color="D8C9CB" w:sz="4"/>
            </w:tcBorders>
            <w:tcMar>
              <w:top w:type="dxa" w:w="80"/>
              <w:left w:type="dxa" w:w="120"/>
              <w:bottom w:type="dxa" w:w="80"/>
              <w:right w:type="dxa" w:w="120"/>
            </w:tcMar>
          </w:tcPr>
          <w:p>
            <w:pPr>
              <w:spacing w:after="0" w:before="0" w:line="260"/>
            </w:pPr>
            <w:r>
              <w:rPr>
                <w:rFonts w:ascii="Georgia" w:cs="Georgia" w:eastAsia="Georgia" w:hAnsi="Georgia"/>
                <w:b w:val="false"/>
                <w:bCs w:val="false"/>
                <w:color w:val="1D1D1D"/>
                <w:sz w:val="20"/>
                <w:szCs w:val="20"/>
              </w:rPr>
              <w:t xml:space="preserve">Proliferative GN with monoclonal Ig deposits (PGNMID)</w:t>
            </w:r>
          </w:p>
        </w:tc>
        <w:tc>
          <w:tcPr>
            <w:tcW w:type="dxa" w:w="4626"/>
            <w:tcBorders>
              <w:top w:val="single" w:color="D8C9CB" w:sz="4"/>
              <w:left w:val="single" w:color="D8C9CB" w:sz="4"/>
              <w:bottom w:val="single" w:color="D8C9CB" w:sz="4"/>
              <w:right w:val="single" w:color="D8C9CB" w:sz="4"/>
            </w:tcBorders>
            <w:tcMar>
              <w:top w:type="dxa" w:w="80"/>
              <w:left w:type="dxa" w:w="120"/>
              <w:bottom w:type="dxa" w:w="80"/>
              <w:right w:type="dxa" w:w="120"/>
            </w:tcMar>
          </w:tcPr>
          <w:p>
            <w:pPr>
              <w:spacing w:after="0" w:before="0" w:line="260"/>
            </w:pPr>
            <w:r>
              <w:rPr>
                <w:rFonts w:ascii="Georgia" w:cs="Georgia" w:eastAsia="Georgia" w:hAnsi="Georgia"/>
                <w:b w:val="false"/>
                <w:bCs w:val="false"/>
                <w:color w:val="1D1D1D"/>
                <w:sz w:val="20"/>
                <w:szCs w:val="20"/>
              </w:rPr>
              <w:t xml:space="preserve">Granular monotypic Ig deposits, mostly IgG3-kappa</w:t>
            </w:r>
          </w:p>
        </w:tc>
      </w:tr>
      <w:tr>
        <w:tc>
          <w:tcPr>
            <w:tcW w:type="dxa" w:w="4400"/>
            <w:tcBorders>
              <w:top w:val="single" w:color="D8C9CB" w:sz="4"/>
              <w:left w:val="single" w:color="D8C9CB" w:sz="4"/>
              <w:bottom w:val="single" w:color="D8C9CB" w:sz="4"/>
              <w:right w:val="single" w:color="D8C9CB" w:sz="4"/>
            </w:tcBorders>
            <w:tcMar>
              <w:top w:type="dxa" w:w="80"/>
              <w:left w:type="dxa" w:w="120"/>
              <w:bottom w:type="dxa" w:w="80"/>
              <w:right w:type="dxa" w:w="120"/>
            </w:tcMar>
          </w:tcPr>
          <w:p>
            <w:pPr>
              <w:spacing w:after="0" w:before="0" w:line="260"/>
            </w:pPr>
            <w:r>
              <w:rPr>
                <w:rFonts w:ascii="Georgia" w:cs="Georgia" w:eastAsia="Georgia" w:hAnsi="Georgia"/>
                <w:b w:val="false"/>
                <w:bCs w:val="false"/>
                <w:color w:val="1D1D1D"/>
                <w:sz w:val="20"/>
                <w:szCs w:val="20"/>
              </w:rPr>
              <w:t xml:space="preserve">Monotypic immunotactoid GN</w:t>
            </w:r>
          </w:p>
        </w:tc>
        <w:tc>
          <w:tcPr>
            <w:tcW w:type="dxa" w:w="4626"/>
            <w:tcBorders>
              <w:top w:val="single" w:color="D8C9CB" w:sz="4"/>
              <w:left w:val="single" w:color="D8C9CB" w:sz="4"/>
              <w:bottom w:val="single" w:color="D8C9CB" w:sz="4"/>
              <w:right w:val="single" w:color="D8C9CB" w:sz="4"/>
            </w:tcBorders>
            <w:tcMar>
              <w:top w:type="dxa" w:w="80"/>
              <w:left w:type="dxa" w:w="120"/>
              <w:bottom w:type="dxa" w:w="80"/>
              <w:right w:type="dxa" w:w="120"/>
            </w:tcMar>
          </w:tcPr>
          <w:p>
            <w:pPr>
              <w:spacing w:after="0" w:before="0" w:line="260"/>
            </w:pPr>
            <w:r>
              <w:rPr>
                <w:rFonts w:ascii="Georgia" w:cs="Georgia" w:eastAsia="Georgia" w:hAnsi="Georgia"/>
                <w:b w:val="false"/>
                <w:bCs w:val="false"/>
                <w:color w:val="1D1D1D"/>
                <w:sz w:val="20"/>
                <w:szCs w:val="20"/>
              </w:rPr>
              <w:t xml:space="preserve">Organised microtubules (14 to 60 nm) with light chain restriction</w:t>
            </w:r>
          </w:p>
        </w:tc>
      </w:tr>
      <w:tr>
        <w:tc>
          <w:tcPr>
            <w:tcW w:type="dxa" w:w="4400"/>
            <w:tcBorders>
              <w:top w:val="single" w:color="D8C9CB" w:sz="4"/>
              <w:left w:val="single" w:color="D8C9CB" w:sz="4"/>
              <w:bottom w:val="single" w:color="D8C9CB" w:sz="4"/>
              <w:right w:val="single" w:color="D8C9CB" w:sz="4"/>
            </w:tcBorders>
            <w:tcMar>
              <w:top w:type="dxa" w:w="80"/>
              <w:left w:type="dxa" w:w="120"/>
              <w:bottom w:type="dxa" w:w="80"/>
              <w:right w:type="dxa" w:w="120"/>
            </w:tcMar>
          </w:tcPr>
          <w:p>
            <w:pPr>
              <w:spacing w:after="0" w:before="0" w:line="260"/>
            </w:pPr>
            <w:r>
              <w:rPr>
                <w:rFonts w:ascii="Georgia" w:cs="Georgia" w:eastAsia="Georgia" w:hAnsi="Georgia"/>
                <w:b w:val="false"/>
                <w:bCs w:val="false"/>
                <w:color w:val="1D1D1D"/>
                <w:sz w:val="20"/>
                <w:szCs w:val="20"/>
              </w:rPr>
              <w:t xml:space="preserve">Type 1 / type 2 cryoglobulinaemic GN</w:t>
            </w:r>
          </w:p>
        </w:tc>
        <w:tc>
          <w:tcPr>
            <w:tcW w:type="dxa" w:w="4626"/>
            <w:tcBorders>
              <w:top w:val="single" w:color="D8C9CB" w:sz="4"/>
              <w:left w:val="single" w:color="D8C9CB" w:sz="4"/>
              <w:bottom w:val="single" w:color="D8C9CB" w:sz="4"/>
              <w:right w:val="single" w:color="D8C9CB" w:sz="4"/>
            </w:tcBorders>
            <w:tcMar>
              <w:top w:type="dxa" w:w="80"/>
              <w:left w:type="dxa" w:w="120"/>
              <w:bottom w:type="dxa" w:w="80"/>
              <w:right w:type="dxa" w:w="120"/>
            </w:tcMar>
          </w:tcPr>
          <w:p>
            <w:pPr>
              <w:spacing w:after="0" w:before="0" w:line="260"/>
            </w:pPr>
            <w:r>
              <w:rPr>
                <w:rFonts w:ascii="Georgia" w:cs="Georgia" w:eastAsia="Georgia" w:hAnsi="Georgia"/>
                <w:b w:val="false"/>
                <w:bCs w:val="false"/>
                <w:color w:val="1D1D1D"/>
                <w:sz w:val="20"/>
                <w:szCs w:val="20"/>
              </w:rPr>
              <w:t xml:space="preserve">Microtubules or intraluminal crystals with light chain restriction</w:t>
            </w:r>
          </w:p>
        </w:tc>
      </w:tr>
      <w:tr>
        <w:tc>
          <w:tcPr>
            <w:tcW w:type="dxa" w:w="4400"/>
            <w:tcBorders>
              <w:top w:val="single" w:color="D8C9CB" w:sz="4"/>
              <w:left w:val="single" w:color="D8C9CB" w:sz="4"/>
              <w:bottom w:val="single" w:color="D8C9CB" w:sz="4"/>
              <w:right w:val="single" w:color="D8C9CB" w:sz="4"/>
            </w:tcBorders>
            <w:tcMar>
              <w:top w:type="dxa" w:w="80"/>
              <w:left w:type="dxa" w:w="120"/>
              <w:bottom w:type="dxa" w:w="80"/>
              <w:right w:type="dxa" w:w="120"/>
            </w:tcMar>
          </w:tcPr>
          <w:p>
            <w:pPr>
              <w:spacing w:after="0" w:before="0" w:line="260"/>
            </w:pPr>
            <w:r>
              <w:rPr>
                <w:rFonts w:ascii="Georgia" w:cs="Georgia" w:eastAsia="Georgia" w:hAnsi="Georgia"/>
                <w:b w:val="false"/>
                <w:bCs w:val="false"/>
                <w:color w:val="1D1D1D"/>
                <w:sz w:val="20"/>
                <w:szCs w:val="20"/>
              </w:rPr>
              <w:t xml:space="preserve">C3 glomerulopathy with monoclonal gammopathy</w:t>
            </w:r>
          </w:p>
        </w:tc>
        <w:tc>
          <w:tcPr>
            <w:tcW w:type="dxa" w:w="4626"/>
            <w:tcBorders>
              <w:top w:val="single" w:color="D8C9CB" w:sz="4"/>
              <w:left w:val="single" w:color="D8C9CB" w:sz="4"/>
              <w:bottom w:val="single" w:color="D8C9CB" w:sz="4"/>
              <w:right w:val="single" w:color="D8C9CB" w:sz="4"/>
            </w:tcBorders>
            <w:tcMar>
              <w:top w:type="dxa" w:w="80"/>
              <w:left w:type="dxa" w:w="120"/>
              <w:bottom w:type="dxa" w:w="80"/>
              <w:right w:type="dxa" w:w="120"/>
            </w:tcMar>
          </w:tcPr>
          <w:p>
            <w:pPr>
              <w:spacing w:after="0" w:before="0" w:line="260"/>
            </w:pPr>
            <w:r>
              <w:rPr>
                <w:rFonts w:ascii="Georgia" w:cs="Georgia" w:eastAsia="Georgia" w:hAnsi="Georgia"/>
                <w:b w:val="false"/>
                <w:bCs w:val="false"/>
                <w:color w:val="1D1D1D"/>
                <w:sz w:val="20"/>
                <w:szCs w:val="20"/>
              </w:rPr>
              <w:t xml:space="preserve">C3-predominant deposits without polyclonal Ig</w:t>
            </w:r>
          </w:p>
        </w:tc>
      </w:tr>
      <w:tr>
        <w:tc>
          <w:tcPr>
            <w:tcW w:type="dxa" w:w="4400"/>
            <w:tcBorders>
              <w:top w:val="single" w:color="D8C9CB" w:sz="4"/>
              <w:left w:val="single" w:color="D8C9CB" w:sz="4"/>
              <w:bottom w:val="single" w:color="D8C9CB" w:sz="4"/>
              <w:right w:val="single" w:color="D8C9CB" w:sz="4"/>
            </w:tcBorders>
            <w:tcMar>
              <w:top w:type="dxa" w:w="80"/>
              <w:left w:type="dxa" w:w="120"/>
              <w:bottom w:type="dxa" w:w="80"/>
              <w:right w:type="dxa" w:w="120"/>
            </w:tcMar>
          </w:tcPr>
          <w:p>
            <w:pPr>
              <w:spacing w:after="0" w:before="0" w:line="260"/>
            </w:pPr>
            <w:r>
              <w:rPr>
                <w:rFonts w:ascii="Georgia" w:cs="Georgia" w:eastAsia="Georgia" w:hAnsi="Georgia"/>
                <w:b w:val="false"/>
                <w:bCs w:val="false"/>
                <w:color w:val="1D1D1D"/>
                <w:sz w:val="20"/>
                <w:szCs w:val="20"/>
              </w:rPr>
              <w:t xml:space="preserve">TMA with monoclonal gammopathy</w:t>
            </w:r>
          </w:p>
        </w:tc>
        <w:tc>
          <w:tcPr>
            <w:tcW w:type="dxa" w:w="4626"/>
            <w:tcBorders>
              <w:top w:val="single" w:color="D8C9CB" w:sz="4"/>
              <w:left w:val="single" w:color="D8C9CB" w:sz="4"/>
              <w:bottom w:val="single" w:color="D8C9CB" w:sz="4"/>
              <w:right w:val="single" w:color="D8C9CB" w:sz="4"/>
            </w:tcBorders>
            <w:tcMar>
              <w:top w:type="dxa" w:w="80"/>
              <w:left w:type="dxa" w:w="120"/>
              <w:bottom w:type="dxa" w:w="80"/>
              <w:right w:type="dxa" w:w="120"/>
            </w:tcMar>
          </w:tcPr>
          <w:p>
            <w:pPr>
              <w:spacing w:after="0" w:before="0" w:line="260"/>
            </w:pPr>
            <w:r>
              <w:rPr>
                <w:rFonts w:ascii="Georgia" w:cs="Georgia" w:eastAsia="Georgia" w:hAnsi="Georgia"/>
                <w:b w:val="false"/>
                <w:bCs w:val="false"/>
                <w:color w:val="1D1D1D"/>
                <w:sz w:val="20"/>
                <w:szCs w:val="20"/>
              </w:rPr>
              <w:t xml:space="preserve">No immune deposits; characteristic GBM and endothelial changes</w:t>
            </w:r>
          </w:p>
        </w:tc>
      </w:tr>
      <w:tr>
        <w:tc>
          <w:tcPr>
            <w:tcW w:type="dxa" w:w="4400"/>
            <w:tcBorders>
              <w:top w:val="single" w:color="D8C9CB" w:sz="4"/>
              <w:left w:val="single" w:color="D8C9CB" w:sz="4"/>
              <w:bottom w:val="single" w:color="D8C9CB" w:sz="4"/>
              <w:right w:val="single" w:color="D8C9CB" w:sz="4"/>
            </w:tcBorders>
            <w:tcMar>
              <w:top w:type="dxa" w:w="80"/>
              <w:left w:type="dxa" w:w="120"/>
              <w:bottom w:type="dxa" w:w="80"/>
              <w:right w:type="dxa" w:w="120"/>
            </w:tcMar>
          </w:tcPr>
          <w:p>
            <w:pPr>
              <w:spacing w:after="0" w:before="0" w:line="260"/>
            </w:pPr>
            <w:r>
              <w:rPr>
                <w:rFonts w:ascii="Georgia" w:cs="Georgia" w:eastAsia="Georgia" w:hAnsi="Georgia"/>
                <w:b w:val="false"/>
                <w:bCs w:val="false"/>
                <w:color w:val="1D1D1D"/>
                <w:sz w:val="20"/>
                <w:szCs w:val="20"/>
              </w:rPr>
              <w:t xml:space="preserve">Light-chain proximal tubulopathy</w:t>
            </w:r>
          </w:p>
        </w:tc>
        <w:tc>
          <w:tcPr>
            <w:tcW w:type="dxa" w:w="4626"/>
            <w:tcBorders>
              <w:top w:val="single" w:color="D8C9CB" w:sz="4"/>
              <w:left w:val="single" w:color="D8C9CB" w:sz="4"/>
              <w:bottom w:val="single" w:color="D8C9CB" w:sz="4"/>
              <w:right w:val="single" w:color="D8C9CB" w:sz="4"/>
            </w:tcBorders>
            <w:tcMar>
              <w:top w:type="dxa" w:w="80"/>
              <w:left w:type="dxa" w:w="120"/>
              <w:bottom w:type="dxa" w:w="80"/>
              <w:right w:type="dxa" w:w="120"/>
            </w:tcMar>
          </w:tcPr>
          <w:p>
            <w:pPr>
              <w:spacing w:after="0" w:before="0" w:line="260"/>
            </w:pPr>
            <w:r>
              <w:rPr>
                <w:rFonts w:ascii="Georgia" w:cs="Georgia" w:eastAsia="Georgia" w:hAnsi="Georgia"/>
                <w:b w:val="false"/>
                <w:bCs w:val="false"/>
                <w:color w:val="1D1D1D"/>
                <w:sz w:val="20"/>
                <w:szCs w:val="20"/>
              </w:rPr>
              <w:t xml:space="preserve">Proximal tubular light chain accumulation (crystals or lysosomal)</w:t>
            </w:r>
          </w:p>
        </w:tc>
      </w:tr>
      <w:tr>
        <w:tc>
          <w:tcPr>
            <w:tcW w:type="dxa" w:w="4400"/>
            <w:tcBorders>
              <w:top w:val="single" w:color="D8C9CB" w:sz="4"/>
              <w:left w:val="single" w:color="D8C9CB" w:sz="4"/>
              <w:bottom w:val="single" w:color="D8C9CB" w:sz="4"/>
              <w:right w:val="single" w:color="D8C9CB" w:sz="4"/>
            </w:tcBorders>
            <w:tcMar>
              <w:top w:type="dxa" w:w="80"/>
              <w:left w:type="dxa" w:w="120"/>
              <w:bottom w:type="dxa" w:w="80"/>
              <w:right w:type="dxa" w:w="120"/>
            </w:tcMar>
          </w:tcPr>
          <w:p>
            <w:pPr>
              <w:spacing w:after="0" w:before="0" w:line="260"/>
            </w:pPr>
            <w:r>
              <w:rPr>
                <w:rFonts w:ascii="Georgia" w:cs="Georgia" w:eastAsia="Georgia" w:hAnsi="Georgia"/>
                <w:b w:val="false"/>
                <w:bCs w:val="false"/>
                <w:color w:val="1D1D1D"/>
                <w:sz w:val="20"/>
                <w:szCs w:val="20"/>
              </w:rPr>
              <w:t xml:space="preserve">Crystal-storing histiocytosis</w:t>
            </w:r>
          </w:p>
        </w:tc>
        <w:tc>
          <w:tcPr>
            <w:tcW w:type="dxa" w:w="4626"/>
            <w:tcBorders>
              <w:top w:val="single" w:color="D8C9CB" w:sz="4"/>
              <w:left w:val="single" w:color="D8C9CB" w:sz="4"/>
              <w:bottom w:val="single" w:color="D8C9CB" w:sz="4"/>
              <w:right w:val="single" w:color="D8C9CB" w:sz="4"/>
            </w:tcBorders>
            <w:tcMar>
              <w:top w:type="dxa" w:w="80"/>
              <w:left w:type="dxa" w:w="120"/>
              <w:bottom w:type="dxa" w:w="80"/>
              <w:right w:type="dxa" w:w="120"/>
            </w:tcMar>
          </w:tcPr>
          <w:p>
            <w:pPr>
              <w:spacing w:after="0" w:before="0" w:line="260"/>
            </w:pPr>
            <w:r>
              <w:rPr>
                <w:rFonts w:ascii="Georgia" w:cs="Georgia" w:eastAsia="Georgia" w:hAnsi="Georgia"/>
                <w:b w:val="false"/>
                <w:bCs w:val="false"/>
                <w:color w:val="1D1D1D"/>
                <w:sz w:val="20"/>
                <w:szCs w:val="20"/>
              </w:rPr>
              <w:t xml:space="preserve">Crystals within histiocytes; often multi-organ</w:t>
            </w:r>
          </w:p>
        </w:tc>
      </w:tr>
    </w:tbl>
    <w:p>
      <w:pPr>
        <w:spacing w:after="80" w:before="80" w:line="300"/>
        <w:jc w:val="left"/>
      </w:pPr>
      <w:r>
        <w:rPr>
          <w:rFonts w:ascii="Georgia" w:cs="Georgia" w:eastAsia="Georgia" w:hAnsi="Georgia"/>
          <w:b w:val="false"/>
          <w:bCs w:val="false"/>
          <w:i/>
          <w:iCs/>
          <w:color w:val="4A4A4A"/>
          <w:sz w:val="18"/>
          <w:szCs w:val="18"/>
        </w:rPr>
        <w:t xml:space="preserve">Source: Pinney 2025 BSH Good Practice Paper; IKMG consensus (Leung 2019).</w:t>
      </w:r>
    </w:p>
    <w:p>
      <w:pPr>
        <w:spacing w:after="80" w:before="180"/>
      </w:pPr>
      <w:r>
        <w:rPr>
          <w:rFonts w:ascii="Georgia" w:cs="Georgia" w:eastAsia="Georgia" w:hAnsi="Georgia"/>
          <w:b/>
          <w:bCs/>
          <w:color w:val="1D1D1D"/>
          <w:sz w:val="24"/>
          <w:szCs w:val="24"/>
        </w:rPr>
        <w:t xml:space="preserve">Diagnostic workup</w:t>
      </w:r>
    </w:p>
    <w:p>
      <w:pPr>
        <w:pStyle w:val="ListParagraph"/>
        <w:numPr>
          <w:ilvl w:val="0"/>
          <w:numId w:val="2"/>
        </w:numPr>
        <w:spacing w:after="40" w:before="40" w:line="280"/>
      </w:pPr>
      <w:r>
        <w:rPr>
          <w:rFonts w:ascii="Georgia" w:cs="Georgia" w:eastAsia="Georgia" w:hAnsi="Georgia"/>
          <w:b w:val="false"/>
          <w:bCs w:val="false"/>
          <w:i w:val="false"/>
          <w:iCs w:val="false"/>
          <w:color w:val="1D1D1D"/>
          <w:sz w:val="22"/>
          <w:szCs w:val="22"/>
        </w:rPr>
        <w:t xml:space="preserve">Renal biopsy with light microscopy, immunofluorescence on frozen tissue, electron microscopy, Congo red and where indicated DNAJB9 and protease-digested immunofluorescence. Biopsies should be reported using the Mayo Clinic / Renal Pathology Society standardised report.</w:t>
      </w:r>
    </w:p>
    <w:p>
      <w:pPr>
        <w:pStyle w:val="ListParagraph"/>
        <w:numPr>
          <w:ilvl w:val="0"/>
          <w:numId w:val="2"/>
        </w:numPr>
        <w:spacing w:after="40" w:before="40" w:line="280"/>
      </w:pPr>
      <w:r>
        <w:rPr>
          <w:rFonts w:ascii="Georgia" w:cs="Georgia" w:eastAsia="Georgia" w:hAnsi="Georgia"/>
          <w:b w:val="false"/>
          <w:bCs w:val="false"/>
          <w:i w:val="false"/>
          <w:iCs w:val="false"/>
          <w:color w:val="1D1D1D"/>
          <w:sz w:val="22"/>
          <w:szCs w:val="22"/>
        </w:rPr>
        <w:t xml:space="preserve">Full haematological workup with bone marrow aspirate and trephine, CD138 and CD20 immunohistochemistry, flow cytometry and FISH for plasma cell or B-cell clones.</w:t>
      </w:r>
    </w:p>
    <w:p>
      <w:pPr>
        <w:pStyle w:val="ListParagraph"/>
        <w:numPr>
          <w:ilvl w:val="0"/>
          <w:numId w:val="2"/>
        </w:numPr>
        <w:spacing w:after="40" w:before="40" w:line="280"/>
      </w:pPr>
      <w:r>
        <w:rPr>
          <w:rFonts w:ascii="Georgia" w:cs="Georgia" w:eastAsia="Georgia" w:hAnsi="Georgia"/>
          <w:b w:val="false"/>
          <w:bCs w:val="false"/>
          <w:i w:val="false"/>
          <w:iCs w:val="false"/>
          <w:color w:val="1D1D1D"/>
          <w:sz w:val="22"/>
          <w:szCs w:val="22"/>
        </w:rPr>
        <w:t xml:space="preserve">Imaging: WB-MRI or PET-CT for plasma cell clones; CT neck, thorax, abdomen and pelvis (and lymph node biopsy where indicated) for B-cell clones.</w:t>
      </w:r>
    </w:p>
    <w:p>
      <w:pPr>
        <w:pStyle w:val="ListParagraph"/>
        <w:numPr>
          <w:ilvl w:val="0"/>
          <w:numId w:val="2"/>
        </w:numPr>
        <w:spacing w:after="40" w:before="40" w:line="280"/>
      </w:pPr>
      <w:r>
        <w:rPr>
          <w:rFonts w:ascii="Georgia" w:cs="Georgia" w:eastAsia="Georgia" w:hAnsi="Georgia"/>
          <w:b w:val="false"/>
          <w:bCs w:val="false"/>
          <w:i w:val="false"/>
          <w:iCs w:val="false"/>
          <w:color w:val="1D1D1D"/>
          <w:sz w:val="22"/>
          <w:szCs w:val="22"/>
        </w:rPr>
        <w:t xml:space="preserve">Discussion at a specialist joint haematology and nephrology MDT with renal pathology input.</w:t>
      </w:r>
    </w:p>
    <w:p>
      <w:pPr>
        <w:spacing w:after="80" w:before="180"/>
      </w:pPr>
      <w:r>
        <w:rPr>
          <w:rFonts w:ascii="Georgia" w:cs="Georgia" w:eastAsia="Georgia" w:hAnsi="Georgia"/>
          <w:b/>
          <w:bCs/>
          <w:color w:val="1D1D1D"/>
          <w:sz w:val="24"/>
          <w:szCs w:val="24"/>
        </w:rPr>
        <w:t xml:space="preserve">Principles of treatment</w:t>
      </w:r>
    </w:p>
    <w:p>
      <w:pPr>
        <w:pStyle w:val="ListParagraph"/>
        <w:numPr>
          <w:ilvl w:val="0"/>
          <w:numId w:val="2"/>
        </w:numPr>
        <w:spacing w:after="40" w:before="40" w:line="280"/>
      </w:pPr>
      <w:r>
        <w:rPr>
          <w:rFonts w:ascii="Georgia" w:cs="Georgia" w:eastAsia="Georgia" w:hAnsi="Georgia"/>
          <w:b w:val="false"/>
          <w:bCs w:val="false"/>
          <w:i w:val="false"/>
          <w:iCs w:val="false"/>
          <w:color w:val="1D1D1D"/>
          <w:sz w:val="22"/>
          <w:szCs w:val="22"/>
        </w:rPr>
        <w:t xml:space="preserve">Aim for the deepest haematological response possible; achieving at least VGPR is associated with better renal outcomes.</w:t>
      </w:r>
    </w:p>
    <w:p>
      <w:pPr>
        <w:pStyle w:val="ListParagraph"/>
        <w:numPr>
          <w:ilvl w:val="0"/>
          <w:numId w:val="2"/>
        </w:numPr>
        <w:spacing w:after="40" w:before="40" w:line="280"/>
      </w:pPr>
      <w:r>
        <w:rPr>
          <w:rFonts w:ascii="Georgia" w:cs="Georgia" w:eastAsia="Georgia" w:hAnsi="Georgia"/>
          <w:b w:val="false"/>
          <w:bCs w:val="false"/>
          <w:i w:val="false"/>
          <w:iCs w:val="false"/>
          <w:color w:val="1D1D1D"/>
          <w:sz w:val="22"/>
          <w:szCs w:val="22"/>
        </w:rPr>
        <w:t xml:space="preserve">AL amyloidosis follows the separate BSH AL amyloidosis guideline pathway.</w:t>
      </w:r>
    </w:p>
    <w:p>
      <w:pPr>
        <w:pStyle w:val="ListParagraph"/>
        <w:numPr>
          <w:ilvl w:val="0"/>
          <w:numId w:val="2"/>
        </w:numPr>
        <w:spacing w:after="40" w:before="40" w:line="280"/>
      </w:pPr>
      <w:r>
        <w:rPr>
          <w:rFonts w:ascii="Georgia" w:cs="Georgia" w:eastAsia="Georgia" w:hAnsi="Georgia"/>
          <w:b w:val="false"/>
          <w:bCs w:val="false"/>
          <w:i w:val="false"/>
          <w:iCs w:val="false"/>
          <w:color w:val="1D1D1D"/>
          <w:sz w:val="22"/>
          <w:szCs w:val="22"/>
        </w:rPr>
        <w:t xml:space="preserve">Treatment of the underlying clone is recommended in patients at risk of declining renal function at all stages of CKD to prevent progression to ESKD (eGFR below 15 mL/min/1.73 m squared).</w:t>
      </w:r>
    </w:p>
    <w:p>
      <w:pPr>
        <w:pStyle w:val="ListParagraph"/>
        <w:numPr>
          <w:ilvl w:val="0"/>
          <w:numId w:val="2"/>
        </w:numPr>
        <w:spacing w:after="40" w:before="40" w:line="280"/>
      </w:pPr>
      <w:r>
        <w:rPr>
          <w:rFonts w:ascii="Georgia" w:cs="Georgia" w:eastAsia="Georgia" w:hAnsi="Georgia"/>
          <w:b w:val="false"/>
          <w:bCs w:val="false"/>
          <w:i w:val="false"/>
          <w:iCs w:val="false"/>
          <w:color w:val="1D1D1D"/>
          <w:sz w:val="22"/>
          <w:szCs w:val="22"/>
        </w:rPr>
        <w:t xml:space="preserve">In patients already at ESKD with no extra-renal disease, treatment is reserved for those eligible for renal transplantation; aim for at least VGPR before listing.</w:t>
      </w:r>
    </w:p>
    <w:p>
      <w:pPr>
        <w:pStyle w:val="ListParagraph"/>
        <w:numPr>
          <w:ilvl w:val="0"/>
          <w:numId w:val="2"/>
        </w:numPr>
        <w:spacing w:after="40" w:before="40" w:line="280"/>
      </w:pPr>
      <w:r>
        <w:rPr>
          <w:rFonts w:ascii="Georgia" w:cs="Georgia" w:eastAsia="Georgia" w:hAnsi="Georgia"/>
          <w:b w:val="false"/>
          <w:bCs w:val="false"/>
          <w:i w:val="false"/>
          <w:iCs w:val="false"/>
          <w:color w:val="1D1D1D"/>
          <w:sz w:val="22"/>
          <w:szCs w:val="22"/>
        </w:rPr>
        <w:t xml:space="preserve">Consider autologous stem cell transplantation in suitable patients who have not achieved CR.</w:t>
      </w:r>
    </w:p>
    <w:p>
      <w:pPr>
        <w:pStyle w:val="ListParagraph"/>
        <w:numPr>
          <w:ilvl w:val="0"/>
          <w:numId w:val="2"/>
        </w:numPr>
        <w:spacing w:after="40" w:before="40" w:line="280"/>
      </w:pPr>
      <w:r>
        <w:rPr>
          <w:rFonts w:ascii="Georgia" w:cs="Georgia" w:eastAsia="Georgia" w:hAnsi="Georgia"/>
          <w:b w:val="false"/>
          <w:bCs w:val="false"/>
          <w:i w:val="false"/>
          <w:iCs w:val="false"/>
          <w:color w:val="1D1D1D"/>
          <w:sz w:val="22"/>
          <w:szCs w:val="22"/>
        </w:rPr>
        <w:t xml:space="preserve">Long-term joint nephrology and haematology follow-up; lifelong monitoring after treatment completion.</w:t>
      </w:r>
    </w:p>
    <w:p>
      <w:pPr>
        <w:spacing w:after="80" w:before="180"/>
      </w:pPr>
      <w:r>
        <w:rPr>
          <w:rFonts w:ascii="Georgia" w:cs="Georgia" w:eastAsia="Georgia" w:hAnsi="Georgia"/>
          <w:b/>
          <w:bCs/>
          <w:color w:val="1D1D1D"/>
          <w:sz w:val="24"/>
          <w:szCs w:val="24"/>
        </w:rPr>
        <w:t xml:space="preserve">General supportive care in MGRS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600"/>
        <w:gridCol w:w="6426"/>
      </w:tblGrid>
      <w:tr>
        <w:trPr>
          <w:tblHeader/>
        </w:trPr>
        <w:tc>
          <w:tcPr>
            <w:tcW w:type="dxa" w:w="2600"/>
            <w:tcBorders>
              <w:top w:val="single" w:color="D8C9CB" w:sz="4"/>
              <w:left w:val="single" w:color="D8C9CB" w:sz="4"/>
              <w:bottom w:val="single" w:color="D8C9CB" w:sz="4"/>
              <w:right w:val="single" w:color="D8C9CB" w:sz="4"/>
            </w:tcBorders>
            <w:shd w:fill="F5E9EB" w:val="clear"/>
            <w:tcMar>
              <w:top w:type="dxa" w:w="80"/>
              <w:left w:type="dxa" w:w="120"/>
              <w:bottom w:type="dxa" w:w="80"/>
              <w:right w:type="dxa" w:w="120"/>
            </w:tcMar>
          </w:tcPr>
          <w:p>
            <w:pPr>
              <w:spacing w:after="0" w:before="0" w:line="260"/>
            </w:pPr>
            <w:r>
              <w:rPr>
                <w:rFonts w:ascii="Georgia" w:cs="Georgia" w:eastAsia="Georgia" w:hAnsi="Georgia"/>
                <w:b/>
                <w:bCs/>
                <w:color w:val="7A1F2B"/>
                <w:sz w:val="20"/>
                <w:szCs w:val="20"/>
              </w:rPr>
              <w:t xml:space="preserve">Issue</w:t>
            </w:r>
          </w:p>
        </w:tc>
        <w:tc>
          <w:tcPr>
            <w:tcW w:type="dxa" w:w="6426"/>
            <w:tcBorders>
              <w:top w:val="single" w:color="D8C9CB" w:sz="4"/>
              <w:left w:val="single" w:color="D8C9CB" w:sz="4"/>
              <w:bottom w:val="single" w:color="D8C9CB" w:sz="4"/>
              <w:right w:val="single" w:color="D8C9CB" w:sz="4"/>
            </w:tcBorders>
            <w:shd w:fill="F5E9EB" w:val="clear"/>
            <w:tcMar>
              <w:top w:type="dxa" w:w="80"/>
              <w:left w:type="dxa" w:w="120"/>
              <w:bottom w:type="dxa" w:w="80"/>
              <w:right w:type="dxa" w:w="120"/>
            </w:tcMar>
          </w:tcPr>
          <w:p>
            <w:pPr>
              <w:spacing w:after="0" w:before="0" w:line="260"/>
            </w:pPr>
            <w:r>
              <w:rPr>
                <w:rFonts w:ascii="Georgia" w:cs="Georgia" w:eastAsia="Georgia" w:hAnsi="Georgia"/>
                <w:b/>
                <w:bCs/>
                <w:color w:val="7A1F2B"/>
                <w:sz w:val="20"/>
                <w:szCs w:val="20"/>
              </w:rPr>
              <w:t xml:space="preserve">Management</w:t>
            </w:r>
          </w:p>
        </w:tc>
      </w:tr>
      <w:tr>
        <w:tc>
          <w:tcPr>
            <w:tcW w:type="dxa" w:w="2600"/>
            <w:tcBorders>
              <w:top w:val="single" w:color="D8C9CB" w:sz="4"/>
              <w:left w:val="single" w:color="D8C9CB" w:sz="4"/>
              <w:bottom w:val="single" w:color="D8C9CB" w:sz="4"/>
              <w:right w:val="single" w:color="D8C9CB" w:sz="4"/>
            </w:tcBorders>
            <w:tcMar>
              <w:top w:type="dxa" w:w="80"/>
              <w:left w:type="dxa" w:w="120"/>
              <w:bottom w:type="dxa" w:w="80"/>
              <w:right w:type="dxa" w:w="120"/>
            </w:tcMar>
          </w:tcPr>
          <w:p>
            <w:pPr>
              <w:spacing w:after="0" w:before="0" w:line="260"/>
            </w:pPr>
            <w:r>
              <w:rPr>
                <w:rFonts w:ascii="Georgia" w:cs="Georgia" w:eastAsia="Georgia" w:hAnsi="Georgia"/>
                <w:b w:val="false"/>
                <w:bCs w:val="false"/>
                <w:color w:val="1D1D1D"/>
                <w:sz w:val="20"/>
                <w:szCs w:val="20"/>
              </w:rPr>
              <w:t xml:space="preserve">Blood pressure</w:t>
            </w:r>
          </w:p>
        </w:tc>
        <w:tc>
          <w:tcPr>
            <w:tcW w:type="dxa" w:w="6426"/>
            <w:tcBorders>
              <w:top w:val="single" w:color="D8C9CB" w:sz="4"/>
              <w:left w:val="single" w:color="D8C9CB" w:sz="4"/>
              <w:bottom w:val="single" w:color="D8C9CB" w:sz="4"/>
              <w:right w:val="single" w:color="D8C9CB" w:sz="4"/>
            </w:tcBorders>
            <w:tcMar>
              <w:top w:type="dxa" w:w="80"/>
              <w:left w:type="dxa" w:w="120"/>
              <w:bottom w:type="dxa" w:w="80"/>
              <w:right w:type="dxa" w:w="120"/>
            </w:tcMar>
          </w:tcPr>
          <w:p>
            <w:pPr>
              <w:spacing w:after="0" w:before="0" w:line="260"/>
            </w:pPr>
            <w:r>
              <w:rPr>
                <w:rFonts w:ascii="Georgia" w:cs="Georgia" w:eastAsia="Georgia" w:hAnsi="Georgia"/>
                <w:b w:val="false"/>
                <w:bCs w:val="false"/>
                <w:color w:val="1D1D1D"/>
                <w:sz w:val="20"/>
                <w:szCs w:val="20"/>
              </w:rPr>
              <w:t xml:space="preserve">Individualised target under nephrology guidance; ACE inhibitor or ARB where appropriate, with caution in nephrotic hypotension, AKI or advanced CKD.</w:t>
            </w:r>
          </w:p>
        </w:tc>
      </w:tr>
      <w:tr>
        <w:tc>
          <w:tcPr>
            <w:tcW w:type="dxa" w:w="2600"/>
            <w:tcBorders>
              <w:top w:val="single" w:color="D8C9CB" w:sz="4"/>
              <w:left w:val="single" w:color="D8C9CB" w:sz="4"/>
              <w:bottom w:val="single" w:color="D8C9CB" w:sz="4"/>
              <w:right w:val="single" w:color="D8C9CB" w:sz="4"/>
            </w:tcBorders>
            <w:tcMar>
              <w:top w:type="dxa" w:w="80"/>
              <w:left w:type="dxa" w:w="120"/>
              <w:bottom w:type="dxa" w:w="80"/>
              <w:right w:type="dxa" w:w="120"/>
            </w:tcMar>
          </w:tcPr>
          <w:p>
            <w:pPr>
              <w:spacing w:after="0" w:before="0" w:line="260"/>
            </w:pPr>
            <w:r>
              <w:rPr>
                <w:rFonts w:ascii="Georgia" w:cs="Georgia" w:eastAsia="Georgia" w:hAnsi="Georgia"/>
                <w:b w:val="false"/>
                <w:bCs w:val="false"/>
                <w:color w:val="1D1D1D"/>
                <w:sz w:val="20"/>
                <w:szCs w:val="20"/>
              </w:rPr>
              <w:t xml:space="preserve">Fluid balance</w:t>
            </w:r>
          </w:p>
        </w:tc>
        <w:tc>
          <w:tcPr>
            <w:tcW w:type="dxa" w:w="6426"/>
            <w:tcBorders>
              <w:top w:val="single" w:color="D8C9CB" w:sz="4"/>
              <w:left w:val="single" w:color="D8C9CB" w:sz="4"/>
              <w:bottom w:val="single" w:color="D8C9CB" w:sz="4"/>
              <w:right w:val="single" w:color="D8C9CB" w:sz="4"/>
            </w:tcBorders>
            <w:tcMar>
              <w:top w:type="dxa" w:w="80"/>
              <w:left w:type="dxa" w:w="120"/>
              <w:bottom w:type="dxa" w:w="80"/>
              <w:right w:type="dxa" w:w="120"/>
            </w:tcMar>
          </w:tcPr>
          <w:p>
            <w:pPr>
              <w:spacing w:after="0" w:before="0" w:line="260"/>
            </w:pPr>
            <w:r>
              <w:rPr>
                <w:rFonts w:ascii="Georgia" w:cs="Georgia" w:eastAsia="Georgia" w:hAnsi="Georgia"/>
                <w:b w:val="false"/>
                <w:bCs w:val="false"/>
                <w:color w:val="1D1D1D"/>
                <w:sz w:val="20"/>
                <w:szCs w:val="20"/>
              </w:rPr>
              <w:t xml:space="preserve">Weight and clinical assessment; loop diuretic first line, then thiazide (metolazone), then potassium-sparing diuretic if required.</w:t>
            </w:r>
          </w:p>
        </w:tc>
      </w:tr>
      <w:tr>
        <w:tc>
          <w:tcPr>
            <w:tcW w:type="dxa" w:w="2600"/>
            <w:tcBorders>
              <w:top w:val="single" w:color="D8C9CB" w:sz="4"/>
              <w:left w:val="single" w:color="D8C9CB" w:sz="4"/>
              <w:bottom w:val="single" w:color="D8C9CB" w:sz="4"/>
              <w:right w:val="single" w:color="D8C9CB" w:sz="4"/>
            </w:tcBorders>
            <w:tcMar>
              <w:top w:type="dxa" w:w="80"/>
              <w:left w:type="dxa" w:w="120"/>
              <w:bottom w:type="dxa" w:w="80"/>
              <w:right w:type="dxa" w:w="120"/>
            </w:tcMar>
          </w:tcPr>
          <w:p>
            <w:pPr>
              <w:spacing w:after="0" w:before="0" w:line="260"/>
            </w:pPr>
            <w:r>
              <w:rPr>
                <w:rFonts w:ascii="Georgia" w:cs="Georgia" w:eastAsia="Georgia" w:hAnsi="Georgia"/>
                <w:b w:val="false"/>
                <w:bCs w:val="false"/>
                <w:color w:val="1D1D1D"/>
                <w:sz w:val="20"/>
                <w:szCs w:val="20"/>
              </w:rPr>
              <w:t xml:space="preserve">Thrombosis</w:t>
            </w:r>
          </w:p>
        </w:tc>
        <w:tc>
          <w:tcPr>
            <w:tcW w:type="dxa" w:w="6426"/>
            <w:tcBorders>
              <w:top w:val="single" w:color="D8C9CB" w:sz="4"/>
              <w:left w:val="single" w:color="D8C9CB" w:sz="4"/>
              <w:bottom w:val="single" w:color="D8C9CB" w:sz="4"/>
              <w:right w:val="single" w:color="D8C9CB" w:sz="4"/>
            </w:tcBorders>
            <w:tcMar>
              <w:top w:type="dxa" w:w="80"/>
              <w:left w:type="dxa" w:w="120"/>
              <w:bottom w:type="dxa" w:w="80"/>
              <w:right w:type="dxa" w:w="120"/>
            </w:tcMar>
          </w:tcPr>
          <w:p>
            <w:pPr>
              <w:spacing w:after="0" w:before="0" w:line="260"/>
            </w:pPr>
            <w:r>
              <w:rPr>
                <w:rFonts w:ascii="Georgia" w:cs="Georgia" w:eastAsia="Georgia" w:hAnsi="Georgia"/>
                <w:b w:val="false"/>
                <w:bCs w:val="false"/>
                <w:color w:val="1D1D1D"/>
                <w:sz w:val="20"/>
                <w:szCs w:val="20"/>
              </w:rPr>
              <w:t xml:space="preserve">Prophylactic anticoagulation (enoxaparin or apixaban) while albumin below 30 g/L and proteinuria above 3 g/24h, balanced against bleeding risk.</w:t>
            </w:r>
          </w:p>
        </w:tc>
      </w:tr>
      <w:tr>
        <w:tc>
          <w:tcPr>
            <w:tcW w:type="dxa" w:w="2600"/>
            <w:tcBorders>
              <w:top w:val="single" w:color="D8C9CB" w:sz="4"/>
              <w:left w:val="single" w:color="D8C9CB" w:sz="4"/>
              <w:bottom w:val="single" w:color="D8C9CB" w:sz="4"/>
              <w:right w:val="single" w:color="D8C9CB" w:sz="4"/>
            </w:tcBorders>
            <w:tcMar>
              <w:top w:type="dxa" w:w="80"/>
              <w:left w:type="dxa" w:w="120"/>
              <w:bottom w:type="dxa" w:w="80"/>
              <w:right w:type="dxa" w:w="120"/>
            </w:tcMar>
          </w:tcPr>
          <w:p>
            <w:pPr>
              <w:spacing w:after="0" w:before="0" w:line="260"/>
            </w:pPr>
            <w:r>
              <w:rPr>
                <w:rFonts w:ascii="Georgia" w:cs="Georgia" w:eastAsia="Georgia" w:hAnsi="Georgia"/>
                <w:b w:val="false"/>
                <w:bCs w:val="false"/>
                <w:color w:val="1D1D1D"/>
                <w:sz w:val="20"/>
                <w:szCs w:val="20"/>
              </w:rPr>
              <w:t xml:space="preserve">Vaccination</w:t>
            </w:r>
          </w:p>
        </w:tc>
        <w:tc>
          <w:tcPr>
            <w:tcW w:type="dxa" w:w="6426"/>
            <w:tcBorders>
              <w:top w:val="single" w:color="D8C9CB" w:sz="4"/>
              <w:left w:val="single" w:color="D8C9CB" w:sz="4"/>
              <w:bottom w:val="single" w:color="D8C9CB" w:sz="4"/>
              <w:right w:val="single" w:color="D8C9CB" w:sz="4"/>
            </w:tcBorders>
            <w:tcMar>
              <w:top w:type="dxa" w:w="80"/>
              <w:left w:type="dxa" w:w="120"/>
              <w:bottom w:type="dxa" w:w="80"/>
              <w:right w:type="dxa" w:w="120"/>
            </w:tcMar>
          </w:tcPr>
          <w:p>
            <w:pPr>
              <w:spacing w:after="0" w:before="0" w:line="260"/>
            </w:pPr>
            <w:r>
              <w:rPr>
                <w:rFonts w:ascii="Georgia" w:cs="Georgia" w:eastAsia="Georgia" w:hAnsi="Georgia"/>
                <w:b w:val="false"/>
                <w:bCs w:val="false"/>
                <w:color w:val="1D1D1D"/>
                <w:sz w:val="20"/>
                <w:szCs w:val="20"/>
              </w:rPr>
              <w:t xml:space="preserve">Annual influenza, COVID-19 schedule, 5-yearly pneumococcal, Shingrix if over 50 years and on chemotherapy.</w:t>
            </w:r>
          </w:p>
        </w:tc>
      </w:tr>
      <w:tr>
        <w:tc>
          <w:tcPr>
            <w:tcW w:type="dxa" w:w="2600"/>
            <w:tcBorders>
              <w:top w:val="single" w:color="D8C9CB" w:sz="4"/>
              <w:left w:val="single" w:color="D8C9CB" w:sz="4"/>
              <w:bottom w:val="single" w:color="D8C9CB" w:sz="4"/>
              <w:right w:val="single" w:color="D8C9CB" w:sz="4"/>
            </w:tcBorders>
            <w:tcMar>
              <w:top w:type="dxa" w:w="80"/>
              <w:left w:type="dxa" w:w="120"/>
              <w:bottom w:type="dxa" w:w="80"/>
              <w:right w:type="dxa" w:w="120"/>
            </w:tcMar>
          </w:tcPr>
          <w:p>
            <w:pPr>
              <w:spacing w:after="0" w:before="0" w:line="260"/>
            </w:pPr>
            <w:r>
              <w:rPr>
                <w:rFonts w:ascii="Georgia" w:cs="Georgia" w:eastAsia="Georgia" w:hAnsi="Georgia"/>
                <w:b w:val="false"/>
                <w:bCs w:val="false"/>
                <w:color w:val="1D1D1D"/>
                <w:sz w:val="20"/>
                <w:szCs w:val="20"/>
              </w:rPr>
              <w:t xml:space="preserve">Post-treatment proteinuria</w:t>
            </w:r>
          </w:p>
        </w:tc>
        <w:tc>
          <w:tcPr>
            <w:tcW w:type="dxa" w:w="6426"/>
            <w:tcBorders>
              <w:top w:val="single" w:color="D8C9CB" w:sz="4"/>
              <w:left w:val="single" w:color="D8C9CB" w:sz="4"/>
              <w:bottom w:val="single" w:color="D8C9CB" w:sz="4"/>
              <w:right w:val="single" w:color="D8C9CB" w:sz="4"/>
            </w:tcBorders>
            <w:tcMar>
              <w:top w:type="dxa" w:w="80"/>
              <w:left w:type="dxa" w:w="120"/>
              <w:bottom w:type="dxa" w:w="80"/>
              <w:right w:type="dxa" w:w="120"/>
            </w:tcMar>
          </w:tcPr>
          <w:p>
            <w:pPr>
              <w:spacing w:after="0" w:before="0" w:line="260"/>
            </w:pPr>
            <w:r>
              <w:rPr>
                <w:rFonts w:ascii="Georgia" w:cs="Georgia" w:eastAsia="Georgia" w:hAnsi="Georgia"/>
                <w:b w:val="false"/>
                <w:bCs w:val="false"/>
                <w:color w:val="1D1D1D"/>
                <w:sz w:val="20"/>
                <w:szCs w:val="20"/>
              </w:rPr>
              <w:t xml:space="preserve">Optimise renoprotective therapy under nephrology guidance; consider SGLT2 inhibitor only where indicated by current NICE CKD/diabetes guidance, renal function, albuminuria category and contraindications.</w:t>
            </w:r>
          </w:p>
        </w:tc>
      </w:tr>
    </w:tbl>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D8C9CB" w:sz="4"/>
              <w:left w:val="single" w:color="C87A00" w:sz="16"/>
              <w:bottom w:val="single" w:color="D8C9CB" w:sz="4"/>
              <w:right w:val="single" w:color="D8C9CB" w:sz="4"/>
            </w:tcBorders>
            <w:shd w:fill="FFF4E0" w:val="clear"/>
            <w:tcMar>
              <w:top w:type="dxa" w:w="140"/>
              <w:left w:type="dxa" w:w="200"/>
              <w:bottom w:type="dxa" w:w="140"/>
              <w:right w:type="dxa" w:w="160"/>
            </w:tcMar>
          </w:tcPr>
          <w:p>
            <w:pPr>
              <w:spacing w:after="80" w:before="0"/>
            </w:pPr>
            <w:r>
              <w:rPr>
                <w:rFonts w:ascii="Georgia" w:cs="Georgia" w:eastAsia="Georgia" w:hAnsi="Georgia"/>
                <w:b/>
                <w:bCs/>
                <w:color w:val="C87A00"/>
                <w:sz w:val="22"/>
                <w:szCs w:val="22"/>
              </w:rPr>
              <w:t xml:space="preserve">Common pitfall — stable M-protein does not exclude MGRS</w:t>
            </w:r>
          </w:p>
          <w:p>
            <w:pPr>
              <w:spacing w:after="0" w:before="0" w:line="280"/>
            </w:pPr>
            <w:r>
              <w:rPr>
                <w:rFonts w:ascii="Georgia" w:cs="Georgia" w:eastAsia="Georgia" w:hAnsi="Georgia"/>
                <w:color w:val="1D1D1D"/>
                <w:sz w:val="22"/>
                <w:szCs w:val="22"/>
              </w:rPr>
              <w:t xml:space="preserve">MGRS can present with falling eGFR and rising proteinuria while the M-protein remains numerically stable. The clinical decision to biopsy and treat is driven by the renal trajectory and biopsy findings, not by absolute M-protein concentration.</w:t>
            </w:r>
          </w:p>
        </w:tc>
      </w:tr>
    </w:tbl>
    <w:p>
      <w:pPr>
        <w:pStyle w:val="Heading1"/>
        <w:spacing w:after="160" w:before="360"/>
      </w:pPr>
      <w:r>
        <w:rPr>
          <w:rFonts w:ascii="Georgia" w:cs="Georgia" w:eastAsia="Georgia" w:hAnsi="Georgia"/>
          <w:b/>
          <w:bCs/>
          <w:color w:val="7A1F2B"/>
          <w:sz w:val="30"/>
          <w:szCs w:val="30"/>
        </w:rPr>
        <w:t xml:space="preserve">8. </w:t>
      </w:r>
      <w:r>
        <w:rPr>
          <w:rFonts w:ascii="Georgia" w:cs="Georgia" w:eastAsia="Georgia" w:hAnsi="Georgia"/>
          <w:b/>
          <w:bCs/>
          <w:color w:val="7A1F2B"/>
          <w:sz w:val="30"/>
          <w:szCs w:val="30"/>
        </w:rPr>
        <w:t xml:space="preserve">Newly Diagnosed Myeloma — Diagnosis and Workup</w:t>
      </w:r>
    </w:p>
    <w:p>
      <w:pPr>
        <w:spacing w:after="80" w:before="80" w:line="300"/>
        <w:jc w:val="left"/>
      </w:pPr>
      <w:r>
        <w:rPr>
          <w:rFonts w:ascii="Georgia" w:cs="Georgia" w:eastAsia="Georgia" w:hAnsi="Georgia"/>
          <w:b w:val="false"/>
          <w:bCs w:val="false"/>
          <w:i w:val="false"/>
          <w:iCs w:val="false"/>
          <w:color w:val="1D1D1D"/>
          <w:sz w:val="22"/>
          <w:szCs w:val="22"/>
        </w:rPr>
        <w:t xml:space="preserve">Diagnosis follows the IMWG 2014 criteria: clonal bone marrow plasma cells 10 per cent or above (or biopsy-proven plasmacytoma) plus one or more myeloma-defining events (SLiM CRAB). Workup is governed in UK practice by the BSH/UKMF 2021 guideline (Sive 2021) and updated for high-risk disease by Kaiser 2024.</w:t>
      </w:r>
    </w:p>
    <w:p>
      <w:pPr>
        <w:spacing w:after="80" w:before="180"/>
      </w:pPr>
      <w:r>
        <w:rPr>
          <w:rFonts w:ascii="Georgia" w:cs="Georgia" w:eastAsia="Georgia" w:hAnsi="Georgia"/>
          <w:b/>
          <w:bCs/>
          <w:color w:val="1D1D1D"/>
          <w:sz w:val="24"/>
          <w:szCs w:val="24"/>
        </w:rPr>
        <w:t xml:space="preserve">Baseline assessment</w:t>
      </w:r>
    </w:p>
    <w:p>
      <w:pPr>
        <w:pStyle w:val="ListParagraph"/>
        <w:numPr>
          <w:ilvl w:val="0"/>
          <w:numId w:val="2"/>
        </w:numPr>
        <w:spacing w:after="40" w:before="40" w:line="280"/>
      </w:pPr>
      <w:r>
        <w:rPr>
          <w:rFonts w:ascii="Georgia" w:cs="Georgia" w:eastAsia="Georgia" w:hAnsi="Georgia"/>
          <w:b w:val="false"/>
          <w:bCs w:val="false"/>
          <w:i w:val="false"/>
          <w:iCs w:val="false"/>
          <w:color w:val="1D1D1D"/>
          <w:sz w:val="22"/>
          <w:szCs w:val="22"/>
        </w:rPr>
        <w:t xml:space="preserve">Full history including bone pain, fatigue, infection, neuropathy, autonomic and amyloid symptoms; performance status; geriatric assessment in patients aged 75 years or over.</w:t>
      </w:r>
    </w:p>
    <w:p>
      <w:pPr>
        <w:pStyle w:val="ListParagraph"/>
        <w:numPr>
          <w:ilvl w:val="0"/>
          <w:numId w:val="2"/>
        </w:numPr>
        <w:spacing w:after="40" w:before="40" w:line="280"/>
      </w:pPr>
      <w:r>
        <w:rPr>
          <w:rFonts w:ascii="Georgia" w:cs="Georgia" w:eastAsia="Georgia" w:hAnsi="Georgia"/>
          <w:b w:val="false"/>
          <w:bCs w:val="false"/>
          <w:i w:val="false"/>
          <w:iCs w:val="false"/>
          <w:color w:val="1D1D1D"/>
          <w:sz w:val="22"/>
          <w:szCs w:val="22"/>
        </w:rPr>
        <w:t xml:space="preserve">FBC, U and E, calcium, albumin, LDH, beta-2 microglobulin, immunoglobulins, SPE, immunofixation, serum FLC, urine ACR.</w:t>
      </w:r>
    </w:p>
    <w:p>
      <w:pPr>
        <w:pStyle w:val="ListParagraph"/>
        <w:numPr>
          <w:ilvl w:val="0"/>
          <w:numId w:val="2"/>
        </w:numPr>
        <w:spacing w:after="40" w:before="40" w:line="280"/>
      </w:pPr>
      <w:r>
        <w:rPr>
          <w:rFonts w:ascii="Georgia" w:cs="Georgia" w:eastAsia="Georgia" w:hAnsi="Georgia"/>
          <w:b w:val="false"/>
          <w:bCs w:val="false"/>
          <w:i w:val="false"/>
          <w:iCs w:val="false"/>
          <w:color w:val="1D1D1D"/>
          <w:sz w:val="22"/>
          <w:szCs w:val="22"/>
        </w:rPr>
        <w:t xml:space="preserve">Bone marrow aspirate and trephine with plasma cell phenotyping and FISH on CD138-selected cells.</w:t>
      </w:r>
    </w:p>
    <w:p>
      <w:pPr>
        <w:pStyle w:val="ListParagraph"/>
        <w:numPr>
          <w:ilvl w:val="0"/>
          <w:numId w:val="2"/>
        </w:numPr>
        <w:spacing w:after="40" w:before="40" w:line="280"/>
      </w:pPr>
      <w:r>
        <w:rPr>
          <w:rFonts w:ascii="Georgia" w:cs="Georgia" w:eastAsia="Georgia" w:hAnsi="Georgia"/>
          <w:b w:val="false"/>
          <w:bCs w:val="false"/>
          <w:i w:val="false"/>
          <w:iCs w:val="false"/>
          <w:color w:val="1D1D1D"/>
          <w:sz w:val="22"/>
          <w:szCs w:val="22"/>
        </w:rPr>
        <w:t xml:space="preserve">Cross-sectional imaging by WB-MRI (preferred) or PET-CT. Low-dose WB-CT may be used where appropriate for cortical bone assessment or where WB-MRI/PET-CT is unavailable or unsuitable. Plain skeletal survey should not be used as the sole standard staging investigation where modern whole-body imaging is available.</w:t>
      </w:r>
    </w:p>
    <w:p>
      <w:pPr>
        <w:pStyle w:val="ListParagraph"/>
        <w:numPr>
          <w:ilvl w:val="0"/>
          <w:numId w:val="2"/>
        </w:numPr>
        <w:spacing w:after="40" w:before="40" w:line="280"/>
      </w:pPr>
      <w:r>
        <w:rPr>
          <w:rFonts w:ascii="Georgia" w:cs="Georgia" w:eastAsia="Georgia" w:hAnsi="Georgia"/>
          <w:b w:val="false"/>
          <w:bCs w:val="false"/>
          <w:i w:val="false"/>
          <w:iCs w:val="false"/>
          <w:color w:val="1D1D1D"/>
          <w:sz w:val="22"/>
          <w:szCs w:val="22"/>
        </w:rPr>
        <w:t xml:space="preserve">Troponin, NT-proBNP, urine ACR and consideration of subcutaneous fat or organ biopsy if amyloidosis is suspected.</w:t>
      </w:r>
    </w:p>
    <w:p>
      <w:pPr>
        <w:pStyle w:val="ListParagraph"/>
        <w:numPr>
          <w:ilvl w:val="0"/>
          <w:numId w:val="2"/>
        </w:numPr>
        <w:spacing w:after="40" w:before="40" w:line="280"/>
      </w:pPr>
      <w:r>
        <w:rPr>
          <w:rFonts w:ascii="Georgia" w:cs="Georgia" w:eastAsia="Georgia" w:hAnsi="Georgia"/>
          <w:b w:val="false"/>
          <w:bCs w:val="false"/>
          <w:i w:val="false"/>
          <w:iCs w:val="false"/>
          <w:color w:val="1D1D1D"/>
          <w:sz w:val="22"/>
          <w:szCs w:val="22"/>
        </w:rPr>
        <w:t xml:space="preserve">All new diagnoses discussed at a specialist myeloma MDT.</w:t>
      </w:r>
    </w:p>
    <w:p>
      <w:pPr>
        <w:spacing w:after="80" w:before="180"/>
      </w:pPr>
      <w:r>
        <w:rPr>
          <w:rFonts w:ascii="Georgia" w:cs="Georgia" w:eastAsia="Georgia" w:hAnsi="Georgia"/>
          <w:b/>
          <w:bCs/>
          <w:color w:val="1D1D1D"/>
          <w:sz w:val="24"/>
          <w:szCs w:val="24"/>
        </w:rPr>
        <w:t xml:space="preserve">Staging — ISS, R-ISS and R2-ISS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0"/>
        <w:gridCol w:w="2300"/>
        <w:gridCol w:w="2300"/>
        <w:gridCol w:w="2426"/>
      </w:tblGrid>
      <w:tr>
        <w:trPr>
          <w:tblHeader/>
        </w:trPr>
        <w:tc>
          <w:tcPr>
            <w:tcW w:type="dxa" w:w="2000"/>
            <w:tcBorders>
              <w:top w:val="single" w:color="D8C9CB" w:sz="4"/>
              <w:left w:val="single" w:color="D8C9CB" w:sz="4"/>
              <w:bottom w:val="single" w:color="D8C9CB" w:sz="4"/>
              <w:right w:val="single" w:color="D8C9CB" w:sz="4"/>
            </w:tcBorders>
            <w:shd w:fill="F5E9EB" w:val="clear"/>
            <w:tcMar>
              <w:top w:type="dxa" w:w="80"/>
              <w:left w:type="dxa" w:w="120"/>
              <w:bottom w:type="dxa" w:w="80"/>
              <w:right w:type="dxa" w:w="120"/>
            </w:tcMar>
          </w:tcPr>
          <w:p>
            <w:pPr>
              <w:spacing w:after="0" w:before="0" w:line="260"/>
            </w:pPr>
            <w:r>
              <w:rPr>
                <w:rFonts w:ascii="Georgia" w:cs="Georgia" w:eastAsia="Georgia" w:hAnsi="Georgia"/>
                <w:b/>
                <w:bCs/>
                <w:color w:val="7A1F2B"/>
                <w:sz w:val="20"/>
                <w:szCs w:val="20"/>
              </w:rPr>
              <w:t xml:space="preserve">Stage</w:t>
            </w:r>
          </w:p>
        </w:tc>
        <w:tc>
          <w:tcPr>
            <w:tcW w:type="dxa" w:w="2300"/>
            <w:tcBorders>
              <w:top w:val="single" w:color="D8C9CB" w:sz="4"/>
              <w:left w:val="single" w:color="D8C9CB" w:sz="4"/>
              <w:bottom w:val="single" w:color="D8C9CB" w:sz="4"/>
              <w:right w:val="single" w:color="D8C9CB" w:sz="4"/>
            </w:tcBorders>
            <w:shd w:fill="F5E9EB" w:val="clear"/>
            <w:tcMar>
              <w:top w:type="dxa" w:w="80"/>
              <w:left w:type="dxa" w:w="120"/>
              <w:bottom w:type="dxa" w:w="80"/>
              <w:right w:type="dxa" w:w="120"/>
            </w:tcMar>
          </w:tcPr>
          <w:p>
            <w:pPr>
              <w:spacing w:after="0" w:before="0" w:line="260"/>
            </w:pPr>
            <w:r>
              <w:rPr>
                <w:rFonts w:ascii="Georgia" w:cs="Georgia" w:eastAsia="Georgia" w:hAnsi="Georgia"/>
                <w:b/>
                <w:bCs/>
                <w:color w:val="7A1F2B"/>
                <w:sz w:val="20"/>
                <w:szCs w:val="20"/>
              </w:rPr>
              <w:t xml:space="preserve">ISS</w:t>
            </w:r>
          </w:p>
        </w:tc>
        <w:tc>
          <w:tcPr>
            <w:tcW w:type="dxa" w:w="2300"/>
            <w:tcBorders>
              <w:top w:val="single" w:color="D8C9CB" w:sz="4"/>
              <w:left w:val="single" w:color="D8C9CB" w:sz="4"/>
              <w:bottom w:val="single" w:color="D8C9CB" w:sz="4"/>
              <w:right w:val="single" w:color="D8C9CB" w:sz="4"/>
            </w:tcBorders>
            <w:shd w:fill="F5E9EB" w:val="clear"/>
            <w:tcMar>
              <w:top w:type="dxa" w:w="80"/>
              <w:left w:type="dxa" w:w="120"/>
              <w:bottom w:type="dxa" w:w="80"/>
              <w:right w:type="dxa" w:w="120"/>
            </w:tcMar>
          </w:tcPr>
          <w:p>
            <w:pPr>
              <w:spacing w:after="0" w:before="0" w:line="260"/>
            </w:pPr>
            <w:r>
              <w:rPr>
                <w:rFonts w:ascii="Georgia" w:cs="Georgia" w:eastAsia="Georgia" w:hAnsi="Georgia"/>
                <w:b/>
                <w:bCs/>
                <w:color w:val="7A1F2B"/>
                <w:sz w:val="20"/>
                <w:szCs w:val="20"/>
              </w:rPr>
              <w:t xml:space="preserve">R-ISS</w:t>
            </w:r>
          </w:p>
        </w:tc>
        <w:tc>
          <w:tcPr>
            <w:tcW w:type="dxa" w:w="2426"/>
            <w:tcBorders>
              <w:top w:val="single" w:color="D8C9CB" w:sz="4"/>
              <w:left w:val="single" w:color="D8C9CB" w:sz="4"/>
              <w:bottom w:val="single" w:color="D8C9CB" w:sz="4"/>
              <w:right w:val="single" w:color="D8C9CB" w:sz="4"/>
            </w:tcBorders>
            <w:shd w:fill="F5E9EB" w:val="clear"/>
            <w:tcMar>
              <w:top w:type="dxa" w:w="80"/>
              <w:left w:type="dxa" w:w="120"/>
              <w:bottom w:type="dxa" w:w="80"/>
              <w:right w:type="dxa" w:w="120"/>
            </w:tcMar>
          </w:tcPr>
          <w:p>
            <w:pPr>
              <w:spacing w:after="0" w:before="0" w:line="260"/>
            </w:pPr>
            <w:r>
              <w:rPr>
                <w:rFonts w:ascii="Georgia" w:cs="Georgia" w:eastAsia="Georgia" w:hAnsi="Georgia"/>
                <w:b/>
                <w:bCs/>
                <w:color w:val="7A1F2B"/>
                <w:sz w:val="20"/>
                <w:szCs w:val="20"/>
              </w:rPr>
              <w:t xml:space="preserve">R2-ISS</w:t>
            </w:r>
          </w:p>
        </w:tc>
      </w:tr>
      <w:tr>
        <w:tc>
          <w:tcPr>
            <w:tcW w:type="dxa" w:w="2000"/>
            <w:tcBorders>
              <w:top w:val="single" w:color="D8C9CB" w:sz="4"/>
              <w:left w:val="single" w:color="D8C9CB" w:sz="4"/>
              <w:bottom w:val="single" w:color="D8C9CB" w:sz="4"/>
              <w:right w:val="single" w:color="D8C9CB" w:sz="4"/>
            </w:tcBorders>
            <w:tcMar>
              <w:top w:type="dxa" w:w="80"/>
              <w:left w:type="dxa" w:w="120"/>
              <w:bottom w:type="dxa" w:w="80"/>
              <w:right w:type="dxa" w:w="120"/>
            </w:tcMar>
          </w:tcPr>
          <w:p>
            <w:pPr>
              <w:spacing w:after="0" w:before="0" w:line="260"/>
            </w:pPr>
            <w:r>
              <w:rPr>
                <w:rFonts w:ascii="Georgia" w:cs="Georgia" w:eastAsia="Georgia" w:hAnsi="Georgia"/>
                <w:b w:val="false"/>
                <w:bCs w:val="false"/>
                <w:color w:val="1D1D1D"/>
                <w:sz w:val="20"/>
                <w:szCs w:val="20"/>
              </w:rPr>
              <w:t xml:space="preserve">Components</w:t>
            </w:r>
          </w:p>
        </w:tc>
        <w:tc>
          <w:tcPr>
            <w:tcW w:type="dxa" w:w="2300"/>
            <w:tcBorders>
              <w:top w:val="single" w:color="D8C9CB" w:sz="4"/>
              <w:left w:val="single" w:color="D8C9CB" w:sz="4"/>
              <w:bottom w:val="single" w:color="D8C9CB" w:sz="4"/>
              <w:right w:val="single" w:color="D8C9CB" w:sz="4"/>
            </w:tcBorders>
            <w:tcMar>
              <w:top w:type="dxa" w:w="80"/>
              <w:left w:type="dxa" w:w="120"/>
              <w:bottom w:type="dxa" w:w="80"/>
              <w:right w:type="dxa" w:w="120"/>
            </w:tcMar>
          </w:tcPr>
          <w:p>
            <w:pPr>
              <w:spacing w:after="0" w:before="0" w:line="260"/>
            </w:pPr>
            <w:r>
              <w:rPr>
                <w:rFonts w:ascii="Georgia" w:cs="Georgia" w:eastAsia="Georgia" w:hAnsi="Georgia"/>
                <w:b w:val="false"/>
                <w:bCs w:val="false"/>
                <w:color w:val="1D1D1D"/>
                <w:sz w:val="20"/>
                <w:szCs w:val="20"/>
              </w:rPr>
              <w:t xml:space="preserve">Beta-2 microglobulin and albumin</w:t>
            </w:r>
          </w:p>
        </w:tc>
        <w:tc>
          <w:tcPr>
            <w:tcW w:type="dxa" w:w="2300"/>
            <w:tcBorders>
              <w:top w:val="single" w:color="D8C9CB" w:sz="4"/>
              <w:left w:val="single" w:color="D8C9CB" w:sz="4"/>
              <w:bottom w:val="single" w:color="D8C9CB" w:sz="4"/>
              <w:right w:val="single" w:color="D8C9CB" w:sz="4"/>
            </w:tcBorders>
            <w:tcMar>
              <w:top w:type="dxa" w:w="80"/>
              <w:left w:type="dxa" w:w="120"/>
              <w:bottom w:type="dxa" w:w="80"/>
              <w:right w:type="dxa" w:w="120"/>
            </w:tcMar>
          </w:tcPr>
          <w:p>
            <w:pPr>
              <w:spacing w:after="0" w:before="0" w:line="260"/>
            </w:pPr>
            <w:r>
              <w:rPr>
                <w:rFonts w:ascii="Georgia" w:cs="Georgia" w:eastAsia="Georgia" w:hAnsi="Georgia"/>
                <w:b w:val="false"/>
                <w:bCs w:val="false"/>
                <w:color w:val="1D1D1D"/>
                <w:sz w:val="20"/>
                <w:szCs w:val="20"/>
              </w:rPr>
              <w:t xml:space="preserve">ISS plus LDH and high-risk FISH: t(4;14), t(14;16), del(17p)</w:t>
            </w:r>
          </w:p>
        </w:tc>
        <w:tc>
          <w:tcPr>
            <w:tcW w:type="dxa" w:w="2426"/>
            <w:tcBorders>
              <w:top w:val="single" w:color="D8C9CB" w:sz="4"/>
              <w:left w:val="single" w:color="D8C9CB" w:sz="4"/>
              <w:bottom w:val="single" w:color="D8C9CB" w:sz="4"/>
              <w:right w:val="single" w:color="D8C9CB" w:sz="4"/>
            </w:tcBorders>
            <w:tcMar>
              <w:top w:type="dxa" w:w="80"/>
              <w:left w:type="dxa" w:w="120"/>
              <w:bottom w:type="dxa" w:w="80"/>
              <w:right w:type="dxa" w:w="120"/>
            </w:tcMar>
          </w:tcPr>
          <w:p>
            <w:pPr>
              <w:spacing w:after="0" w:before="0" w:line="260"/>
            </w:pPr>
            <w:r>
              <w:rPr>
                <w:rFonts w:ascii="Georgia" w:cs="Georgia" w:eastAsia="Georgia" w:hAnsi="Georgia"/>
                <w:b w:val="false"/>
                <w:bCs w:val="false"/>
                <w:color w:val="1D1D1D"/>
                <w:sz w:val="20"/>
                <w:szCs w:val="20"/>
              </w:rPr>
              <w:t xml:space="preserve">R-ISS components plus 1q21 gain/amplification; four-stage system</w:t>
            </w:r>
          </w:p>
        </w:tc>
      </w:tr>
      <w:tr>
        <w:tc>
          <w:tcPr>
            <w:tcW w:type="dxa" w:w="2000"/>
            <w:tcBorders>
              <w:top w:val="single" w:color="D8C9CB" w:sz="4"/>
              <w:left w:val="single" w:color="D8C9CB" w:sz="4"/>
              <w:bottom w:val="single" w:color="D8C9CB" w:sz="4"/>
              <w:right w:val="single" w:color="D8C9CB" w:sz="4"/>
            </w:tcBorders>
            <w:tcMar>
              <w:top w:type="dxa" w:w="80"/>
              <w:left w:type="dxa" w:w="120"/>
              <w:bottom w:type="dxa" w:w="80"/>
              <w:right w:type="dxa" w:w="120"/>
            </w:tcMar>
          </w:tcPr>
          <w:p>
            <w:pPr>
              <w:spacing w:after="0" w:before="0" w:line="260"/>
            </w:pPr>
            <w:r>
              <w:rPr>
                <w:rFonts w:ascii="Georgia" w:cs="Georgia" w:eastAsia="Georgia" w:hAnsi="Georgia"/>
                <w:b w:val="false"/>
                <w:bCs w:val="false"/>
                <w:color w:val="1D1D1D"/>
                <w:sz w:val="20"/>
                <w:szCs w:val="20"/>
              </w:rPr>
              <w:t xml:space="preserve">UK practice</w:t>
            </w:r>
          </w:p>
        </w:tc>
        <w:tc>
          <w:tcPr>
            <w:tcW w:type="dxa" w:w="2300"/>
            <w:tcBorders>
              <w:top w:val="single" w:color="D8C9CB" w:sz="4"/>
              <w:left w:val="single" w:color="D8C9CB" w:sz="4"/>
              <w:bottom w:val="single" w:color="D8C9CB" w:sz="4"/>
              <w:right w:val="single" w:color="D8C9CB" w:sz="4"/>
            </w:tcBorders>
            <w:tcMar>
              <w:top w:type="dxa" w:w="80"/>
              <w:left w:type="dxa" w:w="120"/>
              <w:bottom w:type="dxa" w:w="80"/>
              <w:right w:type="dxa" w:w="120"/>
            </w:tcMar>
          </w:tcPr>
          <w:p>
            <w:pPr>
              <w:spacing w:after="0" w:before="0" w:line="260"/>
            </w:pPr>
            <w:r>
              <w:rPr>
                <w:rFonts w:ascii="Georgia" w:cs="Georgia" w:eastAsia="Georgia" w:hAnsi="Georgia"/>
                <w:b w:val="false"/>
                <w:bCs w:val="false"/>
                <w:color w:val="1D1D1D"/>
                <w:sz w:val="20"/>
                <w:szCs w:val="20"/>
              </w:rPr>
              <w:t xml:space="preserve">Universal</w:t>
            </w:r>
          </w:p>
        </w:tc>
        <w:tc>
          <w:tcPr>
            <w:tcW w:type="dxa" w:w="2300"/>
            <w:tcBorders>
              <w:top w:val="single" w:color="D8C9CB" w:sz="4"/>
              <w:left w:val="single" w:color="D8C9CB" w:sz="4"/>
              <w:bottom w:val="single" w:color="D8C9CB" w:sz="4"/>
              <w:right w:val="single" w:color="D8C9CB" w:sz="4"/>
            </w:tcBorders>
            <w:tcMar>
              <w:top w:type="dxa" w:w="80"/>
              <w:left w:type="dxa" w:w="120"/>
              <w:bottom w:type="dxa" w:w="80"/>
              <w:right w:type="dxa" w:w="120"/>
            </w:tcMar>
          </w:tcPr>
          <w:p>
            <w:pPr>
              <w:spacing w:after="0" w:before="0" w:line="260"/>
            </w:pPr>
            <w:r>
              <w:rPr>
                <w:rFonts w:ascii="Georgia" w:cs="Georgia" w:eastAsia="Georgia" w:hAnsi="Georgia"/>
                <w:b w:val="false"/>
                <w:bCs w:val="false"/>
                <w:color w:val="1D1D1D"/>
                <w:sz w:val="20"/>
                <w:szCs w:val="20"/>
              </w:rPr>
              <w:t xml:space="preserve">Standard prognostic tool</w:t>
            </w:r>
          </w:p>
        </w:tc>
        <w:tc>
          <w:tcPr>
            <w:tcW w:type="dxa" w:w="2426"/>
            <w:tcBorders>
              <w:top w:val="single" w:color="D8C9CB" w:sz="4"/>
              <w:left w:val="single" w:color="D8C9CB" w:sz="4"/>
              <w:bottom w:val="single" w:color="D8C9CB" w:sz="4"/>
              <w:right w:val="single" w:color="D8C9CB" w:sz="4"/>
            </w:tcBorders>
            <w:tcMar>
              <w:top w:type="dxa" w:w="80"/>
              <w:left w:type="dxa" w:w="120"/>
              <w:bottom w:type="dxa" w:w="80"/>
              <w:right w:type="dxa" w:w="120"/>
            </w:tcMar>
          </w:tcPr>
          <w:p>
            <w:pPr>
              <w:spacing w:after="0" w:before="0" w:line="260"/>
            </w:pPr>
            <w:r>
              <w:rPr>
                <w:rFonts w:ascii="Georgia" w:cs="Georgia" w:eastAsia="Georgia" w:hAnsi="Georgia"/>
                <w:b w:val="false"/>
                <w:bCs w:val="false"/>
                <w:color w:val="1D1D1D"/>
                <w:sz w:val="20"/>
                <w:szCs w:val="20"/>
              </w:rPr>
              <w:t xml:space="preserve">Increasingly used in trials and referenced in EHA-EMN 2025</w:t>
            </w:r>
          </w:p>
        </w:tc>
      </w:tr>
    </w:tbl>
    <w:p>
      <w:pPr>
        <w:spacing w:after="80" w:before="80" w:line="300"/>
        <w:jc w:val="left"/>
      </w:pPr>
      <w:r>
        <w:rPr>
          <w:rFonts w:ascii="Georgia" w:cs="Georgia" w:eastAsia="Georgia" w:hAnsi="Georgia"/>
          <w:b w:val="false"/>
          <w:bCs w:val="false"/>
          <w:i/>
          <w:iCs/>
          <w:color w:val="4A4A4A"/>
          <w:sz w:val="18"/>
          <w:szCs w:val="18"/>
        </w:rPr>
        <w:t xml:space="preserve">References: Greipp 2005 (JCO); Palumbo 2015 (JCO); D Agostino 2022 (JCO).</w:t>
      </w:r>
    </w:p>
    <w:p>
      <w:pPr>
        <w:spacing w:after="80" w:before="180"/>
      </w:pPr>
      <w:r>
        <w:rPr>
          <w:rFonts w:ascii="Georgia" w:cs="Georgia" w:eastAsia="Georgia" w:hAnsi="Georgia"/>
          <w:b/>
          <w:bCs/>
          <w:color w:val="1D1D1D"/>
          <w:sz w:val="24"/>
          <w:szCs w:val="24"/>
        </w:rPr>
        <w:t xml:space="preserve">Cytogenetic and molecular profiling (BSH 2024)</w:t>
      </w:r>
    </w:p>
    <w:p>
      <w:pPr>
        <w:spacing w:after="80" w:before="80" w:line="300"/>
        <w:jc w:val="left"/>
      </w:pPr>
      <w:r>
        <w:rPr>
          <w:rFonts w:ascii="Georgia" w:cs="Georgia" w:eastAsia="Georgia" w:hAnsi="Georgia"/>
          <w:b w:val="false"/>
          <w:bCs w:val="false"/>
          <w:i w:val="false"/>
          <w:iCs w:val="false"/>
          <w:color w:val="1D1D1D"/>
          <w:sz w:val="22"/>
          <w:szCs w:val="22"/>
        </w:rPr>
        <w:t xml:space="preserve">BSH 2024 recommends extended cytogenetic profiling at diagnosis in all NDMM patients. Test the complete set: t(4;14), t(14;16), t(14;20), del(1p), gain(1q) and del(17p) by FISH or equivalent validated molecular methods. Where technically feasible, results should be available within four weeks of an adequate first bone marrow sample and a maximum of eight weeks if repeat biopsy is required. Gene expression profiling (for example SKY92) identifies an additional approximately 10 per cent of high-risk patients not detected by FISH alone.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D8C9CB" w:sz="4"/>
              <w:left w:val="single" w:color="7A1F2B" w:sz="16"/>
              <w:bottom w:val="single" w:color="D8C9CB" w:sz="4"/>
              <w:right w:val="single" w:color="D8C9CB" w:sz="4"/>
            </w:tcBorders>
            <w:shd w:fill="F5E9EB" w:val="clear"/>
            <w:tcMar>
              <w:top w:type="dxa" w:w="140"/>
              <w:left w:type="dxa" w:w="200"/>
              <w:bottom w:type="dxa" w:w="140"/>
              <w:right w:type="dxa" w:w="160"/>
            </w:tcMar>
          </w:tcPr>
          <w:p>
            <w:pPr>
              <w:spacing w:after="80" w:before="0"/>
            </w:pPr>
            <w:r>
              <w:rPr>
                <w:rFonts w:ascii="Georgia" w:cs="Georgia" w:eastAsia="Georgia" w:hAnsi="Georgia"/>
                <w:b/>
                <w:bCs/>
                <w:color w:val="7A1F2B"/>
                <w:sz w:val="22"/>
                <w:szCs w:val="22"/>
              </w:rPr>
              <w:t xml:space="preserve">Pattern recognition — extramedullary disease at diagnosis</w:t>
            </w:r>
          </w:p>
          <w:p>
            <w:pPr>
              <w:spacing w:after="0" w:before="0" w:line="280"/>
            </w:pPr>
            <w:r>
              <w:rPr>
                <w:rFonts w:ascii="Georgia" w:cs="Georgia" w:eastAsia="Georgia" w:hAnsi="Georgia"/>
                <w:color w:val="1D1D1D"/>
                <w:sz w:val="22"/>
                <w:szCs w:val="22"/>
              </w:rPr>
              <w:t xml:space="preserve">Soft-tissue plasmacytomas separate from bone, especially when accompanied by 2 or more HRCA or a primary plasma cell leukaemia picture, are a strong marker of high-risk biology. Repeat FISH on the plasmacytoma where feasible; consider trial referral.</w:t>
            </w:r>
          </w:p>
        </w:tc>
      </w:tr>
    </w:tbl>
    <w:p>
      <w:pPr>
        <w:spacing w:after="80" w:before="180"/>
      </w:pPr>
      <w:r>
        <w:rPr>
          <w:rFonts w:ascii="Georgia" w:cs="Georgia" w:eastAsia="Georgia" w:hAnsi="Georgia"/>
          <w:b/>
          <w:bCs/>
          <w:color w:val="1D1D1D"/>
          <w:sz w:val="24"/>
          <w:szCs w:val="24"/>
        </w:rPr>
        <w:t xml:space="preserve">Standard-risk transplant-eligible NDMM — UK NHS framework</w:t>
      </w:r>
    </w:p>
    <w:p>
      <w:pPr>
        <w:spacing w:after="80" w:before="80" w:line="300"/>
        <w:jc w:val="left"/>
      </w:pPr>
      <w:r>
        <w:rPr>
          <w:rFonts w:ascii="Georgia" w:cs="Georgia" w:eastAsia="Georgia" w:hAnsi="Georgia"/>
          <w:b w:val="false"/>
          <w:bCs w:val="false"/>
          <w:i w:val="false"/>
          <w:iCs w:val="false"/>
          <w:color w:val="1D1D1D"/>
          <w:sz w:val="22"/>
          <w:szCs w:val="22"/>
        </w:rPr>
        <w:t xml:space="preserve">Standard UK NHS induction has been a bortezomib-based triplet (most commonly VTd or VCd) followed by ASCT with melphalan 200 mg/m squared conditioning and lenalidomide maintenance until progression (TA680). Daratumumab-containing quadruplet induction is increasingly used in line with the CASSIOPEIA evidence base and current NICE technology appraisals. The current NICE-commissioned quadruplet for the transplant-eligible setting is D-VTd (TA763, within NICE criteria). D-VRd (PERSEUS-based) is the subject of an in-development NICE appraisal under identifier GID-TA10726 / ID3843 (the v0.3 draft incorrectly cited TA11254 — corrected in v0.4); the cited NICE in-development reference relates to transplant-unsuitable NDMM, not transplant-eligible disease. D-VRd should be treated as horizon/evidence content only for the TE-NDMM pathway pending final NICE guidance and verified pathway placement.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D8C9CB" w:sz="4"/>
              <w:left w:val="single" w:color="C87A00" w:sz="16"/>
              <w:bottom w:val="single" w:color="D8C9CB" w:sz="4"/>
              <w:right w:val="single" w:color="D8C9CB" w:sz="4"/>
            </w:tcBorders>
            <w:shd w:fill="FFF4E0" w:val="clear"/>
            <w:tcMar>
              <w:top w:type="dxa" w:w="140"/>
              <w:left w:type="dxa" w:w="200"/>
              <w:bottom w:type="dxa" w:w="140"/>
              <w:right w:type="dxa" w:w="160"/>
            </w:tcMar>
          </w:tcPr>
          <w:p>
            <w:pPr>
              <w:spacing w:after="80" w:before="0"/>
            </w:pPr>
            <w:r>
              <w:rPr>
                <w:rFonts w:ascii="Georgia" w:cs="Georgia" w:eastAsia="Georgia" w:hAnsi="Georgia"/>
                <w:b/>
                <w:bCs/>
                <w:color w:val="C87A00"/>
                <w:sz w:val="22"/>
                <w:szCs w:val="22"/>
              </w:rPr>
              <w:t xml:space="preserve">Dose-block caveat (applies throughout this document)</w:t>
            </w:r>
          </w:p>
          <w:p>
            <w:pPr>
              <w:spacing w:after="0" w:before="0" w:line="280"/>
            </w:pPr>
            <w:r>
              <w:rPr>
                <w:rFonts w:ascii="Georgia" w:cs="Georgia" w:eastAsia="Georgia" w:hAnsi="Georgia"/>
                <w:color w:val="1D1D1D"/>
                <w:sz w:val="22"/>
                <w:szCs w:val="22"/>
              </w:rPr>
              <w:t xml:space="preserve">Dose examples shown in every regimen block in this document are educational only. They must not override local e-prescribing protocols, current Summary of Product Characteristics, renal or hepatic dose adjustment, frailty modification, pharmacy verification, or consultant decision-making. Always check the current SmPC, local Trust e-prescribing protocol, Blueteq form and pharmacy review before any prescribing.</w:t>
            </w:r>
          </w:p>
        </w:tc>
      </w:tr>
    </w:tbl>
    <w:p>
      <w:pPr>
        <w:spacing w:after="40" w:before="160" w:line="300"/>
        <w:jc w:val="left"/>
      </w:pPr>
      <w:r>
        <w:rPr>
          <w:rFonts w:ascii="Georgia" w:cs="Georgia" w:eastAsia="Georgia" w:hAnsi="Georgia"/>
          <w:b/>
          <w:bCs/>
          <w:i w:val="false"/>
          <w:iCs w:val="false"/>
          <w:color w:val="7A1F2B"/>
          <w:sz w:val="23"/>
          <w:szCs w:val="23"/>
        </w:rPr>
        <w:t xml:space="preserve">Daratumumab + bortezomib + thalidomide + dexamethasone (D-VTd)</w:t>
      </w:r>
    </w:p>
    <w:p>
      <w:pPr>
        <w:spacing w:after="80" w:before="80" w:line="300"/>
        <w:jc w:val="left"/>
      </w:pPr>
      <w:r>
        <w:rPr>
          <w:rFonts w:ascii="Georgia" w:cs="Georgia" w:eastAsia="Georgia" w:hAnsi="Georgia"/>
          <w:b/>
          <w:bCs/>
          <w:i w:val="false"/>
          <w:iCs w:val="false"/>
          <w:color w:val="7A1F2B"/>
          <w:sz w:val="20"/>
          <w:szCs w:val="20"/>
        </w:rPr>
        <w:t xml:space="preserve">NICE TA763</w:t>
      </w:r>
      <w:r>
        <w:rPr>
          <w:rFonts w:ascii="Georgia" w:cs="Georgia" w:eastAsia="Georgia" w:hAnsi="Georgia"/>
          <w:b w:val="false"/>
          <w:bCs w:val="false"/>
          <w:i w:val="false"/>
          <w:iCs w:val="false"/>
          <w:color w:val="1D1D1D"/>
          <w:sz w:val="22"/>
          <w:szCs w:val="22"/>
        </w:rPr>
        <w:t xml:space="preserve">   </w:t>
      </w:r>
      <w:r>
        <w:rPr>
          <w:rFonts w:ascii="Georgia" w:cs="Georgia" w:eastAsia="Georgia" w:hAnsi="Georgia"/>
          <w:b/>
          <w:bCs/>
          <w:i w:val="false"/>
          <w:iCs w:val="false"/>
          <w:color w:val="2A6B3B"/>
          <w:sz w:val="20"/>
          <w:szCs w:val="20"/>
        </w:rPr>
        <w:t xml:space="preserve">High / Strong</w:t>
      </w:r>
    </w:p>
    <w:p>
      <w:pPr>
        <w:spacing w:after="40" w:before="40" w:line="300"/>
        <w:jc w:val="left"/>
      </w:pPr>
      <w:r>
        <w:rPr>
          <w:rFonts w:ascii="Georgia" w:cs="Georgia" w:eastAsia="Georgia" w:hAnsi="Georgia"/>
          <w:b/>
          <w:bCs/>
          <w:i w:val="false"/>
          <w:iCs w:val="false"/>
          <w:color w:val="1D1D1D"/>
          <w:sz w:val="22"/>
          <w:szCs w:val="22"/>
        </w:rPr>
        <w:t xml:space="preserve">Dose: </w:t>
      </w:r>
      <w:r>
        <w:rPr>
          <w:rFonts w:ascii="Georgia" w:cs="Georgia" w:eastAsia="Georgia" w:hAnsi="Georgia"/>
          <w:b w:val="false"/>
          <w:bCs w:val="false"/>
          <w:i w:val="false"/>
          <w:iCs w:val="false"/>
          <w:color w:val="1D1D1D"/>
          <w:sz w:val="22"/>
          <w:szCs w:val="22"/>
        </w:rPr>
        <w:t xml:space="preserve">Subcutaneous daratumumab 1,800 mg weekly cycles 1 to 2, then every 2 weeks cycles 3 to 4 and consolidation; bortezomib 1.3 mg/m squared SC days 1, 4, 8, 11 of each 28-day cycle; thalidomide 100 mg PO daily; dexamethasone per CASSIOPEIA schedule. Four induction cycles, ASCT, then two consolidation cycles.</w:t>
      </w:r>
    </w:p>
    <w:p>
      <w:pPr>
        <w:spacing w:after="40" w:before="40" w:line="300"/>
        <w:jc w:val="left"/>
      </w:pPr>
      <w:r>
        <w:rPr>
          <w:rFonts w:ascii="Georgia" w:cs="Georgia" w:eastAsia="Georgia" w:hAnsi="Georgia"/>
          <w:b/>
          <w:bCs/>
          <w:i w:val="false"/>
          <w:iCs w:val="false"/>
          <w:color w:val="1D1D1D"/>
          <w:sz w:val="22"/>
          <w:szCs w:val="22"/>
        </w:rPr>
        <w:t xml:space="preserve">NICE TA: </w:t>
      </w:r>
      <w:r>
        <w:rPr>
          <w:rFonts w:ascii="Georgia" w:cs="Georgia" w:eastAsia="Georgia" w:hAnsi="Georgia"/>
          <w:b w:val="false"/>
          <w:bCs w:val="false"/>
          <w:i w:val="false"/>
          <w:iCs w:val="false"/>
          <w:color w:val="1D1D1D"/>
          <w:sz w:val="22"/>
          <w:szCs w:val="22"/>
        </w:rPr>
        <w:t xml:space="preserve">TA763, recommended February 2022 for untreated NDMM when stem cell transplant is suitable.</w:t>
      </w:r>
    </w:p>
    <w:p>
      <w:pPr>
        <w:spacing w:after="40" w:before="40" w:line="300"/>
        <w:jc w:val="left"/>
      </w:pPr>
      <w:r>
        <w:rPr>
          <w:rFonts w:ascii="Georgia" w:cs="Georgia" w:eastAsia="Georgia" w:hAnsi="Georgia"/>
          <w:b/>
          <w:bCs/>
          <w:i w:val="false"/>
          <w:iCs w:val="false"/>
          <w:color w:val="1D1D1D"/>
          <w:sz w:val="22"/>
          <w:szCs w:val="22"/>
        </w:rPr>
        <w:t xml:space="preserve">Trial basis: </w:t>
      </w:r>
      <w:r>
        <w:rPr>
          <w:rFonts w:ascii="Georgia" w:cs="Georgia" w:eastAsia="Georgia" w:hAnsi="Georgia"/>
          <w:b w:val="false"/>
          <w:bCs w:val="false"/>
          <w:i w:val="false"/>
          <w:iCs w:val="false"/>
          <w:color w:val="1D1D1D"/>
          <w:sz w:val="22"/>
          <w:szCs w:val="22"/>
        </w:rPr>
        <w:t xml:space="preserve">CASSIOPEIA (Moreau et al., Lancet 2019; long-term update Moreau 2024). D-VTd improved sCR and PFS versus VTd; survival benefit sustained at more than 6-year follow-up.</w:t>
      </w:r>
    </w:p>
    <w:p>
      <w:pPr>
        <w:spacing w:after="40" w:before="40" w:line="300"/>
        <w:jc w:val="left"/>
      </w:pPr>
      <w:r>
        <w:rPr>
          <w:rFonts w:ascii="Georgia" w:cs="Georgia" w:eastAsia="Georgia" w:hAnsi="Georgia"/>
          <w:b/>
          <w:bCs/>
          <w:i w:val="false"/>
          <w:iCs w:val="false"/>
          <w:color w:val="1D1D1D"/>
          <w:sz w:val="22"/>
          <w:szCs w:val="22"/>
        </w:rPr>
        <w:t xml:space="preserve">Notes: </w:t>
      </w:r>
      <w:r>
        <w:rPr>
          <w:rFonts w:ascii="Georgia" w:cs="Georgia" w:eastAsia="Georgia" w:hAnsi="Georgia"/>
          <w:b w:val="false"/>
          <w:bCs w:val="false"/>
          <w:i w:val="false"/>
          <w:iCs w:val="false"/>
          <w:color w:val="1D1D1D"/>
          <w:sz w:val="22"/>
          <w:szCs w:val="22"/>
        </w:rPr>
        <w:t xml:space="preserve">Currently the principal NICE-commissioned quadruplet induction in the UK. Daratumumab maintenance arm of CASSIOPEIA is supportive of post-ASCT daratumumab but lenalidomide maintenance (TA680) remains the UK standard.</w:t>
      </w:r>
    </w:p>
    <w:p>
      <w:pPr>
        <w:spacing w:after="40" w:before="160" w:line="300"/>
        <w:jc w:val="left"/>
      </w:pPr>
      <w:r>
        <w:rPr>
          <w:rFonts w:ascii="Georgia" w:cs="Georgia" w:eastAsia="Georgia" w:hAnsi="Georgia"/>
          <w:b/>
          <w:bCs/>
          <w:i w:val="false"/>
          <w:iCs w:val="false"/>
          <w:color w:val="7A1F2B"/>
          <w:sz w:val="23"/>
          <w:szCs w:val="23"/>
        </w:rPr>
        <w:t xml:space="preserve">Bortezomib + thalidomide + dexamethasone (VTd) — older triplet</w:t>
      </w:r>
    </w:p>
    <w:p>
      <w:pPr>
        <w:spacing w:after="80" w:before="80" w:line="300"/>
        <w:jc w:val="left"/>
      </w:pPr>
      <w:r>
        <w:rPr>
          <w:rFonts w:ascii="Georgia" w:cs="Georgia" w:eastAsia="Georgia" w:hAnsi="Georgia"/>
          <w:b/>
          <w:bCs/>
          <w:i w:val="false"/>
          <w:iCs w:val="false"/>
          <w:color w:val="7A1F2B"/>
          <w:sz w:val="20"/>
          <w:szCs w:val="20"/>
        </w:rPr>
        <w:t xml:space="preserve">NICE TA228 / TA311</w:t>
      </w:r>
      <w:r>
        <w:rPr>
          <w:rFonts w:ascii="Georgia" w:cs="Georgia" w:eastAsia="Georgia" w:hAnsi="Georgia"/>
          <w:b w:val="false"/>
          <w:bCs w:val="false"/>
          <w:i w:val="false"/>
          <w:iCs w:val="false"/>
          <w:color w:val="1D1D1D"/>
          <w:sz w:val="22"/>
          <w:szCs w:val="22"/>
        </w:rPr>
        <w:t xml:space="preserve">   </w:t>
      </w:r>
      <w:r>
        <w:rPr>
          <w:rFonts w:ascii="Georgia" w:cs="Georgia" w:eastAsia="Georgia" w:hAnsi="Georgia"/>
          <w:b/>
          <w:bCs/>
          <w:i w:val="false"/>
          <w:iCs w:val="false"/>
          <w:color w:val="2A6B3B"/>
          <w:sz w:val="20"/>
          <w:szCs w:val="20"/>
        </w:rPr>
        <w:t xml:space="preserve">High / Conditional</w:t>
      </w:r>
    </w:p>
    <w:p>
      <w:pPr>
        <w:spacing w:after="40" w:before="40" w:line="300"/>
        <w:jc w:val="left"/>
      </w:pPr>
      <w:r>
        <w:rPr>
          <w:rFonts w:ascii="Georgia" w:cs="Georgia" w:eastAsia="Georgia" w:hAnsi="Georgia"/>
          <w:b/>
          <w:bCs/>
          <w:i w:val="false"/>
          <w:iCs w:val="false"/>
          <w:color w:val="1D1D1D"/>
          <w:sz w:val="22"/>
          <w:szCs w:val="22"/>
        </w:rPr>
        <w:t xml:space="preserve">Dose: </w:t>
      </w:r>
      <w:r>
        <w:rPr>
          <w:rFonts w:ascii="Georgia" w:cs="Georgia" w:eastAsia="Georgia" w:hAnsi="Georgia"/>
          <w:b w:val="false"/>
          <w:bCs w:val="false"/>
          <w:i w:val="false"/>
          <w:iCs w:val="false"/>
          <w:color w:val="1D1D1D"/>
          <w:sz w:val="22"/>
          <w:szCs w:val="22"/>
        </w:rPr>
        <w:t xml:space="preserve">Bortezomib 1.3 mg/m squared SC days 1, 4, 8, 11 of each 21-day cycle; thalidomide 100 to 200 mg PO daily; dexamethasone 20 to 40 mg per cycle. Four induction cycles before ASCT.</w:t>
      </w:r>
    </w:p>
    <w:p>
      <w:pPr>
        <w:spacing w:after="40" w:before="40" w:line="300"/>
        <w:jc w:val="left"/>
      </w:pPr>
      <w:r>
        <w:rPr>
          <w:rFonts w:ascii="Georgia" w:cs="Georgia" w:eastAsia="Georgia" w:hAnsi="Georgia"/>
          <w:b/>
          <w:bCs/>
          <w:i w:val="false"/>
          <w:iCs w:val="false"/>
          <w:color w:val="1D1D1D"/>
          <w:sz w:val="22"/>
          <w:szCs w:val="22"/>
        </w:rPr>
        <w:t xml:space="preserve">NICE TA: </w:t>
      </w:r>
      <w:r>
        <w:rPr>
          <w:rFonts w:ascii="Georgia" w:cs="Georgia" w:eastAsia="Georgia" w:hAnsi="Georgia"/>
          <w:b w:val="false"/>
          <w:bCs w:val="false"/>
          <w:i w:val="false"/>
          <w:iCs w:val="false"/>
          <w:color w:val="1D1D1D"/>
          <w:sz w:val="22"/>
          <w:szCs w:val="22"/>
        </w:rPr>
        <w:t xml:space="preserve">TA228 (2011) for first-line MM; TA311 (2014) for bortezomib induction before HDT/ASCT.</w:t>
      </w:r>
    </w:p>
    <w:p>
      <w:pPr>
        <w:spacing w:after="40" w:before="40" w:line="300"/>
        <w:jc w:val="left"/>
      </w:pPr>
      <w:r>
        <w:rPr>
          <w:rFonts w:ascii="Georgia" w:cs="Georgia" w:eastAsia="Georgia" w:hAnsi="Georgia"/>
          <w:b/>
          <w:bCs/>
          <w:i w:val="false"/>
          <w:iCs w:val="false"/>
          <w:color w:val="1D1D1D"/>
          <w:sz w:val="22"/>
          <w:szCs w:val="22"/>
        </w:rPr>
        <w:t xml:space="preserve">Notes: </w:t>
      </w:r>
      <w:r>
        <w:rPr>
          <w:rFonts w:ascii="Georgia" w:cs="Georgia" w:eastAsia="Georgia" w:hAnsi="Georgia"/>
          <w:b w:val="false"/>
          <w:bCs w:val="false"/>
          <w:i w:val="false"/>
          <w:iCs w:val="false"/>
          <w:color w:val="1D1D1D"/>
          <w:sz w:val="22"/>
          <w:szCs w:val="22"/>
        </w:rPr>
        <w:t xml:space="preserve">Effective triplet historically used where quadruplet not appropriate or available; thalidomide-related neuropathy, teratogenicity and VTE risk require active management. Decreasing use as quadruplet regimens are commissioned.</w:t>
      </w:r>
    </w:p>
    <w:p>
      <w:pPr>
        <w:spacing w:after="40" w:before="160" w:line="300"/>
        <w:jc w:val="left"/>
      </w:pPr>
      <w:r>
        <w:rPr>
          <w:rFonts w:ascii="Georgia" w:cs="Georgia" w:eastAsia="Georgia" w:hAnsi="Georgia"/>
          <w:b/>
          <w:bCs/>
          <w:i w:val="false"/>
          <w:iCs w:val="false"/>
          <w:color w:val="7A1F2B"/>
          <w:sz w:val="23"/>
          <w:szCs w:val="23"/>
        </w:rPr>
        <w:t xml:space="preserve">Bortezomib + cyclophosphamide + dexamethasone (VCd)</w:t>
      </w:r>
    </w:p>
    <w:p>
      <w:pPr>
        <w:spacing w:after="80" w:before="80" w:line="300"/>
        <w:jc w:val="left"/>
      </w:pPr>
      <w:r>
        <w:rPr>
          <w:rFonts w:ascii="Georgia" w:cs="Georgia" w:eastAsia="Georgia" w:hAnsi="Georgia"/>
          <w:b/>
          <w:bCs/>
          <w:i w:val="false"/>
          <w:iCs w:val="false"/>
          <w:color w:val="C87A00"/>
          <w:sz w:val="20"/>
          <w:szCs w:val="20"/>
        </w:rPr>
        <w:t xml:space="preserve">Moderate / Conditional</w:t>
      </w:r>
    </w:p>
    <w:p>
      <w:pPr>
        <w:spacing w:after="40" w:before="40" w:line="300"/>
        <w:jc w:val="left"/>
      </w:pPr>
      <w:r>
        <w:rPr>
          <w:rFonts w:ascii="Georgia" w:cs="Georgia" w:eastAsia="Georgia" w:hAnsi="Georgia"/>
          <w:b/>
          <w:bCs/>
          <w:i w:val="false"/>
          <w:iCs w:val="false"/>
          <w:color w:val="1D1D1D"/>
          <w:sz w:val="22"/>
          <w:szCs w:val="22"/>
        </w:rPr>
        <w:t xml:space="preserve">Dose: </w:t>
      </w:r>
      <w:r>
        <w:rPr>
          <w:rFonts w:ascii="Georgia" w:cs="Georgia" w:eastAsia="Georgia" w:hAnsi="Georgia"/>
          <w:b w:val="false"/>
          <w:bCs w:val="false"/>
          <w:i w:val="false"/>
          <w:iCs w:val="false"/>
          <w:color w:val="1D1D1D"/>
          <w:sz w:val="22"/>
          <w:szCs w:val="22"/>
        </w:rPr>
        <w:t xml:space="preserve">Bortezomib 1.3 mg/m squared SC days 1, 4, 8, 11; cyclophosphamide 500 mg PO weekly; dexamethasone 40 mg weekly. Three to four induction cycles before ASCT.</w:t>
      </w:r>
    </w:p>
    <w:p>
      <w:pPr>
        <w:spacing w:after="40" w:before="40" w:line="300"/>
        <w:jc w:val="left"/>
      </w:pPr>
      <w:r>
        <w:rPr>
          <w:rFonts w:ascii="Georgia" w:cs="Georgia" w:eastAsia="Georgia" w:hAnsi="Georgia"/>
          <w:b/>
          <w:bCs/>
          <w:i w:val="false"/>
          <w:iCs w:val="false"/>
          <w:color w:val="1D1D1D"/>
          <w:sz w:val="22"/>
          <w:szCs w:val="22"/>
        </w:rPr>
        <w:t xml:space="preserve">Notes: </w:t>
      </w:r>
      <w:r>
        <w:rPr>
          <w:rFonts w:ascii="Georgia" w:cs="Georgia" w:eastAsia="Georgia" w:hAnsi="Georgia"/>
          <w:b w:val="false"/>
          <w:bCs w:val="false"/>
          <w:i w:val="false"/>
          <w:iCs w:val="false"/>
          <w:color w:val="1D1D1D"/>
          <w:sz w:val="22"/>
          <w:szCs w:val="22"/>
        </w:rPr>
        <w:t xml:space="preserve">Used where thalidomide or lenalidomide are not suitable. Pragmatic UK option particularly in renal impairment at presentation, with rapid response and a manageable toxicity profile. Not the primary NICE-recommended TE-NDMM induction where alternatives are available.</w:t>
      </w:r>
    </w:p>
    <w:p>
      <w:pPr>
        <w:spacing w:after="80" w:before="180"/>
      </w:pPr>
      <w:r>
        <w:rPr>
          <w:rFonts w:ascii="Georgia" w:cs="Georgia" w:eastAsia="Georgia" w:hAnsi="Georgia"/>
          <w:b/>
          <w:bCs/>
          <w:color w:val="1D1D1D"/>
          <w:sz w:val="24"/>
          <w:szCs w:val="24"/>
        </w:rPr>
        <w:t xml:space="preserve">Maintenance after ASCT</w:t>
      </w:r>
    </w:p>
    <w:p>
      <w:pPr>
        <w:spacing w:after="40" w:before="160" w:line="300"/>
        <w:jc w:val="left"/>
      </w:pPr>
      <w:r>
        <w:rPr>
          <w:rFonts w:ascii="Georgia" w:cs="Georgia" w:eastAsia="Georgia" w:hAnsi="Georgia"/>
          <w:b/>
          <w:bCs/>
          <w:i w:val="false"/>
          <w:iCs w:val="false"/>
          <w:color w:val="7A1F2B"/>
          <w:sz w:val="23"/>
          <w:szCs w:val="23"/>
        </w:rPr>
        <w:t xml:space="preserve">Lenalidomide maintenance</w:t>
      </w:r>
    </w:p>
    <w:p>
      <w:pPr>
        <w:spacing w:after="80" w:before="80" w:line="300"/>
        <w:jc w:val="left"/>
      </w:pPr>
      <w:r>
        <w:rPr>
          <w:rFonts w:ascii="Georgia" w:cs="Georgia" w:eastAsia="Georgia" w:hAnsi="Georgia"/>
          <w:b/>
          <w:bCs/>
          <w:i w:val="false"/>
          <w:iCs w:val="false"/>
          <w:color w:val="7A1F2B"/>
          <w:sz w:val="20"/>
          <w:szCs w:val="20"/>
        </w:rPr>
        <w:t xml:space="preserve">NICE TA680</w:t>
      </w:r>
      <w:r>
        <w:rPr>
          <w:rFonts w:ascii="Georgia" w:cs="Georgia" w:eastAsia="Georgia" w:hAnsi="Georgia"/>
          <w:b w:val="false"/>
          <w:bCs w:val="false"/>
          <w:i w:val="false"/>
          <w:iCs w:val="false"/>
          <w:color w:val="1D1D1D"/>
          <w:sz w:val="22"/>
          <w:szCs w:val="22"/>
        </w:rPr>
        <w:t xml:space="preserve">   </w:t>
      </w:r>
      <w:r>
        <w:rPr>
          <w:rFonts w:ascii="Georgia" w:cs="Georgia" w:eastAsia="Georgia" w:hAnsi="Georgia"/>
          <w:b/>
          <w:bCs/>
          <w:i w:val="false"/>
          <w:iCs w:val="false"/>
          <w:color w:val="2A6B3B"/>
          <w:sz w:val="20"/>
          <w:szCs w:val="20"/>
        </w:rPr>
        <w:t xml:space="preserve">High / Strong</w:t>
      </w:r>
    </w:p>
    <w:p>
      <w:pPr>
        <w:spacing w:after="40" w:before="40" w:line="300"/>
        <w:jc w:val="left"/>
      </w:pPr>
      <w:r>
        <w:rPr>
          <w:rFonts w:ascii="Georgia" w:cs="Georgia" w:eastAsia="Georgia" w:hAnsi="Georgia"/>
          <w:b/>
          <w:bCs/>
          <w:i w:val="false"/>
          <w:iCs w:val="false"/>
          <w:color w:val="1D1D1D"/>
          <w:sz w:val="22"/>
          <w:szCs w:val="22"/>
        </w:rPr>
        <w:t xml:space="preserve">Dose: </w:t>
      </w:r>
      <w:r>
        <w:rPr>
          <w:rFonts w:ascii="Georgia" w:cs="Georgia" w:eastAsia="Georgia" w:hAnsi="Georgia"/>
          <w:b w:val="false"/>
          <w:bCs w:val="false"/>
          <w:i w:val="false"/>
          <w:iCs w:val="false"/>
          <w:color w:val="1D1D1D"/>
          <w:sz w:val="22"/>
          <w:szCs w:val="22"/>
        </w:rPr>
        <w:t xml:space="preserve">Lenalidomide 10 mg PO daily, continuous, days 1 to 21 of 28-day cycles in some protocols. Continue until progression or unacceptable toxicity.</w:t>
      </w:r>
    </w:p>
    <w:p>
      <w:pPr>
        <w:spacing w:after="40" w:before="40" w:line="300"/>
        <w:jc w:val="left"/>
      </w:pPr>
      <w:r>
        <w:rPr>
          <w:rFonts w:ascii="Georgia" w:cs="Georgia" w:eastAsia="Georgia" w:hAnsi="Georgia"/>
          <w:b/>
          <w:bCs/>
          <w:i w:val="false"/>
          <w:iCs w:val="false"/>
          <w:color w:val="1D1D1D"/>
          <w:sz w:val="22"/>
          <w:szCs w:val="22"/>
        </w:rPr>
        <w:t xml:space="preserve">NICE TA: </w:t>
      </w:r>
      <w:r>
        <w:rPr>
          <w:rFonts w:ascii="Georgia" w:cs="Georgia" w:eastAsia="Georgia" w:hAnsi="Georgia"/>
          <w:b w:val="false"/>
          <w:bCs w:val="false"/>
          <w:i w:val="false"/>
          <w:iCs w:val="false"/>
          <w:color w:val="1D1D1D"/>
          <w:sz w:val="22"/>
          <w:szCs w:val="22"/>
        </w:rPr>
        <w:t xml:space="preserve">TA680 (2021), recommended for newly diagnosed myeloma after ASCT.</w:t>
      </w:r>
    </w:p>
    <w:p>
      <w:pPr>
        <w:spacing w:after="40" w:before="40" w:line="300"/>
        <w:jc w:val="left"/>
      </w:pPr>
      <w:r>
        <w:rPr>
          <w:rFonts w:ascii="Georgia" w:cs="Georgia" w:eastAsia="Georgia" w:hAnsi="Georgia"/>
          <w:b/>
          <w:bCs/>
          <w:i w:val="false"/>
          <w:iCs w:val="false"/>
          <w:color w:val="1D1D1D"/>
          <w:sz w:val="22"/>
          <w:szCs w:val="22"/>
        </w:rPr>
        <w:t xml:space="preserve">Trial basis: </w:t>
      </w:r>
      <w:r>
        <w:rPr>
          <w:rFonts w:ascii="Georgia" w:cs="Georgia" w:eastAsia="Georgia" w:hAnsi="Georgia"/>
          <w:b w:val="false"/>
          <w:bCs w:val="false"/>
          <w:i w:val="false"/>
          <w:iCs w:val="false"/>
          <w:color w:val="1D1D1D"/>
          <w:sz w:val="22"/>
          <w:szCs w:val="22"/>
        </w:rPr>
        <w:t xml:space="preserve">Myeloma XI (Jackson et al., Lancet Oncol 2019) and CALGB 100104. PFS benefit with acceptable second-primary-malignancy signal.</w:t>
      </w:r>
    </w:p>
    <w:p>
      <w:pPr>
        <w:spacing w:after="40" w:before="40" w:line="300"/>
        <w:jc w:val="left"/>
      </w:pPr>
      <w:r>
        <w:rPr>
          <w:rFonts w:ascii="Georgia" w:cs="Georgia" w:eastAsia="Georgia" w:hAnsi="Georgia"/>
          <w:b/>
          <w:bCs/>
          <w:i w:val="false"/>
          <w:iCs w:val="false"/>
          <w:color w:val="1D1D1D"/>
          <w:sz w:val="22"/>
          <w:szCs w:val="22"/>
        </w:rPr>
        <w:t xml:space="preserve">Notes: </w:t>
      </w:r>
      <w:r>
        <w:rPr>
          <w:rFonts w:ascii="Georgia" w:cs="Georgia" w:eastAsia="Georgia" w:hAnsi="Georgia"/>
          <w:b w:val="false"/>
          <w:bCs w:val="false"/>
          <w:i w:val="false"/>
          <w:iCs w:val="false"/>
          <w:color w:val="1D1D1D"/>
          <w:sz w:val="22"/>
          <w:szCs w:val="22"/>
        </w:rPr>
        <w:t xml:space="preserve">Current UK standard. Monitor blood counts, thyroid function and second-primary malignancy risk. Ixazomib maintenance (GID-TA10843 / ID1517) is DISCONTINUED at NICE (February 2026) and is not anticipated as a routine alternative.</w:t>
      </w:r>
    </w:p>
    <w:p>
      <w:pPr>
        <w:spacing w:after="80" w:before="180"/>
      </w:pPr>
      <w:r>
        <w:rPr>
          <w:rFonts w:ascii="Georgia" w:cs="Georgia" w:eastAsia="Georgia" w:hAnsi="Georgia"/>
          <w:b/>
          <w:bCs/>
          <w:color w:val="1D1D1D"/>
          <w:sz w:val="24"/>
          <w:szCs w:val="24"/>
        </w:rPr>
        <w:t xml:space="preserve">Transplant-ineligible NDMM</w:t>
      </w:r>
    </w:p>
    <w:p>
      <w:pPr>
        <w:spacing w:after="40" w:before="160" w:line="300"/>
        <w:jc w:val="left"/>
      </w:pPr>
      <w:r>
        <w:rPr>
          <w:rFonts w:ascii="Georgia" w:cs="Georgia" w:eastAsia="Georgia" w:hAnsi="Georgia"/>
          <w:b/>
          <w:bCs/>
          <w:i w:val="false"/>
          <w:iCs w:val="false"/>
          <w:color w:val="7A1F2B"/>
          <w:sz w:val="23"/>
          <w:szCs w:val="23"/>
        </w:rPr>
        <w:t xml:space="preserve">Lenalidomide + dexamethasone (Rd)</w:t>
      </w:r>
    </w:p>
    <w:p>
      <w:pPr>
        <w:spacing w:after="80" w:before="80" w:line="300"/>
        <w:jc w:val="left"/>
      </w:pPr>
      <w:r>
        <w:rPr>
          <w:rFonts w:ascii="Georgia" w:cs="Georgia" w:eastAsia="Georgia" w:hAnsi="Georgia"/>
          <w:b/>
          <w:bCs/>
          <w:i w:val="false"/>
          <w:iCs w:val="false"/>
          <w:color w:val="7A1F2B"/>
          <w:sz w:val="20"/>
          <w:szCs w:val="20"/>
        </w:rPr>
        <w:t xml:space="preserve">NICE TA587</w:t>
      </w:r>
      <w:r>
        <w:rPr>
          <w:rFonts w:ascii="Georgia" w:cs="Georgia" w:eastAsia="Georgia" w:hAnsi="Georgia"/>
          <w:b w:val="false"/>
          <w:bCs w:val="false"/>
          <w:i w:val="false"/>
          <w:iCs w:val="false"/>
          <w:color w:val="1D1D1D"/>
          <w:sz w:val="22"/>
          <w:szCs w:val="22"/>
        </w:rPr>
        <w:t xml:space="preserve">   </w:t>
      </w:r>
      <w:r>
        <w:rPr>
          <w:rFonts w:ascii="Georgia" w:cs="Georgia" w:eastAsia="Georgia" w:hAnsi="Georgia"/>
          <w:b/>
          <w:bCs/>
          <w:i w:val="false"/>
          <w:iCs w:val="false"/>
          <w:color w:val="2A6B3B"/>
          <w:sz w:val="20"/>
          <w:szCs w:val="20"/>
        </w:rPr>
        <w:t xml:space="preserve">High / Strong</w:t>
      </w:r>
    </w:p>
    <w:p>
      <w:pPr>
        <w:spacing w:after="40" w:before="40" w:line="300"/>
        <w:jc w:val="left"/>
      </w:pPr>
      <w:r>
        <w:rPr>
          <w:rFonts w:ascii="Georgia" w:cs="Georgia" w:eastAsia="Georgia" w:hAnsi="Georgia"/>
          <w:b/>
          <w:bCs/>
          <w:i w:val="false"/>
          <w:iCs w:val="false"/>
          <w:color w:val="1D1D1D"/>
          <w:sz w:val="22"/>
          <w:szCs w:val="22"/>
        </w:rPr>
        <w:t xml:space="preserve">Dose: </w:t>
      </w:r>
      <w:r>
        <w:rPr>
          <w:rFonts w:ascii="Georgia" w:cs="Georgia" w:eastAsia="Georgia" w:hAnsi="Georgia"/>
          <w:b w:val="false"/>
          <w:bCs w:val="false"/>
          <w:i w:val="false"/>
          <w:iCs w:val="false"/>
          <w:color w:val="1D1D1D"/>
          <w:sz w:val="22"/>
          <w:szCs w:val="22"/>
        </w:rPr>
        <w:t xml:space="preserve">Lenalidomide 25 mg PO days 1 to 21 of 28-day cycle + dexamethasone 40 mg weekly. Until progression or unacceptable toxicity.</w:t>
      </w:r>
    </w:p>
    <w:p>
      <w:pPr>
        <w:spacing w:after="40" w:before="40" w:line="300"/>
        <w:jc w:val="left"/>
      </w:pPr>
      <w:r>
        <w:rPr>
          <w:rFonts w:ascii="Georgia" w:cs="Georgia" w:eastAsia="Georgia" w:hAnsi="Georgia"/>
          <w:b/>
          <w:bCs/>
          <w:i w:val="false"/>
          <w:iCs w:val="false"/>
          <w:color w:val="1D1D1D"/>
          <w:sz w:val="22"/>
          <w:szCs w:val="22"/>
        </w:rPr>
        <w:t xml:space="preserve">NICE TA: </w:t>
      </w:r>
      <w:r>
        <w:rPr>
          <w:rFonts w:ascii="Georgia" w:cs="Georgia" w:eastAsia="Georgia" w:hAnsi="Georgia"/>
          <w:b w:val="false"/>
          <w:bCs w:val="false"/>
          <w:i w:val="false"/>
          <w:iCs w:val="false"/>
          <w:color w:val="1D1D1D"/>
          <w:sz w:val="22"/>
          <w:szCs w:val="22"/>
        </w:rPr>
        <w:t xml:space="preserve">TA587 (2019), recommended for previously untreated myeloma.</w:t>
      </w:r>
    </w:p>
    <w:p>
      <w:pPr>
        <w:spacing w:after="40" w:before="40" w:line="300"/>
        <w:jc w:val="left"/>
      </w:pPr>
      <w:r>
        <w:rPr>
          <w:rFonts w:ascii="Georgia" w:cs="Georgia" w:eastAsia="Georgia" w:hAnsi="Georgia"/>
          <w:b/>
          <w:bCs/>
          <w:i w:val="false"/>
          <w:iCs w:val="false"/>
          <w:color w:val="1D1D1D"/>
          <w:sz w:val="22"/>
          <w:szCs w:val="22"/>
        </w:rPr>
        <w:t xml:space="preserve">Notes: </w:t>
      </w:r>
      <w:r>
        <w:rPr>
          <w:rFonts w:ascii="Georgia" w:cs="Georgia" w:eastAsia="Georgia" w:hAnsi="Georgia"/>
          <w:b w:val="false"/>
          <w:bCs w:val="false"/>
          <w:i w:val="false"/>
          <w:iCs w:val="false"/>
          <w:color w:val="1D1D1D"/>
          <w:sz w:val="22"/>
          <w:szCs w:val="22"/>
        </w:rPr>
        <w:t xml:space="preserve">Pragmatic option in older or frail patients. Dose-reduce dexamethasone to 20 mg weekly in those aged 75 or over or frail by IMWG frailty score. Continuous lenalidomide (Rd) outperforms fixed-duration Rd18.</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D8C9CB" w:sz="4"/>
              <w:left w:val="single" w:color="C87A00" w:sz="16"/>
              <w:bottom w:val="single" w:color="D8C9CB" w:sz="4"/>
              <w:right w:val="single" w:color="D8C9CB" w:sz="4"/>
            </w:tcBorders>
            <w:shd w:fill="FFF4E0" w:val="clear"/>
            <w:tcMar>
              <w:top w:type="dxa" w:w="140"/>
              <w:left w:type="dxa" w:w="200"/>
              <w:bottom w:type="dxa" w:w="140"/>
              <w:right w:type="dxa" w:w="160"/>
            </w:tcMar>
          </w:tcPr>
          <w:p>
            <w:pPr>
              <w:spacing w:after="80" w:before="0"/>
            </w:pPr>
            <w:r>
              <w:rPr>
                <w:rFonts w:ascii="Georgia" w:cs="Georgia" w:eastAsia="Georgia" w:hAnsi="Georgia"/>
                <w:b/>
                <w:bCs/>
                <w:color w:val="C87A00"/>
                <w:sz w:val="22"/>
                <w:szCs w:val="22"/>
              </w:rPr>
              <w:t xml:space="preserve">Reviewer note — daratumumab-containing quadruplets for transplant-ineligible NDMM</w:t>
            </w:r>
          </w:p>
          <w:p>
            <w:pPr>
              <w:spacing w:after="0" w:before="0" w:line="280"/>
            </w:pPr>
            <w:r>
              <w:rPr>
                <w:rFonts w:ascii="Georgia" w:cs="Georgia" w:eastAsia="Georgia" w:hAnsi="Georgia"/>
                <w:color w:val="1D1D1D"/>
                <w:sz w:val="22"/>
                <w:szCs w:val="22"/>
              </w:rPr>
              <w:t xml:space="preserve">Daratumumab-containing quadruplet regimens for transplant-ineligible NDMM (D-Rd per MAIA; D-VMP per ALCYONE) do not have a verified TA number in this draft. Verify current NICE TA, Blueteq and local formulary status before use rather than presenting these regimens as available. The NICE-appraised quadruplet for transplant-ineligible NDMM at the time of this draft is Isa-VRd (TA1098, September 2025).</w:t>
            </w:r>
          </w:p>
        </w:tc>
      </w:tr>
    </w:tbl>
    <w:p>
      <w:pPr>
        <w:spacing w:after="40" w:before="160" w:line="300"/>
        <w:jc w:val="left"/>
      </w:pPr>
      <w:r>
        <w:rPr>
          <w:rFonts w:ascii="Georgia" w:cs="Georgia" w:eastAsia="Georgia" w:hAnsi="Georgia"/>
          <w:b/>
          <w:bCs/>
          <w:i w:val="false"/>
          <w:iCs w:val="false"/>
          <w:color w:val="7A1F2B"/>
          <w:sz w:val="23"/>
          <w:szCs w:val="23"/>
        </w:rPr>
        <w:t xml:space="preserve">Isatuximab + bortezomib + lenalidomide + dexamethasone (Isa-VRd, IMROZ)</w:t>
      </w:r>
    </w:p>
    <w:p>
      <w:pPr>
        <w:spacing w:after="80" w:before="80" w:line="300"/>
        <w:jc w:val="left"/>
      </w:pPr>
      <w:r>
        <w:rPr>
          <w:rFonts w:ascii="Georgia" w:cs="Georgia" w:eastAsia="Georgia" w:hAnsi="Georgia"/>
          <w:b/>
          <w:bCs/>
          <w:i w:val="false"/>
          <w:iCs w:val="false"/>
          <w:color w:val="7A1F2B"/>
          <w:sz w:val="20"/>
          <w:szCs w:val="20"/>
        </w:rPr>
        <w:t xml:space="preserve">NICE TA1098</w:t>
      </w:r>
      <w:r>
        <w:rPr>
          <w:rFonts w:ascii="Georgia" w:cs="Georgia" w:eastAsia="Georgia" w:hAnsi="Georgia"/>
          <w:b w:val="false"/>
          <w:bCs w:val="false"/>
          <w:i w:val="false"/>
          <w:iCs w:val="false"/>
          <w:color w:val="1D1D1D"/>
          <w:sz w:val="22"/>
          <w:szCs w:val="22"/>
        </w:rPr>
        <w:t xml:space="preserve">   </w:t>
      </w:r>
      <w:r>
        <w:rPr>
          <w:rFonts w:ascii="Georgia" w:cs="Georgia" w:eastAsia="Georgia" w:hAnsi="Georgia"/>
          <w:b/>
          <w:bCs/>
          <w:i w:val="false"/>
          <w:iCs w:val="false"/>
          <w:color w:val="2A6B3B"/>
          <w:sz w:val="20"/>
          <w:szCs w:val="20"/>
        </w:rPr>
        <w:t xml:space="preserve">High / Strong</w:t>
      </w:r>
    </w:p>
    <w:p>
      <w:pPr>
        <w:spacing w:after="40" w:before="40" w:line="300"/>
        <w:jc w:val="left"/>
      </w:pPr>
      <w:r>
        <w:rPr>
          <w:rFonts w:ascii="Georgia" w:cs="Georgia" w:eastAsia="Georgia" w:hAnsi="Georgia"/>
          <w:b/>
          <w:bCs/>
          <w:i w:val="false"/>
          <w:iCs w:val="false"/>
          <w:color w:val="1D1D1D"/>
          <w:sz w:val="22"/>
          <w:szCs w:val="22"/>
        </w:rPr>
        <w:t xml:space="preserve">Dose: </w:t>
      </w:r>
      <w:r>
        <w:rPr>
          <w:rFonts w:ascii="Georgia" w:cs="Georgia" w:eastAsia="Georgia" w:hAnsi="Georgia"/>
          <w:b w:val="false"/>
          <w:bCs w:val="false"/>
          <w:i w:val="false"/>
          <w:iCs w:val="false"/>
          <w:color w:val="1D1D1D"/>
          <w:sz w:val="22"/>
          <w:szCs w:val="22"/>
        </w:rPr>
        <w:t xml:space="preserve">Isatuximab 10 mg/kg IV + bortezomib 1.3 mg/m squared SC + lenalidomide 25 mg PO days 1 to 21 + dexamethasone, per IMROZ schedule. Dose example only — verify against current SmPC, local e-prescribing protocol, renal/hepatic and frailty modifications, and pharmacy verification before any prescribing.</w:t>
      </w:r>
    </w:p>
    <w:p>
      <w:pPr>
        <w:spacing w:after="40" w:before="40" w:line="300"/>
        <w:jc w:val="left"/>
      </w:pPr>
      <w:r>
        <w:rPr>
          <w:rFonts w:ascii="Georgia" w:cs="Georgia" w:eastAsia="Georgia" w:hAnsi="Georgia"/>
          <w:b/>
          <w:bCs/>
          <w:i w:val="false"/>
          <w:iCs w:val="false"/>
          <w:color w:val="1D1D1D"/>
          <w:sz w:val="22"/>
          <w:szCs w:val="22"/>
        </w:rPr>
        <w:t xml:space="preserve">NICE TA: </w:t>
      </w:r>
      <w:r>
        <w:rPr>
          <w:rFonts w:ascii="Georgia" w:cs="Georgia" w:eastAsia="Georgia" w:hAnsi="Georgia"/>
          <w:b w:val="false"/>
          <w:bCs w:val="false"/>
          <w:i w:val="false"/>
          <w:iCs w:val="false"/>
          <w:color w:val="1D1D1D"/>
          <w:sz w:val="22"/>
          <w:szCs w:val="22"/>
        </w:rPr>
        <w:t xml:space="preserve">TA1098 (September 2025), recommended for untreated multiple myeloma in adults when an autologous stem cell transplant is unsuitable, subject to simple discount commercial arrangement. Confirm final recommendation wording and local commissioning before use.</w:t>
      </w:r>
    </w:p>
    <w:p>
      <w:pPr>
        <w:spacing w:after="40" w:before="40" w:line="300"/>
        <w:jc w:val="left"/>
      </w:pPr>
      <w:r>
        <w:rPr>
          <w:rFonts w:ascii="Georgia" w:cs="Georgia" w:eastAsia="Georgia" w:hAnsi="Georgia"/>
          <w:b/>
          <w:bCs/>
          <w:i w:val="false"/>
          <w:iCs w:val="false"/>
          <w:color w:val="1D1D1D"/>
          <w:sz w:val="22"/>
          <w:szCs w:val="22"/>
        </w:rPr>
        <w:t xml:space="preserve">Trial basis: </w:t>
      </w:r>
      <w:r>
        <w:rPr>
          <w:rFonts w:ascii="Georgia" w:cs="Georgia" w:eastAsia="Georgia" w:hAnsi="Georgia"/>
          <w:b w:val="false"/>
          <w:bCs w:val="false"/>
          <w:i w:val="false"/>
          <w:iCs w:val="false"/>
          <w:color w:val="1D1D1D"/>
          <w:sz w:val="22"/>
          <w:szCs w:val="22"/>
        </w:rPr>
        <w:t xml:space="preserve">IMROZ (Facon et al., NEJM 2024). Isa-VRd improved PFS versus VRd in transplant-ineligible NDMM.</w:t>
      </w:r>
    </w:p>
    <w:p>
      <w:pPr>
        <w:spacing w:after="40" w:before="40" w:line="300"/>
        <w:jc w:val="left"/>
      </w:pPr>
      <w:r>
        <w:rPr>
          <w:rFonts w:ascii="Georgia" w:cs="Georgia" w:eastAsia="Georgia" w:hAnsi="Georgia"/>
          <w:b/>
          <w:bCs/>
          <w:i w:val="false"/>
          <w:iCs w:val="false"/>
          <w:color w:val="1D1D1D"/>
          <w:sz w:val="22"/>
          <w:szCs w:val="22"/>
        </w:rPr>
        <w:t xml:space="preserve">Notes: </w:t>
      </w:r>
      <w:r>
        <w:rPr>
          <w:rFonts w:ascii="Georgia" w:cs="Georgia" w:eastAsia="Georgia" w:hAnsi="Georgia"/>
          <w:b w:val="false"/>
          <w:bCs w:val="false"/>
          <w:i w:val="false"/>
          <w:iCs w:val="false"/>
          <w:color w:val="1D1D1D"/>
          <w:sz w:val="22"/>
          <w:szCs w:val="22"/>
        </w:rPr>
        <w:t xml:space="preserve">NICE-appraised anti-CD38 quadruplet for transplant-ineligible NDMM. Adds a new first-line option alongside Rd (TA587) for this group.</w:t>
      </w:r>
    </w:p>
    <w:p>
      <w:pPr>
        <w:spacing w:after="40" w:before="160" w:line="300"/>
        <w:jc w:val="left"/>
      </w:pPr>
      <w:r>
        <w:rPr>
          <w:rFonts w:ascii="Georgia" w:cs="Georgia" w:eastAsia="Georgia" w:hAnsi="Georgia"/>
          <w:b/>
          <w:bCs/>
          <w:i w:val="false"/>
          <w:iCs w:val="false"/>
          <w:color w:val="7A1F2B"/>
          <w:sz w:val="23"/>
          <w:szCs w:val="23"/>
        </w:rPr>
        <w:t xml:space="preserve">Daratumumab + bortezomib + lenalidomide + dexamethasone (D-VRd, PERSEUS) — horizon/evidence only</w:t>
      </w:r>
    </w:p>
    <w:p>
      <w:pPr>
        <w:spacing w:after="80" w:before="80" w:line="300"/>
        <w:jc w:val="left"/>
      </w:pPr>
      <w:r>
        <w:rPr>
          <w:rFonts w:ascii="Georgia" w:cs="Georgia" w:eastAsia="Georgia" w:hAnsi="Georgia"/>
          <w:b/>
          <w:bCs/>
          <w:i w:val="false"/>
          <w:iCs w:val="false"/>
          <w:color w:val="C87A00"/>
          <w:sz w:val="20"/>
          <w:szCs w:val="20"/>
        </w:rPr>
        <w:t xml:space="preserve">NICE GID-TA10726 / ID3843 — in development</w:t>
      </w:r>
      <w:r>
        <w:rPr>
          <w:rFonts w:ascii="Georgia" w:cs="Georgia" w:eastAsia="Georgia" w:hAnsi="Georgia"/>
          <w:b w:val="false"/>
          <w:bCs w:val="false"/>
          <w:i w:val="false"/>
          <w:iCs w:val="false"/>
          <w:color w:val="1D1D1D"/>
          <w:sz w:val="22"/>
          <w:szCs w:val="22"/>
        </w:rPr>
        <w:t xml:space="preserve">   </w:t>
      </w:r>
      <w:r>
        <w:rPr>
          <w:rFonts w:ascii="Georgia" w:cs="Georgia" w:eastAsia="Georgia" w:hAnsi="Georgia"/>
          <w:b/>
          <w:bCs/>
          <w:i w:val="false"/>
          <w:iCs w:val="false"/>
          <w:color w:val="2A6B3B"/>
          <w:sz w:val="20"/>
          <w:szCs w:val="20"/>
        </w:rPr>
        <w:t xml:space="preserve">High / Strong (trial evidence)</w:t>
      </w:r>
    </w:p>
    <w:p>
      <w:pPr>
        <w:spacing w:after="40" w:before="40" w:line="300"/>
        <w:jc w:val="left"/>
      </w:pPr>
      <w:r>
        <w:rPr>
          <w:rFonts w:ascii="Georgia" w:cs="Georgia" w:eastAsia="Georgia" w:hAnsi="Georgia"/>
          <w:b/>
          <w:bCs/>
          <w:i w:val="false"/>
          <w:iCs w:val="false"/>
          <w:color w:val="1D1D1D"/>
          <w:sz w:val="22"/>
          <w:szCs w:val="22"/>
        </w:rPr>
        <w:t xml:space="preserve">Pathway placement: </w:t>
      </w:r>
      <w:r>
        <w:rPr>
          <w:rFonts w:ascii="Georgia" w:cs="Georgia" w:eastAsia="Georgia" w:hAnsi="Georgia"/>
          <w:b w:val="false"/>
          <w:bCs w:val="false"/>
          <w:i w:val="false"/>
          <w:iCs w:val="false"/>
          <w:color w:val="1D1D1D"/>
          <w:sz w:val="22"/>
          <w:szCs w:val="22"/>
        </w:rPr>
        <w:t xml:space="preserve">Horizon/evidence only. Cited NICE GID-TA10726 / ID3843 currently relates to untreated myeloma when stem cell transplant is unsuitable. Verify live NICE indication before pathway placement. Not commissioned for the transplant-eligible setting.</w:t>
      </w:r>
    </w:p>
    <w:p>
      <w:pPr>
        <w:spacing w:after="40" w:before="40" w:line="300"/>
        <w:jc w:val="left"/>
      </w:pPr>
      <w:r>
        <w:rPr>
          <w:rFonts w:ascii="Georgia" w:cs="Georgia" w:eastAsia="Georgia" w:hAnsi="Georgia"/>
          <w:b/>
          <w:bCs/>
          <w:i w:val="false"/>
          <w:iCs w:val="false"/>
          <w:color w:val="1D1D1D"/>
          <w:sz w:val="22"/>
          <w:szCs w:val="22"/>
        </w:rPr>
        <w:t xml:space="preserve">Dose: </w:t>
      </w:r>
      <w:r>
        <w:rPr>
          <w:rFonts w:ascii="Georgia" w:cs="Georgia" w:eastAsia="Georgia" w:hAnsi="Georgia"/>
          <w:b w:val="false"/>
          <w:bCs w:val="false"/>
          <w:i w:val="false"/>
          <w:iCs w:val="false"/>
          <w:color w:val="1D1D1D"/>
          <w:sz w:val="22"/>
          <w:szCs w:val="22"/>
        </w:rPr>
        <w:t xml:space="preserve">Daratumumab subcutaneous schedule + bortezomib 1.3 mg/m squared SC + lenalidomide 25 mg PO days 1 to 21 + dexamethasone, in 28-day cycles, induction (four cycles), ASCT (in the PERSEUS trial), consolidation (two cycles), D-R maintenance. Dose example only — verify against current SmPC, local e-prescribing protocol, renal/hepatic and frailty modifications, and pharmacy verification before any prescribing.</w:t>
      </w:r>
    </w:p>
    <w:p>
      <w:pPr>
        <w:spacing w:after="40" w:before="40" w:line="300"/>
        <w:jc w:val="left"/>
      </w:pPr>
      <w:r>
        <w:rPr>
          <w:rFonts w:ascii="Georgia" w:cs="Georgia" w:eastAsia="Georgia" w:hAnsi="Georgia"/>
          <w:b/>
          <w:bCs/>
          <w:i w:val="false"/>
          <w:iCs w:val="false"/>
          <w:color w:val="1D1D1D"/>
          <w:sz w:val="22"/>
          <w:szCs w:val="22"/>
        </w:rPr>
        <w:t xml:space="preserve">Trial basis: </w:t>
      </w:r>
      <w:r>
        <w:rPr>
          <w:rFonts w:ascii="Georgia" w:cs="Georgia" w:eastAsia="Georgia" w:hAnsi="Georgia"/>
          <w:b w:val="false"/>
          <w:bCs w:val="false"/>
          <w:i w:val="false"/>
          <w:iCs w:val="false"/>
          <w:color w:val="1D1D1D"/>
          <w:sz w:val="22"/>
          <w:szCs w:val="22"/>
        </w:rPr>
        <w:t xml:space="preserve">PERSEUS (Sonneveld et al., NEJM 2024). D-VRd induction and consolidation with D-R maintenance improved PFS over VRd with R maintenance, with deeper MRD response. PERSEUS was conducted in transplant-eligible NDMM; the NICE in-development appraisal under GID-TA10726 / ID3843 addresses the transplant-unsuitable population specifically.</w:t>
      </w:r>
    </w:p>
    <w:p>
      <w:pPr>
        <w:spacing w:after="40" w:before="40" w:line="300"/>
        <w:jc w:val="left"/>
      </w:pPr>
      <w:r>
        <w:rPr>
          <w:rFonts w:ascii="Georgia" w:cs="Georgia" w:eastAsia="Georgia" w:hAnsi="Georgia"/>
          <w:b/>
          <w:bCs/>
          <w:i w:val="false"/>
          <w:iCs w:val="false"/>
          <w:color w:val="1D1D1D"/>
          <w:sz w:val="22"/>
          <w:szCs w:val="22"/>
        </w:rPr>
        <w:t xml:space="preserve">Notes: </w:t>
      </w:r>
      <w:r>
        <w:rPr>
          <w:rFonts w:ascii="Georgia" w:cs="Georgia" w:eastAsia="Georgia" w:hAnsi="Georgia"/>
          <w:b w:val="false"/>
          <w:bCs w:val="false"/>
          <w:i w:val="false"/>
          <w:iCs w:val="false"/>
          <w:color w:val="1D1D1D"/>
          <w:sz w:val="22"/>
          <w:szCs w:val="22"/>
        </w:rPr>
        <w:t xml:space="preserve">Not routinely commissioned in NHS England at the time of this draft. The v0.3 draft incorrectly cited TA11254; corrected to GID-TA10726 / ID3843 in v0.4 and the indication clarified as transplant-unsuitable in v0.4.1. Do not present as routinely commissioned. See Section 1A NICE Horizon Scanning.</w:t>
      </w:r>
    </w:p>
    <w:p>
      <w:pPr>
        <w:pStyle w:val="Heading1"/>
        <w:spacing w:after="160" w:before="360"/>
      </w:pPr>
      <w:r>
        <w:rPr>
          <w:rFonts w:ascii="Georgia" w:cs="Georgia" w:eastAsia="Georgia" w:hAnsi="Georgia"/>
          <w:b/>
          <w:bCs/>
          <w:color w:val="7A1F2B"/>
          <w:sz w:val="30"/>
          <w:szCs w:val="30"/>
        </w:rPr>
        <w:t xml:space="preserve">9. </w:t>
      </w:r>
      <w:r>
        <w:rPr>
          <w:rFonts w:ascii="Georgia" w:cs="Georgia" w:eastAsia="Georgia" w:hAnsi="Georgia"/>
          <w:b/>
          <w:bCs/>
          <w:color w:val="7A1F2B"/>
          <w:sz w:val="30"/>
          <w:szCs w:val="30"/>
        </w:rPr>
        <w:t xml:space="preserve">High-Risk and Transplant-Eligible NDMM</w:t>
      </w:r>
    </w:p>
    <w:p>
      <w:pPr>
        <w:spacing w:after="80" w:before="80" w:line="300"/>
        <w:jc w:val="left"/>
      </w:pPr>
      <w:r>
        <w:rPr>
          <w:rFonts w:ascii="Georgia" w:cs="Georgia" w:eastAsia="Georgia" w:hAnsi="Georgia"/>
          <w:b w:val="false"/>
          <w:bCs w:val="false"/>
          <w:i w:val="false"/>
          <w:iCs w:val="false"/>
          <w:color w:val="1D1D1D"/>
          <w:sz w:val="22"/>
          <w:szCs w:val="22"/>
        </w:rPr>
        <w:t xml:space="preserve">Approximately 25 per cent of transplant-eligible patients experience early relapse after high-dose melphalan and ASCT. These patients have substantially shortened overall survival and are now defined by molecular features.</w:t>
      </w:r>
    </w:p>
    <w:p>
      <w:pPr>
        <w:spacing w:after="80" w:before="180"/>
      </w:pPr>
      <w:r>
        <w:rPr>
          <w:rFonts w:ascii="Georgia" w:cs="Georgia" w:eastAsia="Georgia" w:hAnsi="Georgia"/>
          <w:b/>
          <w:bCs/>
          <w:color w:val="1D1D1D"/>
          <w:sz w:val="24"/>
          <w:szCs w:val="24"/>
        </w:rPr>
        <w:t xml:space="preserve">Molecular definition (BSH 2024)</w:t>
      </w:r>
    </w:p>
    <w:p>
      <w:pPr>
        <w:pStyle w:val="ListParagraph"/>
        <w:numPr>
          <w:ilvl w:val="0"/>
          <w:numId w:val="2"/>
        </w:numPr>
        <w:spacing w:after="40" w:before="40" w:line="280"/>
      </w:pPr>
      <w:r>
        <w:rPr>
          <w:rFonts w:ascii="Georgia" w:cs="Georgia" w:eastAsia="Georgia" w:hAnsi="Georgia"/>
          <w:b w:val="false"/>
          <w:bCs w:val="false"/>
          <w:i w:val="false"/>
          <w:iCs w:val="false"/>
          <w:color w:val="1D1D1D"/>
          <w:sz w:val="22"/>
          <w:szCs w:val="22"/>
        </w:rPr>
        <w:t xml:space="preserve">Two or more high-risk cytogenetic abnormalities (2+ HRCA, also called double-hit): any pair drawn from t(4;14), t(14;16), t(14;20), del(1p), gain(1q) and del(17p).</w:t>
      </w:r>
    </w:p>
    <w:p>
      <w:pPr>
        <w:pStyle w:val="ListParagraph"/>
        <w:numPr>
          <w:ilvl w:val="0"/>
          <w:numId w:val="2"/>
        </w:numPr>
        <w:spacing w:after="40" w:before="40" w:line="280"/>
      </w:pPr>
      <w:r>
        <w:rPr>
          <w:rFonts w:ascii="Georgia" w:cs="Georgia" w:eastAsia="Georgia" w:hAnsi="Georgia"/>
          <w:b w:val="false"/>
          <w:bCs w:val="false"/>
          <w:i w:val="false"/>
          <w:iCs w:val="false"/>
          <w:color w:val="1D1D1D"/>
          <w:sz w:val="22"/>
          <w:szCs w:val="22"/>
        </w:rPr>
        <w:t xml:space="preserve">SKY92 GEP high-risk signature (an additional approximately 10 per cent of HRMM).</w:t>
      </w:r>
    </w:p>
    <w:p>
      <w:pPr>
        <w:pStyle w:val="ListParagraph"/>
        <w:numPr>
          <w:ilvl w:val="0"/>
          <w:numId w:val="2"/>
        </w:numPr>
        <w:spacing w:after="40" w:before="40" w:line="280"/>
      </w:pPr>
      <w:r>
        <w:rPr>
          <w:rFonts w:ascii="Georgia" w:cs="Georgia" w:eastAsia="Georgia" w:hAnsi="Georgia"/>
          <w:b w:val="false"/>
          <w:bCs w:val="false"/>
          <w:i w:val="false"/>
          <w:iCs w:val="false"/>
          <w:color w:val="1D1D1D"/>
          <w:sz w:val="22"/>
          <w:szCs w:val="22"/>
        </w:rPr>
        <w:t xml:space="preserve">Primary plasma cell leukaemia (5 per cent or more circulating plasma cells, IMWG 2021 redefinition).</w:t>
      </w:r>
    </w:p>
    <w:p>
      <w:pPr>
        <w:pStyle w:val="ListParagraph"/>
        <w:numPr>
          <w:ilvl w:val="0"/>
          <w:numId w:val="2"/>
        </w:numPr>
        <w:spacing w:after="40" w:before="40" w:line="280"/>
      </w:pPr>
      <w:r>
        <w:rPr>
          <w:rFonts w:ascii="Georgia" w:cs="Georgia" w:eastAsia="Georgia" w:hAnsi="Georgia"/>
          <w:b w:val="false"/>
          <w:bCs w:val="false"/>
          <w:i w:val="false"/>
          <w:iCs w:val="false"/>
          <w:color w:val="1D1D1D"/>
          <w:sz w:val="22"/>
          <w:szCs w:val="22"/>
        </w:rPr>
        <w:t xml:space="preserve">Extramedullary disease at diagnosis is associated with HRCA and a high-risk gene expression profile.</w:t>
      </w:r>
    </w:p>
    <w:p>
      <w:pPr>
        <w:spacing w:after="80" w:before="180"/>
      </w:pPr>
      <w:r>
        <w:rPr>
          <w:rFonts w:ascii="Georgia" w:cs="Georgia" w:eastAsia="Georgia" w:hAnsi="Georgia"/>
          <w:b/>
          <w:bCs/>
          <w:color w:val="1D1D1D"/>
          <w:sz w:val="24"/>
          <w:szCs w:val="24"/>
        </w:rPr>
        <w:t xml:space="preserve">Stratified treatment evidence base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0"/>
        <w:gridCol w:w="2400"/>
        <w:gridCol w:w="2400"/>
        <w:gridCol w:w="2226"/>
      </w:tblGrid>
      <w:tr>
        <w:trPr>
          <w:tblHeader/>
        </w:trPr>
        <w:tc>
          <w:tcPr>
            <w:tcW w:type="dxa" w:w="2000"/>
            <w:tcBorders>
              <w:top w:val="single" w:color="D8C9CB" w:sz="4"/>
              <w:left w:val="single" w:color="D8C9CB" w:sz="4"/>
              <w:bottom w:val="single" w:color="D8C9CB" w:sz="4"/>
              <w:right w:val="single" w:color="D8C9CB" w:sz="4"/>
            </w:tcBorders>
            <w:shd w:fill="F5E9EB" w:val="clear"/>
            <w:tcMar>
              <w:top w:type="dxa" w:w="80"/>
              <w:left w:type="dxa" w:w="120"/>
              <w:bottom w:type="dxa" w:w="80"/>
              <w:right w:type="dxa" w:w="120"/>
            </w:tcMar>
          </w:tcPr>
          <w:p>
            <w:pPr>
              <w:spacing w:after="0" w:before="0" w:line="260"/>
            </w:pPr>
            <w:r>
              <w:rPr>
                <w:rFonts w:ascii="Georgia" w:cs="Georgia" w:eastAsia="Georgia" w:hAnsi="Georgia"/>
                <w:b/>
                <w:bCs/>
                <w:color w:val="7A1F2B"/>
                <w:sz w:val="20"/>
                <w:szCs w:val="20"/>
              </w:rPr>
              <w:t xml:space="preserve">Trial</w:t>
            </w:r>
          </w:p>
        </w:tc>
        <w:tc>
          <w:tcPr>
            <w:tcW w:type="dxa" w:w="2400"/>
            <w:tcBorders>
              <w:top w:val="single" w:color="D8C9CB" w:sz="4"/>
              <w:left w:val="single" w:color="D8C9CB" w:sz="4"/>
              <w:bottom w:val="single" w:color="D8C9CB" w:sz="4"/>
              <w:right w:val="single" w:color="D8C9CB" w:sz="4"/>
            </w:tcBorders>
            <w:shd w:fill="F5E9EB" w:val="clear"/>
            <w:tcMar>
              <w:top w:type="dxa" w:w="80"/>
              <w:left w:type="dxa" w:w="120"/>
              <w:bottom w:type="dxa" w:w="80"/>
              <w:right w:type="dxa" w:w="120"/>
            </w:tcMar>
          </w:tcPr>
          <w:p>
            <w:pPr>
              <w:spacing w:after="0" w:before="0" w:line="260"/>
            </w:pPr>
            <w:r>
              <w:rPr>
                <w:rFonts w:ascii="Georgia" w:cs="Georgia" w:eastAsia="Georgia" w:hAnsi="Georgia"/>
                <w:b/>
                <w:bCs/>
                <w:color w:val="7A1F2B"/>
                <w:sz w:val="20"/>
                <w:szCs w:val="20"/>
              </w:rPr>
              <w:t xml:space="preserve">Population</w:t>
            </w:r>
          </w:p>
        </w:tc>
        <w:tc>
          <w:tcPr>
            <w:tcW w:type="dxa" w:w="2400"/>
            <w:tcBorders>
              <w:top w:val="single" w:color="D8C9CB" w:sz="4"/>
              <w:left w:val="single" w:color="D8C9CB" w:sz="4"/>
              <w:bottom w:val="single" w:color="D8C9CB" w:sz="4"/>
              <w:right w:val="single" w:color="D8C9CB" w:sz="4"/>
            </w:tcBorders>
            <w:shd w:fill="F5E9EB" w:val="clear"/>
            <w:tcMar>
              <w:top w:type="dxa" w:w="80"/>
              <w:left w:type="dxa" w:w="120"/>
              <w:bottom w:type="dxa" w:w="80"/>
              <w:right w:type="dxa" w:w="120"/>
            </w:tcMar>
          </w:tcPr>
          <w:p>
            <w:pPr>
              <w:spacing w:after="0" w:before="0" w:line="260"/>
            </w:pPr>
            <w:r>
              <w:rPr>
                <w:rFonts w:ascii="Georgia" w:cs="Georgia" w:eastAsia="Georgia" w:hAnsi="Georgia"/>
                <w:b/>
                <w:bCs/>
                <w:color w:val="7A1F2B"/>
                <w:sz w:val="20"/>
                <w:szCs w:val="20"/>
              </w:rPr>
              <w:t xml:space="preserve">Regimen</w:t>
            </w:r>
          </w:p>
        </w:tc>
        <w:tc>
          <w:tcPr>
            <w:tcW w:type="dxa" w:w="2226"/>
            <w:tcBorders>
              <w:top w:val="single" w:color="D8C9CB" w:sz="4"/>
              <w:left w:val="single" w:color="D8C9CB" w:sz="4"/>
              <w:bottom w:val="single" w:color="D8C9CB" w:sz="4"/>
              <w:right w:val="single" w:color="D8C9CB" w:sz="4"/>
            </w:tcBorders>
            <w:shd w:fill="F5E9EB" w:val="clear"/>
            <w:tcMar>
              <w:top w:type="dxa" w:w="80"/>
              <w:left w:type="dxa" w:w="120"/>
              <w:bottom w:type="dxa" w:w="80"/>
              <w:right w:type="dxa" w:w="120"/>
            </w:tcMar>
          </w:tcPr>
          <w:p>
            <w:pPr>
              <w:spacing w:after="0" w:before="0" w:line="260"/>
            </w:pPr>
            <w:r>
              <w:rPr>
                <w:rFonts w:ascii="Georgia" w:cs="Georgia" w:eastAsia="Georgia" w:hAnsi="Georgia"/>
                <w:b/>
                <w:bCs/>
                <w:color w:val="7A1F2B"/>
                <w:sz w:val="20"/>
                <w:szCs w:val="20"/>
              </w:rPr>
              <w:t xml:space="preserve">30-month PFS</w:t>
            </w:r>
          </w:p>
        </w:tc>
      </w:tr>
      <w:tr>
        <w:tc>
          <w:tcPr>
            <w:tcW w:type="dxa" w:w="2000"/>
            <w:tcBorders>
              <w:top w:val="single" w:color="D8C9CB" w:sz="4"/>
              <w:left w:val="single" w:color="D8C9CB" w:sz="4"/>
              <w:bottom w:val="single" w:color="D8C9CB" w:sz="4"/>
              <w:right w:val="single" w:color="D8C9CB" w:sz="4"/>
            </w:tcBorders>
            <w:tcMar>
              <w:top w:type="dxa" w:w="80"/>
              <w:left w:type="dxa" w:w="120"/>
              <w:bottom w:type="dxa" w:w="80"/>
              <w:right w:type="dxa" w:w="120"/>
            </w:tcMar>
          </w:tcPr>
          <w:p>
            <w:pPr>
              <w:spacing w:after="0" w:before="0" w:line="260"/>
            </w:pPr>
            <w:r>
              <w:rPr>
                <w:rFonts w:ascii="Georgia" w:cs="Georgia" w:eastAsia="Georgia" w:hAnsi="Georgia"/>
                <w:b w:val="false"/>
                <w:bCs w:val="false"/>
                <w:color w:val="1D1D1D"/>
                <w:sz w:val="20"/>
                <w:szCs w:val="20"/>
              </w:rPr>
              <w:t xml:space="preserve">OPTIMUM / MUKnine (UK)</w:t>
            </w:r>
          </w:p>
        </w:tc>
        <w:tc>
          <w:tcPr>
            <w:tcW w:type="dxa" w:w="2400"/>
            <w:tcBorders>
              <w:top w:val="single" w:color="D8C9CB" w:sz="4"/>
              <w:left w:val="single" w:color="D8C9CB" w:sz="4"/>
              <w:bottom w:val="single" w:color="D8C9CB" w:sz="4"/>
              <w:right w:val="single" w:color="D8C9CB" w:sz="4"/>
            </w:tcBorders>
            <w:tcMar>
              <w:top w:type="dxa" w:w="80"/>
              <w:left w:type="dxa" w:w="120"/>
              <w:bottom w:type="dxa" w:w="80"/>
              <w:right w:type="dxa" w:w="120"/>
            </w:tcMar>
          </w:tcPr>
          <w:p>
            <w:pPr>
              <w:spacing w:after="0" w:before="0" w:line="260"/>
            </w:pPr>
            <w:r>
              <w:rPr>
                <w:rFonts w:ascii="Georgia" w:cs="Georgia" w:eastAsia="Georgia" w:hAnsi="Georgia"/>
                <w:b w:val="false"/>
                <w:bCs w:val="false"/>
                <w:color w:val="1D1D1D"/>
                <w:sz w:val="20"/>
                <w:szCs w:val="20"/>
              </w:rPr>
              <w:t xml:space="preserve">2+ HRCA, SKY92 high-risk GEP or PCL</w:t>
            </w:r>
          </w:p>
        </w:tc>
        <w:tc>
          <w:tcPr>
            <w:tcW w:type="dxa" w:w="2400"/>
            <w:tcBorders>
              <w:top w:val="single" w:color="D8C9CB" w:sz="4"/>
              <w:left w:val="single" w:color="D8C9CB" w:sz="4"/>
              <w:bottom w:val="single" w:color="D8C9CB" w:sz="4"/>
              <w:right w:val="single" w:color="D8C9CB" w:sz="4"/>
            </w:tcBorders>
            <w:tcMar>
              <w:top w:type="dxa" w:w="80"/>
              <w:left w:type="dxa" w:w="120"/>
              <w:bottom w:type="dxa" w:w="80"/>
              <w:right w:type="dxa" w:w="120"/>
            </w:tcMar>
          </w:tcPr>
          <w:p>
            <w:pPr>
              <w:spacing w:after="0" w:before="0" w:line="260"/>
            </w:pPr>
            <w:r>
              <w:rPr>
                <w:rFonts w:ascii="Georgia" w:cs="Georgia" w:eastAsia="Georgia" w:hAnsi="Georgia"/>
                <w:b w:val="false"/>
                <w:bCs w:val="false"/>
                <w:color w:val="1D1D1D"/>
                <w:sz w:val="20"/>
                <w:szCs w:val="20"/>
              </w:rPr>
              <w:t xml:space="preserve">Dara-CVRd induction, bortezomib-augmented ASCT, Dara-VRd consolidation 1, Dara-VR consolidation 2, Dara-R maintenance until progression</w:t>
            </w:r>
          </w:p>
        </w:tc>
        <w:tc>
          <w:tcPr>
            <w:tcW w:type="dxa" w:w="2226"/>
            <w:tcBorders>
              <w:top w:val="single" w:color="D8C9CB" w:sz="4"/>
              <w:left w:val="single" w:color="D8C9CB" w:sz="4"/>
              <w:bottom w:val="single" w:color="D8C9CB" w:sz="4"/>
              <w:right w:val="single" w:color="D8C9CB" w:sz="4"/>
            </w:tcBorders>
            <w:tcMar>
              <w:top w:type="dxa" w:w="80"/>
              <w:left w:type="dxa" w:w="120"/>
              <w:bottom w:type="dxa" w:w="80"/>
              <w:right w:type="dxa" w:w="120"/>
            </w:tcMar>
          </w:tcPr>
          <w:p>
            <w:pPr>
              <w:spacing w:after="0" w:before="0" w:line="260"/>
            </w:pPr>
            <w:r>
              <w:rPr>
                <w:rFonts w:ascii="Georgia" w:cs="Georgia" w:eastAsia="Georgia" w:hAnsi="Georgia"/>
                <w:b w:val="false"/>
                <w:bCs w:val="false"/>
                <w:color w:val="1D1D1D"/>
                <w:sz w:val="20"/>
                <w:szCs w:val="20"/>
              </w:rPr>
              <w:t xml:space="preserve">77% (40% in Myeloma XI comparator)</w:t>
            </w:r>
          </w:p>
        </w:tc>
      </w:tr>
      <w:tr>
        <w:tc>
          <w:tcPr>
            <w:tcW w:type="dxa" w:w="2000"/>
            <w:tcBorders>
              <w:top w:val="single" w:color="D8C9CB" w:sz="4"/>
              <w:left w:val="single" w:color="D8C9CB" w:sz="4"/>
              <w:bottom w:val="single" w:color="D8C9CB" w:sz="4"/>
              <w:right w:val="single" w:color="D8C9CB" w:sz="4"/>
            </w:tcBorders>
            <w:tcMar>
              <w:top w:type="dxa" w:w="80"/>
              <w:left w:type="dxa" w:w="120"/>
              <w:bottom w:type="dxa" w:w="80"/>
              <w:right w:type="dxa" w:w="120"/>
            </w:tcMar>
          </w:tcPr>
          <w:p>
            <w:pPr>
              <w:spacing w:after="0" w:before="0" w:line="260"/>
            </w:pPr>
            <w:r>
              <w:rPr>
                <w:rFonts w:ascii="Georgia" w:cs="Georgia" w:eastAsia="Georgia" w:hAnsi="Georgia"/>
                <w:b w:val="false"/>
                <w:bCs w:val="false"/>
                <w:color w:val="1D1D1D"/>
                <w:sz w:val="20"/>
                <w:szCs w:val="20"/>
              </w:rPr>
              <w:t xml:space="preserve">GMMG-CONCEPT</w:t>
            </w:r>
          </w:p>
        </w:tc>
        <w:tc>
          <w:tcPr>
            <w:tcW w:type="dxa" w:w="2400"/>
            <w:tcBorders>
              <w:top w:val="single" w:color="D8C9CB" w:sz="4"/>
              <w:left w:val="single" w:color="D8C9CB" w:sz="4"/>
              <w:bottom w:val="single" w:color="D8C9CB" w:sz="4"/>
              <w:right w:val="single" w:color="D8C9CB" w:sz="4"/>
            </w:tcBorders>
            <w:tcMar>
              <w:top w:type="dxa" w:w="80"/>
              <w:left w:type="dxa" w:w="120"/>
              <w:bottom w:type="dxa" w:w="80"/>
              <w:right w:type="dxa" w:w="120"/>
            </w:tcMar>
          </w:tcPr>
          <w:p>
            <w:pPr>
              <w:spacing w:after="0" w:before="0" w:line="260"/>
            </w:pPr>
            <w:r>
              <w:rPr>
                <w:rFonts w:ascii="Georgia" w:cs="Georgia" w:eastAsia="Georgia" w:hAnsi="Georgia"/>
                <w:b w:val="false"/>
                <w:bCs w:val="false"/>
                <w:color w:val="1D1D1D"/>
                <w:sz w:val="20"/>
                <w:szCs w:val="20"/>
              </w:rPr>
              <w:t xml:space="preserve">ISS 2/3 plus one or more of t(4;14), t(14;16), amp(1q)</w:t>
            </w:r>
          </w:p>
        </w:tc>
        <w:tc>
          <w:tcPr>
            <w:tcW w:type="dxa" w:w="2400"/>
            <w:tcBorders>
              <w:top w:val="single" w:color="D8C9CB" w:sz="4"/>
              <w:left w:val="single" w:color="D8C9CB" w:sz="4"/>
              <w:bottom w:val="single" w:color="D8C9CB" w:sz="4"/>
              <w:right w:val="single" w:color="D8C9CB" w:sz="4"/>
            </w:tcBorders>
            <w:tcMar>
              <w:top w:type="dxa" w:w="80"/>
              <w:left w:type="dxa" w:w="120"/>
              <w:bottom w:type="dxa" w:w="80"/>
              <w:right w:type="dxa" w:w="120"/>
            </w:tcMar>
          </w:tcPr>
          <w:p>
            <w:pPr>
              <w:spacing w:after="0" w:before="0" w:line="260"/>
            </w:pPr>
            <w:r>
              <w:rPr>
                <w:rFonts w:ascii="Georgia" w:cs="Georgia" w:eastAsia="Georgia" w:hAnsi="Georgia"/>
                <w:b w:val="false"/>
                <w:bCs w:val="false"/>
                <w:color w:val="1D1D1D"/>
                <w:sz w:val="20"/>
                <w:szCs w:val="20"/>
              </w:rPr>
              <w:t xml:space="preserve">Isa-KRd x 6, single ASCT, Isa-KRd x 4, Isa-KR maintenance x 26</w:t>
            </w:r>
          </w:p>
        </w:tc>
        <w:tc>
          <w:tcPr>
            <w:tcW w:type="dxa" w:w="2226"/>
            <w:tcBorders>
              <w:top w:val="single" w:color="D8C9CB" w:sz="4"/>
              <w:left w:val="single" w:color="D8C9CB" w:sz="4"/>
              <w:bottom w:val="single" w:color="D8C9CB" w:sz="4"/>
              <w:right w:val="single" w:color="D8C9CB" w:sz="4"/>
            </w:tcBorders>
            <w:tcMar>
              <w:top w:type="dxa" w:w="80"/>
              <w:left w:type="dxa" w:w="120"/>
              <w:bottom w:type="dxa" w:w="80"/>
              <w:right w:type="dxa" w:w="120"/>
            </w:tcMar>
          </w:tcPr>
          <w:p>
            <w:pPr>
              <w:spacing w:after="0" w:before="0" w:line="260"/>
            </w:pPr>
            <w:r>
              <w:rPr>
                <w:rFonts w:ascii="Georgia" w:cs="Georgia" w:eastAsia="Georgia" w:hAnsi="Georgia"/>
                <w:b w:val="false"/>
                <w:bCs w:val="false"/>
                <w:color w:val="1D1D1D"/>
                <w:sz w:val="20"/>
                <w:szCs w:val="20"/>
              </w:rPr>
              <w:t xml:space="preserve">78% (3-year PFS 68.9%)</w:t>
            </w:r>
          </w:p>
        </w:tc>
      </w:tr>
      <w:tr>
        <w:tc>
          <w:tcPr>
            <w:tcW w:type="dxa" w:w="2000"/>
            <w:tcBorders>
              <w:top w:val="single" w:color="D8C9CB" w:sz="4"/>
              <w:left w:val="single" w:color="D8C9CB" w:sz="4"/>
              <w:bottom w:val="single" w:color="D8C9CB" w:sz="4"/>
              <w:right w:val="single" w:color="D8C9CB" w:sz="4"/>
            </w:tcBorders>
            <w:tcMar>
              <w:top w:type="dxa" w:w="80"/>
              <w:left w:type="dxa" w:w="120"/>
              <w:bottom w:type="dxa" w:w="80"/>
              <w:right w:type="dxa" w:w="120"/>
            </w:tcMar>
          </w:tcPr>
          <w:p>
            <w:pPr>
              <w:spacing w:after="0" w:before="0" w:line="260"/>
            </w:pPr>
            <w:r>
              <w:rPr>
                <w:rFonts w:ascii="Georgia" w:cs="Georgia" w:eastAsia="Georgia" w:hAnsi="Georgia"/>
                <w:b w:val="false"/>
                <w:bCs w:val="false"/>
                <w:color w:val="1D1D1D"/>
                <w:sz w:val="20"/>
                <w:szCs w:val="20"/>
              </w:rPr>
              <w:t xml:space="preserve">IFM 2018-04</w:t>
            </w:r>
          </w:p>
        </w:tc>
        <w:tc>
          <w:tcPr>
            <w:tcW w:type="dxa" w:w="2400"/>
            <w:tcBorders>
              <w:top w:val="single" w:color="D8C9CB" w:sz="4"/>
              <w:left w:val="single" w:color="D8C9CB" w:sz="4"/>
              <w:bottom w:val="single" w:color="D8C9CB" w:sz="4"/>
              <w:right w:val="single" w:color="D8C9CB" w:sz="4"/>
            </w:tcBorders>
            <w:tcMar>
              <w:top w:type="dxa" w:w="80"/>
              <w:left w:type="dxa" w:w="120"/>
              <w:bottom w:type="dxa" w:w="80"/>
              <w:right w:type="dxa" w:w="120"/>
            </w:tcMar>
          </w:tcPr>
          <w:p>
            <w:pPr>
              <w:spacing w:after="0" w:before="0" w:line="260"/>
            </w:pPr>
            <w:r>
              <w:rPr>
                <w:rFonts w:ascii="Georgia" w:cs="Georgia" w:eastAsia="Georgia" w:hAnsi="Georgia"/>
                <w:b w:val="false"/>
                <w:bCs w:val="false"/>
                <w:color w:val="1D1D1D"/>
                <w:sz w:val="20"/>
                <w:szCs w:val="20"/>
              </w:rPr>
              <w:t xml:space="preserve">del(17p), t(4;14) or t(14;16)</w:t>
            </w:r>
          </w:p>
        </w:tc>
        <w:tc>
          <w:tcPr>
            <w:tcW w:type="dxa" w:w="2400"/>
            <w:tcBorders>
              <w:top w:val="single" w:color="D8C9CB" w:sz="4"/>
              <w:left w:val="single" w:color="D8C9CB" w:sz="4"/>
              <w:bottom w:val="single" w:color="D8C9CB" w:sz="4"/>
              <w:right w:val="single" w:color="D8C9CB" w:sz="4"/>
            </w:tcBorders>
            <w:tcMar>
              <w:top w:type="dxa" w:w="80"/>
              <w:left w:type="dxa" w:w="120"/>
              <w:bottom w:type="dxa" w:w="80"/>
              <w:right w:type="dxa" w:w="120"/>
            </w:tcMar>
          </w:tcPr>
          <w:p>
            <w:pPr>
              <w:spacing w:after="0" w:before="0" w:line="260"/>
            </w:pPr>
            <w:r>
              <w:rPr>
                <w:rFonts w:ascii="Georgia" w:cs="Georgia" w:eastAsia="Georgia" w:hAnsi="Georgia"/>
                <w:b w:val="false"/>
                <w:bCs w:val="false"/>
                <w:color w:val="1D1D1D"/>
                <w:sz w:val="20"/>
                <w:szCs w:val="20"/>
              </w:rPr>
              <w:t xml:space="preserve">Dara-KRd x 6, ASCT, Dara-KRd x 4, second ASCT, Dara-R maintenance x 24</w:t>
            </w:r>
          </w:p>
        </w:tc>
        <w:tc>
          <w:tcPr>
            <w:tcW w:type="dxa" w:w="2226"/>
            <w:tcBorders>
              <w:top w:val="single" w:color="D8C9CB" w:sz="4"/>
              <w:left w:val="single" w:color="D8C9CB" w:sz="4"/>
              <w:bottom w:val="single" w:color="D8C9CB" w:sz="4"/>
              <w:right w:val="single" w:color="D8C9CB" w:sz="4"/>
            </w:tcBorders>
            <w:tcMar>
              <w:top w:type="dxa" w:w="80"/>
              <w:left w:type="dxa" w:w="120"/>
              <w:bottom w:type="dxa" w:w="80"/>
              <w:right w:type="dxa" w:w="120"/>
            </w:tcMar>
          </w:tcPr>
          <w:p>
            <w:pPr>
              <w:spacing w:after="0" w:before="0" w:line="260"/>
            </w:pPr>
            <w:r>
              <w:rPr>
                <w:rFonts w:ascii="Georgia" w:cs="Georgia" w:eastAsia="Georgia" w:hAnsi="Georgia"/>
                <w:b w:val="false"/>
                <w:bCs w:val="false"/>
                <w:color w:val="1D1D1D"/>
                <w:sz w:val="20"/>
                <w:szCs w:val="20"/>
              </w:rPr>
              <w:t xml:space="preserve">80%</w:t>
            </w:r>
          </w:p>
        </w:tc>
      </w:tr>
      <w:tr>
        <w:tc>
          <w:tcPr>
            <w:tcW w:type="dxa" w:w="2000"/>
            <w:tcBorders>
              <w:top w:val="single" w:color="D8C9CB" w:sz="4"/>
              <w:left w:val="single" w:color="D8C9CB" w:sz="4"/>
              <w:bottom w:val="single" w:color="D8C9CB" w:sz="4"/>
              <w:right w:val="single" w:color="D8C9CB" w:sz="4"/>
            </w:tcBorders>
            <w:tcMar>
              <w:top w:type="dxa" w:w="80"/>
              <w:left w:type="dxa" w:w="120"/>
              <w:bottom w:type="dxa" w:w="80"/>
              <w:right w:type="dxa" w:w="120"/>
            </w:tcMar>
          </w:tcPr>
          <w:p>
            <w:pPr>
              <w:spacing w:after="0" w:before="0" w:line="260"/>
            </w:pPr>
            <w:r>
              <w:rPr>
                <w:rFonts w:ascii="Georgia" w:cs="Georgia" w:eastAsia="Georgia" w:hAnsi="Georgia"/>
                <w:b w:val="false"/>
                <w:bCs w:val="false"/>
                <w:color w:val="1D1D1D"/>
                <w:sz w:val="20"/>
                <w:szCs w:val="20"/>
              </w:rPr>
              <w:t xml:space="preserve">EMN12 (TE PCL)</w:t>
            </w:r>
          </w:p>
        </w:tc>
        <w:tc>
          <w:tcPr>
            <w:tcW w:type="dxa" w:w="2400"/>
            <w:tcBorders>
              <w:top w:val="single" w:color="D8C9CB" w:sz="4"/>
              <w:left w:val="single" w:color="D8C9CB" w:sz="4"/>
              <w:bottom w:val="single" w:color="D8C9CB" w:sz="4"/>
              <w:right w:val="single" w:color="D8C9CB" w:sz="4"/>
            </w:tcBorders>
            <w:tcMar>
              <w:top w:type="dxa" w:w="80"/>
              <w:left w:type="dxa" w:w="120"/>
              <w:bottom w:type="dxa" w:w="80"/>
              <w:right w:type="dxa" w:w="120"/>
            </w:tcMar>
          </w:tcPr>
          <w:p>
            <w:pPr>
              <w:spacing w:after="0" w:before="0" w:line="260"/>
            </w:pPr>
            <w:r>
              <w:rPr>
                <w:rFonts w:ascii="Georgia" w:cs="Georgia" w:eastAsia="Georgia" w:hAnsi="Georgia"/>
                <w:b w:val="false"/>
                <w:bCs w:val="false"/>
                <w:color w:val="1D1D1D"/>
                <w:sz w:val="20"/>
                <w:szCs w:val="20"/>
              </w:rPr>
              <w:t xml:space="preserve">Primary plasma cell leukaemia</w:t>
            </w:r>
          </w:p>
        </w:tc>
        <w:tc>
          <w:tcPr>
            <w:tcW w:type="dxa" w:w="2400"/>
            <w:tcBorders>
              <w:top w:val="single" w:color="D8C9CB" w:sz="4"/>
              <w:left w:val="single" w:color="D8C9CB" w:sz="4"/>
              <w:bottom w:val="single" w:color="D8C9CB" w:sz="4"/>
              <w:right w:val="single" w:color="D8C9CB" w:sz="4"/>
            </w:tcBorders>
            <w:tcMar>
              <w:top w:type="dxa" w:w="80"/>
              <w:left w:type="dxa" w:w="120"/>
              <w:bottom w:type="dxa" w:w="80"/>
              <w:right w:type="dxa" w:w="120"/>
            </w:tcMar>
          </w:tcPr>
          <w:p>
            <w:pPr>
              <w:spacing w:after="0" w:before="0" w:line="260"/>
            </w:pPr>
            <w:r>
              <w:rPr>
                <w:rFonts w:ascii="Georgia" w:cs="Georgia" w:eastAsia="Georgia" w:hAnsi="Georgia"/>
                <w:b w:val="false"/>
                <w:bCs w:val="false"/>
                <w:color w:val="1D1D1D"/>
                <w:sz w:val="20"/>
                <w:szCs w:val="20"/>
              </w:rPr>
              <w:t xml:space="preserve">KRd x 4, single or tandem ASCT (or auto-allo), KRd x 4, KR maintenance until progression</w:t>
            </w:r>
          </w:p>
        </w:tc>
        <w:tc>
          <w:tcPr>
            <w:tcW w:type="dxa" w:w="2226"/>
            <w:tcBorders>
              <w:top w:val="single" w:color="D8C9CB" w:sz="4"/>
              <w:left w:val="single" w:color="D8C9CB" w:sz="4"/>
              <w:bottom w:val="single" w:color="D8C9CB" w:sz="4"/>
              <w:right w:val="single" w:color="D8C9CB" w:sz="4"/>
            </w:tcBorders>
            <w:tcMar>
              <w:top w:type="dxa" w:w="80"/>
              <w:left w:type="dxa" w:w="120"/>
              <w:bottom w:type="dxa" w:w="80"/>
              <w:right w:type="dxa" w:w="120"/>
            </w:tcMar>
          </w:tcPr>
          <w:p>
            <w:pPr>
              <w:spacing w:after="0" w:before="0" w:line="260"/>
            </w:pPr>
            <w:r>
              <w:rPr>
                <w:rFonts w:ascii="Georgia" w:cs="Georgia" w:eastAsia="Georgia" w:hAnsi="Georgia"/>
                <w:b w:val="false"/>
                <w:bCs w:val="false"/>
                <w:color w:val="1D1D1D"/>
                <w:sz w:val="20"/>
                <w:szCs w:val="20"/>
              </w:rPr>
              <w:t xml:space="preserve">Median PFS 15.5 months, median OS 28.4 months</w:t>
            </w:r>
          </w:p>
        </w:tc>
      </w:tr>
    </w:tbl>
    <w:p>
      <w:pPr>
        <w:spacing w:after="80" w:before="80" w:line="300"/>
        <w:jc w:val="left"/>
      </w:pPr>
      <w:r>
        <w:rPr>
          <w:rFonts w:ascii="Georgia" w:cs="Georgia" w:eastAsia="Georgia" w:hAnsi="Georgia"/>
          <w:b w:val="false"/>
          <w:bCs w:val="false"/>
          <w:i/>
          <w:iCs/>
          <w:color w:val="4A4A4A"/>
          <w:sz w:val="18"/>
          <w:szCs w:val="18"/>
        </w:rPr>
        <w:t xml:space="preserve">Source: Kaiser 2024 BSH/UKMS Good Practice Paper.</w:t>
      </w:r>
    </w:p>
    <w:p>
      <w:pPr>
        <w:spacing w:after="80" w:before="180"/>
      </w:pPr>
      <w:r>
        <w:rPr>
          <w:rFonts w:ascii="Georgia" w:cs="Georgia" w:eastAsia="Georgia" w:hAnsi="Georgia"/>
          <w:b/>
          <w:bCs/>
          <w:color w:val="1D1D1D"/>
          <w:sz w:val="24"/>
          <w:szCs w:val="24"/>
        </w:rPr>
        <w:t xml:space="preserve">UK practice points</w:t>
      </w:r>
    </w:p>
    <w:p>
      <w:pPr>
        <w:pStyle w:val="ListParagraph"/>
        <w:numPr>
          <w:ilvl w:val="0"/>
          <w:numId w:val="2"/>
        </w:numPr>
        <w:spacing w:after="40" w:before="40" w:line="280"/>
      </w:pPr>
      <w:r>
        <w:rPr>
          <w:rFonts w:ascii="Georgia" w:cs="Georgia" w:eastAsia="Georgia" w:hAnsi="Georgia"/>
          <w:b w:val="false"/>
          <w:bCs w:val="false"/>
          <w:i w:val="false"/>
          <w:iCs w:val="false"/>
          <w:color w:val="1D1D1D"/>
          <w:sz w:val="22"/>
          <w:szCs w:val="22"/>
        </w:rPr>
        <w:t xml:space="preserve">Current NHS England standard for high-risk NDMM is single ASCT; tandem ASCT is recommended in EHA-EMN and is the only HRMM-specific intensification routinely available on the NHS, based on the EMN02 subgroup analysis. BSH 2024 notes that tandem ASCT carries cumulative toxicity and quality-of-life burden.</w:t>
      </w:r>
    </w:p>
    <w:p>
      <w:pPr>
        <w:pStyle w:val="ListParagraph"/>
        <w:numPr>
          <w:ilvl w:val="0"/>
          <w:numId w:val="2"/>
        </w:numPr>
        <w:spacing w:after="40" w:before="40" w:line="280"/>
      </w:pPr>
      <w:r>
        <w:rPr>
          <w:rFonts w:ascii="Georgia" w:cs="Georgia" w:eastAsia="Georgia" w:hAnsi="Georgia"/>
          <w:b w:val="false"/>
          <w:bCs w:val="false"/>
          <w:i w:val="false"/>
          <w:iCs w:val="false"/>
          <w:color w:val="1D1D1D"/>
          <w:sz w:val="22"/>
          <w:szCs w:val="22"/>
        </w:rPr>
        <w:t xml:space="preserve">Where access permits, treatment as per OPTIMUM, CONCEPT, IFM 2018-04 or EMN12 should be considered.</w:t>
      </w:r>
    </w:p>
    <w:p>
      <w:pPr>
        <w:pStyle w:val="ListParagraph"/>
        <w:numPr>
          <w:ilvl w:val="0"/>
          <w:numId w:val="2"/>
        </w:numPr>
        <w:spacing w:after="40" w:before="40" w:line="280"/>
      </w:pPr>
      <w:r>
        <w:rPr>
          <w:rFonts w:ascii="Georgia" w:cs="Georgia" w:eastAsia="Georgia" w:hAnsi="Georgia"/>
          <w:b w:val="false"/>
          <w:bCs w:val="false"/>
          <w:i w:val="false"/>
          <w:iCs w:val="false"/>
          <w:color w:val="1D1D1D"/>
          <w:sz w:val="22"/>
          <w:szCs w:val="22"/>
        </w:rPr>
        <w:t xml:space="preserve">Tandem ASCT may be considered for HRMM when extended intensified consolidation and maintenance are not available.</w:t>
      </w:r>
    </w:p>
    <w:p>
      <w:pPr>
        <w:pStyle w:val="ListParagraph"/>
        <w:numPr>
          <w:ilvl w:val="0"/>
          <w:numId w:val="2"/>
        </w:numPr>
        <w:spacing w:after="40" w:before="40" w:line="280"/>
      </w:pPr>
      <w:r>
        <w:rPr>
          <w:rFonts w:ascii="Georgia" w:cs="Georgia" w:eastAsia="Georgia" w:hAnsi="Georgia"/>
          <w:b w:val="false"/>
          <w:bCs w:val="false"/>
          <w:i w:val="false"/>
          <w:iCs w:val="false"/>
          <w:color w:val="1D1D1D"/>
          <w:sz w:val="22"/>
          <w:szCs w:val="22"/>
        </w:rPr>
        <w:t xml:space="preserve">Toxicities should be monitored closely with early dose reduction rather than discontinuation of multi-target combinations.</w:t>
      </w:r>
    </w:p>
    <w:p>
      <w:pPr>
        <w:pStyle w:val="ListParagraph"/>
        <w:numPr>
          <w:ilvl w:val="0"/>
          <w:numId w:val="2"/>
        </w:numPr>
        <w:spacing w:after="40" w:before="40" w:line="280"/>
      </w:pPr>
      <w:r>
        <w:rPr>
          <w:rFonts w:ascii="Georgia" w:cs="Georgia" w:eastAsia="Georgia" w:hAnsi="Georgia"/>
          <w:b w:val="false"/>
          <w:bCs w:val="false"/>
          <w:i w:val="false"/>
          <w:iCs w:val="false"/>
          <w:color w:val="1D1D1D"/>
          <w:sz w:val="22"/>
          <w:szCs w:val="22"/>
        </w:rPr>
        <w:t xml:space="preserve">Subcutaneous and home-administered supportive treatments should be used where safe.</w:t>
      </w:r>
    </w:p>
    <w:p>
      <w:pPr>
        <w:pStyle w:val="Heading1"/>
        <w:spacing w:after="160" w:before="360"/>
      </w:pPr>
      <w:r>
        <w:rPr>
          <w:rFonts w:ascii="Georgia" w:cs="Georgia" w:eastAsia="Georgia" w:hAnsi="Georgia"/>
          <w:b/>
          <w:bCs/>
          <w:color w:val="7A1F2B"/>
          <w:sz w:val="30"/>
          <w:szCs w:val="30"/>
        </w:rPr>
        <w:t xml:space="preserve">10. </w:t>
      </w:r>
      <w:r>
        <w:rPr>
          <w:rFonts w:ascii="Georgia" w:cs="Georgia" w:eastAsia="Georgia" w:hAnsi="Georgia"/>
          <w:b/>
          <w:bCs/>
          <w:color w:val="7A1F2B"/>
          <w:sz w:val="30"/>
          <w:szCs w:val="30"/>
        </w:rPr>
        <w:t xml:space="preserve">Imaging Across the Pathway</w:t>
      </w:r>
    </w:p>
    <w:p>
      <w:pPr>
        <w:spacing w:after="80" w:before="80" w:line="300"/>
        <w:jc w:val="left"/>
      </w:pPr>
      <w:r>
        <w:rPr>
          <w:rFonts w:ascii="Georgia" w:cs="Georgia" w:eastAsia="Georgia" w:hAnsi="Georgia"/>
          <w:b w:val="false"/>
          <w:bCs w:val="false"/>
          <w:i w:val="false"/>
          <w:iCs w:val="false"/>
          <w:color w:val="1D1D1D"/>
          <w:sz w:val="22"/>
          <w:szCs w:val="22"/>
        </w:rPr>
        <w:t xml:space="preserve">Whole-body MRI with diffusion weighting (WB-MRI), FDG PET-CT and low-dose whole-body CT all have defined roles in modern myeloma pathways. WB-MRI and PET-CT can detect marrow or extramedullary disease before cortical bone destruction, while CT remains useful for cortical bone assessment and fracture risk. NICE NG35 recommends modern whole-body imaging at diagnosis; local pathways should specify the first-line modality according to access, clinical question and reporting expertise.</w:t>
      </w:r>
    </w:p>
    <w:p>
      <w:pPr>
        <w:spacing w:after="80" w:before="180"/>
      </w:pPr>
      <w:r>
        <w:rPr>
          <w:rFonts w:ascii="Georgia" w:cs="Georgia" w:eastAsia="Georgia" w:hAnsi="Georgia"/>
          <w:b/>
          <w:bCs/>
          <w:color w:val="1D1D1D"/>
          <w:sz w:val="24"/>
          <w:szCs w:val="24"/>
        </w:rPr>
        <w:t xml:space="preserve">Indications for advanced imaging</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0"/>
        <w:gridCol w:w="6026"/>
      </w:tblGrid>
      <w:tr>
        <w:trPr>
          <w:tblHeader/>
        </w:trPr>
        <w:tc>
          <w:tcPr>
            <w:tcW w:type="dxa" w:w="3000"/>
            <w:tcBorders>
              <w:top w:val="single" w:color="D8C9CB" w:sz="4"/>
              <w:left w:val="single" w:color="D8C9CB" w:sz="4"/>
              <w:bottom w:val="single" w:color="D8C9CB" w:sz="4"/>
              <w:right w:val="single" w:color="D8C9CB" w:sz="4"/>
            </w:tcBorders>
            <w:shd w:fill="F5E9EB" w:val="clear"/>
            <w:tcMar>
              <w:top w:type="dxa" w:w="80"/>
              <w:left w:type="dxa" w:w="120"/>
              <w:bottom w:type="dxa" w:w="80"/>
              <w:right w:type="dxa" w:w="120"/>
            </w:tcMar>
          </w:tcPr>
          <w:p>
            <w:pPr>
              <w:spacing w:after="0" w:before="0" w:line="260"/>
            </w:pPr>
            <w:r>
              <w:rPr>
                <w:rFonts w:ascii="Georgia" w:cs="Georgia" w:eastAsia="Georgia" w:hAnsi="Georgia"/>
                <w:b/>
                <w:bCs/>
                <w:color w:val="7A1F2B"/>
                <w:sz w:val="20"/>
                <w:szCs w:val="20"/>
              </w:rPr>
              <w:t xml:space="preserve">Clinical scenario</w:t>
            </w:r>
          </w:p>
        </w:tc>
        <w:tc>
          <w:tcPr>
            <w:tcW w:type="dxa" w:w="6026"/>
            <w:tcBorders>
              <w:top w:val="single" w:color="D8C9CB" w:sz="4"/>
              <w:left w:val="single" w:color="D8C9CB" w:sz="4"/>
              <w:bottom w:val="single" w:color="D8C9CB" w:sz="4"/>
              <w:right w:val="single" w:color="D8C9CB" w:sz="4"/>
            </w:tcBorders>
            <w:shd w:fill="F5E9EB" w:val="clear"/>
            <w:tcMar>
              <w:top w:type="dxa" w:w="80"/>
              <w:left w:type="dxa" w:w="120"/>
              <w:bottom w:type="dxa" w:w="80"/>
              <w:right w:type="dxa" w:w="120"/>
            </w:tcMar>
          </w:tcPr>
          <w:p>
            <w:pPr>
              <w:spacing w:after="0" w:before="0" w:line="260"/>
            </w:pPr>
            <w:r>
              <w:rPr>
                <w:rFonts w:ascii="Georgia" w:cs="Georgia" w:eastAsia="Georgia" w:hAnsi="Georgia"/>
                <w:b/>
                <w:bCs/>
                <w:color w:val="7A1F2B"/>
                <w:sz w:val="20"/>
                <w:szCs w:val="20"/>
              </w:rPr>
              <w:t xml:space="preserve">Recommended imaging</w:t>
            </w:r>
          </w:p>
        </w:tc>
      </w:tr>
      <w:tr>
        <w:tc>
          <w:tcPr>
            <w:tcW w:type="dxa" w:w="3000"/>
            <w:tcBorders>
              <w:top w:val="single" w:color="D8C9CB" w:sz="4"/>
              <w:left w:val="single" w:color="D8C9CB" w:sz="4"/>
              <w:bottom w:val="single" w:color="D8C9CB" w:sz="4"/>
              <w:right w:val="single" w:color="D8C9CB" w:sz="4"/>
            </w:tcBorders>
            <w:tcMar>
              <w:top w:type="dxa" w:w="80"/>
              <w:left w:type="dxa" w:w="120"/>
              <w:bottom w:type="dxa" w:w="80"/>
              <w:right w:type="dxa" w:w="120"/>
            </w:tcMar>
          </w:tcPr>
          <w:p>
            <w:pPr>
              <w:spacing w:after="0" w:before="0" w:line="260"/>
            </w:pPr>
            <w:r>
              <w:rPr>
                <w:rFonts w:ascii="Georgia" w:cs="Georgia" w:eastAsia="Georgia" w:hAnsi="Georgia"/>
                <w:b w:val="false"/>
                <w:bCs w:val="false"/>
                <w:color w:val="1D1D1D"/>
                <w:sz w:val="20"/>
                <w:szCs w:val="20"/>
              </w:rPr>
              <w:t xml:space="preserve">High-intermediate or high-risk MGUS</w:t>
            </w:r>
          </w:p>
        </w:tc>
        <w:tc>
          <w:tcPr>
            <w:tcW w:type="dxa" w:w="6026"/>
            <w:tcBorders>
              <w:top w:val="single" w:color="D8C9CB" w:sz="4"/>
              <w:left w:val="single" w:color="D8C9CB" w:sz="4"/>
              <w:bottom w:val="single" w:color="D8C9CB" w:sz="4"/>
              <w:right w:val="single" w:color="D8C9CB" w:sz="4"/>
            </w:tcBorders>
            <w:tcMar>
              <w:top w:type="dxa" w:w="80"/>
              <w:left w:type="dxa" w:w="120"/>
              <w:bottom w:type="dxa" w:w="80"/>
              <w:right w:type="dxa" w:w="120"/>
            </w:tcMar>
          </w:tcPr>
          <w:p>
            <w:pPr>
              <w:spacing w:after="0" w:before="0" w:line="260"/>
            </w:pPr>
            <w:r>
              <w:rPr>
                <w:rFonts w:ascii="Georgia" w:cs="Georgia" w:eastAsia="Georgia" w:hAnsi="Georgia"/>
                <w:b w:val="false"/>
                <w:bCs w:val="false"/>
                <w:color w:val="1D1D1D"/>
                <w:sz w:val="20"/>
                <w:szCs w:val="20"/>
              </w:rPr>
              <w:t xml:space="preserve">WB-MRI, PET-CT or low-dose WB-CT to exclude focal lesions</w:t>
            </w:r>
          </w:p>
        </w:tc>
      </w:tr>
      <w:tr>
        <w:tc>
          <w:tcPr>
            <w:tcW w:type="dxa" w:w="3000"/>
            <w:tcBorders>
              <w:top w:val="single" w:color="D8C9CB" w:sz="4"/>
              <w:left w:val="single" w:color="D8C9CB" w:sz="4"/>
              <w:bottom w:val="single" w:color="D8C9CB" w:sz="4"/>
              <w:right w:val="single" w:color="D8C9CB" w:sz="4"/>
            </w:tcBorders>
            <w:tcMar>
              <w:top w:type="dxa" w:w="80"/>
              <w:left w:type="dxa" w:w="120"/>
              <w:bottom w:type="dxa" w:w="80"/>
              <w:right w:type="dxa" w:w="120"/>
            </w:tcMar>
          </w:tcPr>
          <w:p>
            <w:pPr>
              <w:spacing w:after="0" w:before="0" w:line="260"/>
            </w:pPr>
            <w:r>
              <w:rPr>
                <w:rFonts w:ascii="Georgia" w:cs="Georgia" w:eastAsia="Georgia" w:hAnsi="Georgia"/>
                <w:b w:val="false"/>
                <w:bCs w:val="false"/>
                <w:color w:val="1D1D1D"/>
                <w:sz w:val="20"/>
                <w:szCs w:val="20"/>
              </w:rPr>
              <w:t xml:space="preserve">Suspected or confirmed SMM</w:t>
            </w:r>
          </w:p>
        </w:tc>
        <w:tc>
          <w:tcPr>
            <w:tcW w:type="dxa" w:w="6026"/>
            <w:tcBorders>
              <w:top w:val="single" w:color="D8C9CB" w:sz="4"/>
              <w:left w:val="single" w:color="D8C9CB" w:sz="4"/>
              <w:bottom w:val="single" w:color="D8C9CB" w:sz="4"/>
              <w:right w:val="single" w:color="D8C9CB" w:sz="4"/>
            </w:tcBorders>
            <w:tcMar>
              <w:top w:type="dxa" w:w="80"/>
              <w:left w:type="dxa" w:w="120"/>
              <w:bottom w:type="dxa" w:w="80"/>
              <w:right w:type="dxa" w:w="120"/>
            </w:tcMar>
          </w:tcPr>
          <w:p>
            <w:pPr>
              <w:spacing w:after="0" w:before="0" w:line="260"/>
            </w:pPr>
            <w:r>
              <w:rPr>
                <w:rFonts w:ascii="Georgia" w:cs="Georgia" w:eastAsia="Georgia" w:hAnsi="Georgia"/>
                <w:b w:val="false"/>
                <w:bCs w:val="false"/>
                <w:color w:val="1D1D1D"/>
                <w:sz w:val="20"/>
                <w:szCs w:val="20"/>
              </w:rPr>
              <w:t xml:space="preserve">WB-MRI, PET-CT or low-dose WB-CT according to indication, availability and local protocol; repeat imaging in high-risk SMM or evolving disease as guided by specialist review</w:t>
            </w:r>
          </w:p>
        </w:tc>
      </w:tr>
      <w:tr>
        <w:tc>
          <w:tcPr>
            <w:tcW w:type="dxa" w:w="3000"/>
            <w:tcBorders>
              <w:top w:val="single" w:color="D8C9CB" w:sz="4"/>
              <w:left w:val="single" w:color="D8C9CB" w:sz="4"/>
              <w:bottom w:val="single" w:color="D8C9CB" w:sz="4"/>
              <w:right w:val="single" w:color="D8C9CB" w:sz="4"/>
            </w:tcBorders>
            <w:tcMar>
              <w:top w:type="dxa" w:w="80"/>
              <w:left w:type="dxa" w:w="120"/>
              <w:bottom w:type="dxa" w:w="80"/>
              <w:right w:type="dxa" w:w="120"/>
            </w:tcMar>
          </w:tcPr>
          <w:p>
            <w:pPr>
              <w:spacing w:after="0" w:before="0" w:line="260"/>
            </w:pPr>
            <w:r>
              <w:rPr>
                <w:rFonts w:ascii="Georgia" w:cs="Georgia" w:eastAsia="Georgia" w:hAnsi="Georgia"/>
                <w:b w:val="false"/>
                <w:bCs w:val="false"/>
                <w:color w:val="1D1D1D"/>
                <w:sz w:val="20"/>
                <w:szCs w:val="20"/>
              </w:rPr>
              <w:t xml:space="preserve">Newly diagnosed myeloma</w:t>
            </w:r>
          </w:p>
        </w:tc>
        <w:tc>
          <w:tcPr>
            <w:tcW w:type="dxa" w:w="6026"/>
            <w:tcBorders>
              <w:top w:val="single" w:color="D8C9CB" w:sz="4"/>
              <w:left w:val="single" w:color="D8C9CB" w:sz="4"/>
              <w:bottom w:val="single" w:color="D8C9CB" w:sz="4"/>
              <w:right w:val="single" w:color="D8C9CB" w:sz="4"/>
            </w:tcBorders>
            <w:tcMar>
              <w:top w:type="dxa" w:w="80"/>
              <w:left w:type="dxa" w:w="120"/>
              <w:bottom w:type="dxa" w:w="80"/>
              <w:right w:type="dxa" w:w="120"/>
            </w:tcMar>
          </w:tcPr>
          <w:p>
            <w:pPr>
              <w:spacing w:after="0" w:before="0" w:line="260"/>
            </w:pPr>
            <w:r>
              <w:rPr>
                <w:rFonts w:ascii="Georgia" w:cs="Georgia" w:eastAsia="Georgia" w:hAnsi="Georgia"/>
                <w:b w:val="false"/>
                <w:bCs w:val="false"/>
                <w:color w:val="1D1D1D"/>
                <w:sz w:val="20"/>
                <w:szCs w:val="20"/>
              </w:rPr>
              <w:t xml:space="preserve">Whole-body imaging in all patients; modality should follow NICE/BSH guidance, local access and clinical question</w:t>
            </w:r>
          </w:p>
        </w:tc>
      </w:tr>
      <w:tr>
        <w:tc>
          <w:tcPr>
            <w:tcW w:type="dxa" w:w="3000"/>
            <w:tcBorders>
              <w:top w:val="single" w:color="D8C9CB" w:sz="4"/>
              <w:left w:val="single" w:color="D8C9CB" w:sz="4"/>
              <w:bottom w:val="single" w:color="D8C9CB" w:sz="4"/>
              <w:right w:val="single" w:color="D8C9CB" w:sz="4"/>
            </w:tcBorders>
            <w:tcMar>
              <w:top w:type="dxa" w:w="80"/>
              <w:left w:type="dxa" w:w="120"/>
              <w:bottom w:type="dxa" w:w="80"/>
              <w:right w:type="dxa" w:w="120"/>
            </w:tcMar>
          </w:tcPr>
          <w:p>
            <w:pPr>
              <w:spacing w:after="0" w:before="0" w:line="260"/>
            </w:pPr>
            <w:r>
              <w:rPr>
                <w:rFonts w:ascii="Georgia" w:cs="Georgia" w:eastAsia="Georgia" w:hAnsi="Georgia"/>
                <w:b w:val="false"/>
                <w:bCs w:val="false"/>
                <w:color w:val="1D1D1D"/>
                <w:sz w:val="20"/>
                <w:szCs w:val="20"/>
              </w:rPr>
              <w:t xml:space="preserve">Biochemical or symptomatic relapse</w:t>
            </w:r>
          </w:p>
        </w:tc>
        <w:tc>
          <w:tcPr>
            <w:tcW w:type="dxa" w:w="6026"/>
            <w:tcBorders>
              <w:top w:val="single" w:color="D8C9CB" w:sz="4"/>
              <w:left w:val="single" w:color="D8C9CB" w:sz="4"/>
              <w:bottom w:val="single" w:color="D8C9CB" w:sz="4"/>
              <w:right w:val="single" w:color="D8C9CB" w:sz="4"/>
            </w:tcBorders>
            <w:tcMar>
              <w:top w:type="dxa" w:w="80"/>
              <w:left w:type="dxa" w:w="120"/>
              <w:bottom w:type="dxa" w:w="80"/>
              <w:right w:type="dxa" w:w="120"/>
            </w:tcMar>
          </w:tcPr>
          <w:p>
            <w:pPr>
              <w:spacing w:after="0" w:before="0" w:line="260"/>
            </w:pPr>
            <w:r>
              <w:rPr>
                <w:rFonts w:ascii="Georgia" w:cs="Georgia" w:eastAsia="Georgia" w:hAnsi="Georgia"/>
                <w:b w:val="false"/>
                <w:bCs w:val="false"/>
                <w:color w:val="1D1D1D"/>
                <w:sz w:val="20"/>
                <w:szCs w:val="20"/>
              </w:rPr>
              <w:t xml:space="preserve">WB-MRI or PET-CT, especially in new bone symptoms, extramedullary or oligo-secretory disease</w:t>
            </w:r>
          </w:p>
        </w:tc>
      </w:tr>
      <w:tr>
        <w:tc>
          <w:tcPr>
            <w:tcW w:type="dxa" w:w="3000"/>
            <w:tcBorders>
              <w:top w:val="single" w:color="D8C9CB" w:sz="4"/>
              <w:left w:val="single" w:color="D8C9CB" w:sz="4"/>
              <w:bottom w:val="single" w:color="D8C9CB" w:sz="4"/>
              <w:right w:val="single" w:color="D8C9CB" w:sz="4"/>
            </w:tcBorders>
            <w:tcMar>
              <w:top w:type="dxa" w:w="80"/>
              <w:left w:type="dxa" w:w="120"/>
              <w:bottom w:type="dxa" w:w="80"/>
              <w:right w:type="dxa" w:w="120"/>
            </w:tcMar>
          </w:tcPr>
          <w:p>
            <w:pPr>
              <w:spacing w:after="0" w:before="0" w:line="260"/>
            </w:pPr>
            <w:r>
              <w:rPr>
                <w:rFonts w:ascii="Georgia" w:cs="Georgia" w:eastAsia="Georgia" w:hAnsi="Georgia"/>
                <w:b w:val="false"/>
                <w:bCs w:val="false"/>
                <w:color w:val="1D1D1D"/>
                <w:sz w:val="20"/>
                <w:szCs w:val="20"/>
              </w:rPr>
              <w:t xml:space="preserve">Oligo- or non-secretory myeloma</w:t>
            </w:r>
          </w:p>
        </w:tc>
        <w:tc>
          <w:tcPr>
            <w:tcW w:type="dxa" w:w="6026"/>
            <w:tcBorders>
              <w:top w:val="single" w:color="D8C9CB" w:sz="4"/>
              <w:left w:val="single" w:color="D8C9CB" w:sz="4"/>
              <w:bottom w:val="single" w:color="D8C9CB" w:sz="4"/>
              <w:right w:val="single" w:color="D8C9CB" w:sz="4"/>
            </w:tcBorders>
            <w:tcMar>
              <w:top w:type="dxa" w:w="80"/>
              <w:left w:type="dxa" w:w="120"/>
              <w:bottom w:type="dxa" w:w="80"/>
              <w:right w:type="dxa" w:w="120"/>
            </w:tcMar>
          </w:tcPr>
          <w:p>
            <w:pPr>
              <w:spacing w:after="0" w:before="0" w:line="260"/>
            </w:pPr>
            <w:r>
              <w:rPr>
                <w:rFonts w:ascii="Georgia" w:cs="Georgia" w:eastAsia="Georgia" w:hAnsi="Georgia"/>
                <w:b w:val="false"/>
                <w:bCs w:val="false"/>
                <w:color w:val="1D1D1D"/>
                <w:sz w:val="20"/>
                <w:szCs w:val="20"/>
              </w:rPr>
              <w:t xml:space="preserve">WB imaging at 3 to 4 month intervals; balance cumulative ionising radiation when choosing modality</w:t>
            </w:r>
          </w:p>
        </w:tc>
      </w:tr>
      <w:tr>
        <w:tc>
          <w:tcPr>
            <w:tcW w:type="dxa" w:w="3000"/>
            <w:tcBorders>
              <w:top w:val="single" w:color="D8C9CB" w:sz="4"/>
              <w:left w:val="single" w:color="D8C9CB" w:sz="4"/>
              <w:bottom w:val="single" w:color="D8C9CB" w:sz="4"/>
              <w:right w:val="single" w:color="D8C9CB" w:sz="4"/>
            </w:tcBorders>
            <w:tcMar>
              <w:top w:type="dxa" w:w="80"/>
              <w:left w:type="dxa" w:w="120"/>
              <w:bottom w:type="dxa" w:w="80"/>
              <w:right w:type="dxa" w:w="120"/>
            </w:tcMar>
          </w:tcPr>
          <w:p>
            <w:pPr>
              <w:spacing w:after="0" w:before="0" w:line="260"/>
            </w:pPr>
            <w:r>
              <w:rPr>
                <w:rFonts w:ascii="Georgia" w:cs="Georgia" w:eastAsia="Georgia" w:hAnsi="Georgia"/>
                <w:b w:val="false"/>
                <w:bCs w:val="false"/>
                <w:color w:val="1D1D1D"/>
                <w:sz w:val="20"/>
                <w:szCs w:val="20"/>
              </w:rPr>
              <w:t xml:space="preserve">Response assessment (clinical trial)</w:t>
            </w:r>
          </w:p>
        </w:tc>
        <w:tc>
          <w:tcPr>
            <w:tcW w:type="dxa" w:w="6026"/>
            <w:tcBorders>
              <w:top w:val="single" w:color="D8C9CB" w:sz="4"/>
              <w:left w:val="single" w:color="D8C9CB" w:sz="4"/>
              <w:bottom w:val="single" w:color="D8C9CB" w:sz="4"/>
              <w:right w:val="single" w:color="D8C9CB" w:sz="4"/>
            </w:tcBorders>
            <w:tcMar>
              <w:top w:type="dxa" w:w="80"/>
              <w:left w:type="dxa" w:w="120"/>
              <w:bottom w:type="dxa" w:w="80"/>
              <w:right w:type="dxa" w:w="120"/>
            </w:tcMar>
          </w:tcPr>
          <w:p>
            <w:pPr>
              <w:spacing w:after="0" w:before="0" w:line="260"/>
            </w:pPr>
            <w:r>
              <w:rPr>
                <w:rFonts w:ascii="Georgia" w:cs="Georgia" w:eastAsia="Georgia" w:hAnsi="Georgia"/>
                <w:b w:val="false"/>
                <w:bCs w:val="false"/>
                <w:color w:val="1D1D1D"/>
                <w:sz w:val="20"/>
                <w:szCs w:val="20"/>
              </w:rPr>
              <w:t xml:space="preserve">PET-CT is the most evidence-based for imaging MRD; WB-MRI can be used in routine care</w:t>
            </w:r>
          </w:p>
        </w:tc>
      </w:tr>
    </w:tbl>
    <w:p>
      <w:pPr>
        <w:spacing w:after="80" w:before="80" w:line="300"/>
        <w:jc w:val="left"/>
      </w:pPr>
      <w:r>
        <w:rPr>
          <w:rFonts w:ascii="Georgia" w:cs="Georgia" w:eastAsia="Georgia" w:hAnsi="Georgia"/>
          <w:b w:val="false"/>
          <w:bCs w:val="false"/>
          <w:i/>
          <w:iCs/>
          <w:color w:val="4A4A4A"/>
          <w:sz w:val="18"/>
          <w:szCs w:val="18"/>
        </w:rPr>
        <w:t xml:space="preserve">Source: Kaiser 2024 BSH/UKMS advanced imaging paper; NICE NG35.</w:t>
      </w:r>
    </w:p>
    <w:p>
      <w:pPr>
        <w:spacing w:after="80" w:before="180"/>
      </w:pPr>
      <w:r>
        <w:rPr>
          <w:rFonts w:ascii="Georgia" w:cs="Georgia" w:eastAsia="Georgia" w:hAnsi="Georgia"/>
          <w:b/>
          <w:bCs/>
          <w:color w:val="1D1D1D"/>
          <w:sz w:val="24"/>
          <w:szCs w:val="24"/>
        </w:rPr>
        <w:t xml:space="preserve">Imaging not recommended</w:t>
      </w:r>
    </w:p>
    <w:p>
      <w:pPr>
        <w:pStyle w:val="ListParagraph"/>
        <w:numPr>
          <w:ilvl w:val="0"/>
          <w:numId w:val="2"/>
        </w:numPr>
        <w:spacing w:after="40" w:before="40" w:line="280"/>
      </w:pPr>
      <w:r>
        <w:rPr>
          <w:rFonts w:ascii="Georgia" w:cs="Georgia" w:eastAsia="Georgia" w:hAnsi="Georgia"/>
          <w:b w:val="false"/>
          <w:bCs w:val="false"/>
          <w:i w:val="false"/>
          <w:iCs w:val="false"/>
          <w:color w:val="1D1D1D"/>
          <w:sz w:val="22"/>
          <w:szCs w:val="22"/>
        </w:rPr>
        <w:t xml:space="preserve">Skeletal X-ray survey should not be used as the sole standard assessment where modern whole-body imaging is available.</w:t>
      </w:r>
    </w:p>
    <w:p>
      <w:pPr>
        <w:pStyle w:val="ListParagraph"/>
        <w:numPr>
          <w:ilvl w:val="0"/>
          <w:numId w:val="2"/>
        </w:numPr>
        <w:spacing w:after="40" w:before="40" w:line="280"/>
      </w:pPr>
      <w:r>
        <w:rPr>
          <w:rFonts w:ascii="Georgia" w:cs="Georgia" w:eastAsia="Georgia" w:hAnsi="Georgia"/>
          <w:b w:val="false"/>
          <w:bCs w:val="false"/>
          <w:i w:val="false"/>
          <w:iCs w:val="false"/>
          <w:color w:val="1D1D1D"/>
          <w:sz w:val="22"/>
          <w:szCs w:val="22"/>
        </w:rPr>
        <w:t xml:space="preserve">Axial MRI alone is less complete than WB-MRI and may miss extra-axial disease; reserve it for focused clinical questions such as suspected cord compression or local symptoms.</w:t>
      </w:r>
    </w:p>
    <w:p>
      <w:pPr>
        <w:pStyle w:val="ListParagraph"/>
        <w:numPr>
          <w:ilvl w:val="0"/>
          <w:numId w:val="2"/>
        </w:numPr>
        <w:spacing w:after="40" w:before="40" w:line="280"/>
      </w:pPr>
      <w:r>
        <w:rPr>
          <w:rFonts w:ascii="Georgia" w:cs="Georgia" w:eastAsia="Georgia" w:hAnsi="Georgia"/>
          <w:b w:val="false"/>
          <w:bCs w:val="false"/>
          <w:i w:val="false"/>
          <w:iCs w:val="false"/>
          <w:color w:val="1D1D1D"/>
          <w:sz w:val="22"/>
          <w:szCs w:val="22"/>
        </w:rPr>
        <w:t xml:space="preserve">At relapse, imaging should be matched to the clinical question. Where extramedullary, oligo-secretory or non-secretory progression is suspected, WB-MRI or PET-CT should be considered rather than relying only on cortical bone imaging.</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D8C9CB" w:sz="4"/>
              <w:left w:val="single" w:color="C87A00" w:sz="16"/>
              <w:bottom w:val="single" w:color="D8C9CB" w:sz="4"/>
              <w:right w:val="single" w:color="D8C9CB" w:sz="4"/>
            </w:tcBorders>
            <w:shd w:fill="FFF4E0" w:val="clear"/>
            <w:tcMar>
              <w:top w:type="dxa" w:w="140"/>
              <w:left w:type="dxa" w:w="200"/>
              <w:bottom w:type="dxa" w:w="140"/>
              <w:right w:type="dxa" w:w="160"/>
            </w:tcMar>
          </w:tcPr>
          <w:p>
            <w:pPr>
              <w:spacing w:after="80" w:before="0"/>
            </w:pPr>
            <w:r>
              <w:rPr>
                <w:rFonts w:ascii="Georgia" w:cs="Georgia" w:eastAsia="Georgia" w:hAnsi="Georgia"/>
                <w:b/>
                <w:bCs/>
                <w:color w:val="C87A00"/>
                <w:sz w:val="22"/>
                <w:szCs w:val="22"/>
              </w:rPr>
              <w:t xml:space="preserve">Common pitfall — MSCC and out-of-hours imaging</w:t>
            </w:r>
          </w:p>
          <w:p>
            <w:pPr>
              <w:spacing w:after="0" w:before="0" w:line="280"/>
            </w:pPr>
            <w:r>
              <w:rPr>
                <w:rFonts w:ascii="Georgia" w:cs="Georgia" w:eastAsia="Georgia" w:hAnsi="Georgia"/>
                <w:color w:val="1D1D1D"/>
                <w:sz w:val="22"/>
                <w:szCs w:val="22"/>
              </w:rPr>
              <w:t xml:space="preserve">Suspected metastatic spinal cord compression in a known or suspected myeloma patient is a same-day emergency. WB-MRI is the diagnostic standard. Where WB-MRI access is delayed, urgent MRI of the symptomatic region is the minimum; do not wait for routine WB-MRI capacity.</w:t>
            </w:r>
          </w:p>
        </w:tc>
      </w:tr>
    </w:tbl>
    <w:p>
      <w:pPr>
        <w:pStyle w:val="Heading1"/>
        <w:spacing w:after="160" w:before="360"/>
      </w:pPr>
      <w:r>
        <w:rPr>
          <w:rFonts w:ascii="Georgia" w:cs="Georgia" w:eastAsia="Georgia" w:hAnsi="Georgia"/>
          <w:b/>
          <w:bCs/>
          <w:color w:val="7A1F2B"/>
          <w:sz w:val="30"/>
          <w:szCs w:val="30"/>
        </w:rPr>
        <w:t xml:space="preserve">11. </w:t>
      </w:r>
      <w:r>
        <w:rPr>
          <w:rFonts w:ascii="Georgia" w:cs="Georgia" w:eastAsia="Georgia" w:hAnsi="Georgia"/>
          <w:b/>
          <w:bCs/>
          <w:color w:val="7A1F2B"/>
          <w:sz w:val="30"/>
          <w:szCs w:val="30"/>
        </w:rPr>
        <w:t xml:space="preserve">Relapsed and Refractory Myeloma</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1E5D8C" w:sz="4"/>
              <w:left w:val="single" w:color="1E5D8C" w:sz="4"/>
              <w:bottom w:val="single" w:color="1E5D8C" w:sz="4"/>
              <w:right w:val="single" w:color="1E5D8C" w:sz="4"/>
            </w:tcBorders>
            <w:shd w:fill="E7F0F7" w:val="clear"/>
            <w:tcMar>
              <w:top w:type="dxa" w:w="140"/>
              <w:left w:type="dxa" w:w="160"/>
              <w:bottom w:type="dxa" w:w="140"/>
              <w:right w:type="dxa" w:w="160"/>
            </w:tcMar>
          </w:tcPr>
          <w:p>
            <w:pPr>
              <w:spacing w:after="80" w:before="0"/>
            </w:pPr>
            <w:r>
              <w:rPr>
                <w:rFonts w:ascii="Georgia" w:cs="Georgia" w:eastAsia="Georgia" w:hAnsi="Georgia"/>
                <w:b/>
                <w:bCs/>
                <w:color w:val="1E5D8C"/>
                <w:sz w:val="22"/>
                <w:szCs w:val="22"/>
              </w:rPr>
              <w:t xml:space="preserve">Clinical Vignette</w:t>
            </w:r>
          </w:p>
          <w:p>
            <w:pPr>
              <w:spacing w:after="0" w:before="0" w:line="280"/>
            </w:pPr>
            <w:r>
              <w:rPr>
                <w:rFonts w:ascii="Georgia" w:cs="Georgia" w:eastAsia="Georgia" w:hAnsi="Georgia"/>
                <w:color w:val="1D1D1D"/>
                <w:sz w:val="22"/>
                <w:szCs w:val="22"/>
              </w:rPr>
              <w:t xml:space="preserve">A 64-year-old man, three years post-ASCT, has had stable disease on lenalidomide maintenance. He attends with rising IgG-kappa M-protein from 8 to 22 g/L over four months and a fall in haemoglobin from 128 to 104 g/L. No bone pain, no hypercalcaemia. Repeat FISH shows acquired gain(1q) and del(17p) not present at diagnosis. He has a working knowledge of his diagnosis and asks about cellular therapies. What is the appropriate next step?</w:t>
            </w:r>
          </w:p>
        </w:tc>
      </w:tr>
    </w:tbl>
    <w:p>
      <w:pPr>
        <w:spacing w:after="80" w:before="80" w:line="300"/>
        <w:jc w:val="left"/>
      </w:pPr>
      <w:r>
        <w:rPr>
          <w:rFonts w:ascii="Georgia" w:cs="Georgia" w:eastAsia="Georgia" w:hAnsi="Georgia"/>
          <w:b w:val="false"/>
          <w:bCs w:val="false"/>
          <w:i w:val="false"/>
          <w:iCs w:val="false"/>
          <w:color w:val="1D1D1D"/>
          <w:sz w:val="22"/>
          <w:szCs w:val="22"/>
        </w:rPr>
        <w:t xml:space="preserve">Definitions follow IMWG and BSH/UKMS 2025. Relapsed myeloma (RMM) describes serological or clinical progression in patients who had a minimal response or better. Relapsed and refractory myeloma (RRMM) describes progression on treatment or within 60 days of completing the last therapy. Triple-class refractory myeloma is refractoriness to at least one IMiD, one PI and one anti-CD38 monoclonal antibody. Penta-refractory myeloma is refractoriness to two IMiDs, two PIs and an anti-CD38 antibody.</w:t>
      </w:r>
    </w:p>
    <w:p>
      <w:pPr>
        <w:spacing w:after="80" w:before="180"/>
      </w:pPr>
      <w:r>
        <w:rPr>
          <w:rFonts w:ascii="Georgia" w:cs="Georgia" w:eastAsia="Georgia" w:hAnsi="Georgia"/>
          <w:b/>
          <w:bCs/>
          <w:color w:val="1D1D1D"/>
          <w:sz w:val="24"/>
          <w:szCs w:val="24"/>
        </w:rPr>
        <w:t xml:space="preserve">Evaluation at progression</w:t>
      </w:r>
    </w:p>
    <w:p>
      <w:pPr>
        <w:pStyle w:val="ListParagraph"/>
        <w:numPr>
          <w:ilvl w:val="0"/>
          <w:numId w:val="2"/>
        </w:numPr>
        <w:spacing w:after="40" w:before="40" w:line="280"/>
      </w:pPr>
      <w:r>
        <w:rPr>
          <w:rFonts w:ascii="Georgia" w:cs="Georgia" w:eastAsia="Georgia" w:hAnsi="Georgia"/>
          <w:b w:val="false"/>
          <w:bCs w:val="false"/>
          <w:i w:val="false"/>
          <w:iCs w:val="false"/>
          <w:color w:val="1D1D1D"/>
          <w:sz w:val="22"/>
          <w:szCs w:val="22"/>
        </w:rPr>
        <w:t xml:space="preserve">Repeat FBC, U and E, calcium, LDH, beta-2 microglobulin, immunoglobulins, SPE, immunofixation and serum FLC.</w:t>
      </w:r>
    </w:p>
    <w:p>
      <w:pPr>
        <w:pStyle w:val="ListParagraph"/>
        <w:numPr>
          <w:ilvl w:val="0"/>
          <w:numId w:val="2"/>
        </w:numPr>
        <w:spacing w:after="40" w:before="40" w:line="280"/>
      </w:pPr>
      <w:r>
        <w:rPr>
          <w:rFonts w:ascii="Georgia" w:cs="Georgia" w:eastAsia="Georgia" w:hAnsi="Georgia"/>
          <w:b w:val="false"/>
          <w:bCs w:val="false"/>
          <w:i w:val="false"/>
          <w:iCs w:val="false"/>
          <w:color w:val="1D1D1D"/>
          <w:sz w:val="22"/>
          <w:szCs w:val="22"/>
        </w:rPr>
        <w:t xml:space="preserve">Bone marrow aspirate and trephine, particularly at first or second relapse, to characterise the clone and exclude myelodysplasia. Repeat FISH where genomic information may direct therapy (for example t(11;14) for venetoclax).</w:t>
      </w:r>
    </w:p>
    <w:p>
      <w:pPr>
        <w:pStyle w:val="ListParagraph"/>
        <w:numPr>
          <w:ilvl w:val="0"/>
          <w:numId w:val="2"/>
        </w:numPr>
        <w:spacing w:after="40" w:before="40" w:line="280"/>
      </w:pPr>
      <w:r>
        <w:rPr>
          <w:rFonts w:ascii="Georgia" w:cs="Georgia" w:eastAsia="Georgia" w:hAnsi="Georgia"/>
          <w:b w:val="false"/>
          <w:bCs w:val="false"/>
          <w:i w:val="false"/>
          <w:iCs w:val="false"/>
          <w:color w:val="1D1D1D"/>
          <w:sz w:val="22"/>
          <w:szCs w:val="22"/>
        </w:rPr>
        <w:t xml:space="preserve">Functional cross-sectional imaging (WB-MRI or PET-CT) for new bone symptoms, oligo-secretory or extramedullary disease. Plain X-ray is inadequate.</w:t>
      </w:r>
    </w:p>
    <w:p>
      <w:pPr>
        <w:pStyle w:val="ListParagraph"/>
        <w:numPr>
          <w:ilvl w:val="0"/>
          <w:numId w:val="2"/>
        </w:numPr>
        <w:spacing w:after="40" w:before="40" w:line="280"/>
      </w:pPr>
      <w:r>
        <w:rPr>
          <w:rFonts w:ascii="Georgia" w:cs="Georgia" w:eastAsia="Georgia" w:hAnsi="Georgia"/>
          <w:b w:val="false"/>
          <w:bCs w:val="false"/>
          <w:i w:val="false"/>
          <w:iCs w:val="false"/>
          <w:color w:val="1D1D1D"/>
          <w:sz w:val="22"/>
          <w:szCs w:val="22"/>
        </w:rPr>
        <w:t xml:space="preserve">Full reassessment of patient-specific factors: previous response, toxicities, performance status, frailty, comorbidity, preference and trial eligibility.</w:t>
      </w:r>
    </w:p>
    <w:p>
      <w:pPr>
        <w:spacing w:after="80" w:before="180"/>
      </w:pPr>
      <w:r>
        <w:rPr>
          <w:rFonts w:ascii="Georgia" w:cs="Georgia" w:eastAsia="Georgia" w:hAnsi="Georgia"/>
          <w:b/>
          <w:bCs/>
          <w:color w:val="1D1D1D"/>
          <w:sz w:val="24"/>
          <w:szCs w:val="24"/>
        </w:rPr>
        <w:t xml:space="preserve">Asymptomatic biochemical relapse</w:t>
      </w:r>
    </w:p>
    <w:p>
      <w:pPr>
        <w:pStyle w:val="ListParagraph"/>
        <w:numPr>
          <w:ilvl w:val="0"/>
          <w:numId w:val="2"/>
        </w:numPr>
        <w:spacing w:after="40" w:before="40" w:line="280"/>
      </w:pPr>
      <w:r>
        <w:rPr>
          <w:rFonts w:ascii="Georgia" w:cs="Georgia" w:eastAsia="Georgia" w:hAnsi="Georgia"/>
          <w:b w:val="false"/>
          <w:bCs w:val="false"/>
          <w:i w:val="false"/>
          <w:iCs w:val="false"/>
          <w:color w:val="1D1D1D"/>
          <w:sz w:val="22"/>
          <w:szCs w:val="22"/>
        </w:rPr>
        <w:t xml:space="preserve">Slow progression without CRAB criteria can be monitored initially every month.</w:t>
      </w:r>
    </w:p>
    <w:p>
      <w:pPr>
        <w:pStyle w:val="ListParagraph"/>
        <w:numPr>
          <w:ilvl w:val="0"/>
          <w:numId w:val="2"/>
        </w:numPr>
        <w:spacing w:after="40" w:before="40" w:line="280"/>
      </w:pPr>
      <w:r>
        <w:rPr>
          <w:rFonts w:ascii="Georgia" w:cs="Georgia" w:eastAsia="Georgia" w:hAnsi="Georgia"/>
          <w:b w:val="false"/>
          <w:bCs w:val="false"/>
          <w:i w:val="false"/>
          <w:iCs w:val="false"/>
          <w:color w:val="1D1D1D"/>
          <w:sz w:val="22"/>
          <w:szCs w:val="22"/>
        </w:rPr>
        <w:t xml:space="preserve">A rapid trajectory of biochemical progression, high-risk features, prior short treatment-free interval, light chain renal injury, extramedullary disease or unfavourable cytogenetics support earlier treatment initiation.</w:t>
      </w:r>
    </w:p>
    <w:p>
      <w:pPr>
        <w:spacing w:after="80" w:before="180"/>
      </w:pPr>
      <w:r>
        <w:rPr>
          <w:rFonts w:ascii="Georgia" w:cs="Georgia" w:eastAsia="Georgia" w:hAnsi="Georgia"/>
          <w:b/>
          <w:bCs/>
          <w:color w:val="1D1D1D"/>
          <w:sz w:val="24"/>
          <w:szCs w:val="24"/>
        </w:rPr>
        <w:t xml:space="preserve">Principles of treatment selection (BSH/UKMS 2025)</w:t>
      </w:r>
    </w:p>
    <w:p>
      <w:pPr>
        <w:pStyle w:val="ListParagraph"/>
        <w:numPr>
          <w:ilvl w:val="0"/>
          <w:numId w:val="2"/>
        </w:numPr>
        <w:spacing w:after="40" w:before="40" w:line="280"/>
      </w:pPr>
      <w:r>
        <w:rPr>
          <w:rFonts w:ascii="Georgia" w:cs="Georgia" w:eastAsia="Georgia" w:hAnsi="Georgia"/>
          <w:b w:val="false"/>
          <w:bCs w:val="false"/>
          <w:i w:val="false"/>
          <w:iCs w:val="false"/>
          <w:color w:val="1D1D1D"/>
          <w:sz w:val="22"/>
          <w:szCs w:val="22"/>
        </w:rPr>
        <w:t xml:space="preserve">Triplet regimens are recommended over doublets, subject to tolerance (Strong / High).</w:t>
      </w:r>
    </w:p>
    <w:p>
      <w:pPr>
        <w:pStyle w:val="ListParagraph"/>
        <w:numPr>
          <w:ilvl w:val="0"/>
          <w:numId w:val="2"/>
        </w:numPr>
        <w:spacing w:after="40" w:before="40" w:line="280"/>
      </w:pPr>
      <w:r>
        <w:rPr>
          <w:rFonts w:ascii="Georgia" w:cs="Georgia" w:eastAsia="Georgia" w:hAnsi="Georgia"/>
          <w:b w:val="false"/>
          <w:bCs w:val="false"/>
          <w:i w:val="false"/>
          <w:iCs w:val="false"/>
          <w:color w:val="1D1D1D"/>
          <w:sz w:val="22"/>
          <w:szCs w:val="22"/>
        </w:rPr>
        <w:t xml:space="preserve">Generally use a PI–IMiD–steroid combination (carfilzomib–lenalidomide–dexamethasone; ixazomib–lenalidomide–dexamethasone; pomalidomide–bortezomib–dexamethasone).</w:t>
      </w:r>
    </w:p>
    <w:p>
      <w:pPr>
        <w:pStyle w:val="ListParagraph"/>
        <w:numPr>
          <w:ilvl w:val="0"/>
          <w:numId w:val="2"/>
        </w:numPr>
        <w:spacing w:after="40" w:before="40" w:line="280"/>
      </w:pPr>
      <w:r>
        <w:rPr>
          <w:rFonts w:ascii="Georgia" w:cs="Georgia" w:eastAsia="Georgia" w:hAnsi="Georgia"/>
          <w:b w:val="false"/>
          <w:bCs w:val="false"/>
          <w:i w:val="false"/>
          <w:iCs w:val="false"/>
          <w:color w:val="1D1D1D"/>
          <w:sz w:val="22"/>
          <w:szCs w:val="22"/>
        </w:rPr>
        <w:t xml:space="preserve">Switch backbone agent from the most recent regimen unless there has been a long treatment-free interval.</w:t>
      </w:r>
    </w:p>
    <w:p>
      <w:pPr>
        <w:pStyle w:val="ListParagraph"/>
        <w:numPr>
          <w:ilvl w:val="0"/>
          <w:numId w:val="2"/>
        </w:numPr>
        <w:spacing w:after="40" w:before="40" w:line="280"/>
      </w:pPr>
      <w:r>
        <w:rPr>
          <w:rFonts w:ascii="Georgia" w:cs="Georgia" w:eastAsia="Georgia" w:hAnsi="Georgia"/>
          <w:b w:val="false"/>
          <w:bCs w:val="false"/>
          <w:i w:val="false"/>
          <w:iCs w:val="false"/>
          <w:color w:val="1D1D1D"/>
          <w:sz w:val="22"/>
          <w:szCs w:val="22"/>
        </w:rPr>
        <w:t xml:space="preserve">When a PI doublet is used, carfilzomib–dexamethasone is preferred to bortezomib–dexamethasone.</w:t>
      </w:r>
    </w:p>
    <w:p>
      <w:pPr>
        <w:pStyle w:val="ListParagraph"/>
        <w:numPr>
          <w:ilvl w:val="0"/>
          <w:numId w:val="2"/>
        </w:numPr>
        <w:spacing w:after="40" w:before="40" w:line="280"/>
      </w:pPr>
      <w:r>
        <w:rPr>
          <w:rFonts w:ascii="Georgia" w:cs="Georgia" w:eastAsia="Georgia" w:hAnsi="Georgia"/>
          <w:b w:val="false"/>
          <w:bCs w:val="false"/>
          <w:i w:val="false"/>
          <w:iCs w:val="false"/>
          <w:color w:val="1D1D1D"/>
          <w:sz w:val="22"/>
          <w:szCs w:val="22"/>
        </w:rPr>
        <w:t xml:space="preserve">When an IMiD doublet is used, lenalidomide–dexamethasone or pomalidomide–dexamethasone are options.</w:t>
      </w:r>
    </w:p>
    <w:p>
      <w:pPr>
        <w:pStyle w:val="ListParagraph"/>
        <w:numPr>
          <w:ilvl w:val="0"/>
          <w:numId w:val="2"/>
        </w:numPr>
        <w:spacing w:after="40" w:before="40" w:line="280"/>
      </w:pPr>
      <w:r>
        <w:rPr>
          <w:rFonts w:ascii="Georgia" w:cs="Georgia" w:eastAsia="Georgia" w:hAnsi="Georgia"/>
          <w:b w:val="false"/>
          <w:bCs w:val="false"/>
          <w:i w:val="false"/>
          <w:iCs w:val="false"/>
          <w:color w:val="1D1D1D"/>
          <w:sz w:val="22"/>
          <w:szCs w:val="22"/>
        </w:rPr>
        <w:t xml:space="preserve">Use risk-adapted thromboprophylaxis with all IMiDs and varicella zoster prophylaxis with proteasome inhibitors.</w:t>
      </w:r>
    </w:p>
    <w:p>
      <w:pPr>
        <w:pStyle w:val="ListParagraph"/>
        <w:numPr>
          <w:ilvl w:val="0"/>
          <w:numId w:val="2"/>
        </w:numPr>
        <w:spacing w:after="40" w:before="40" w:line="280"/>
      </w:pPr>
      <w:r>
        <w:rPr>
          <w:rFonts w:ascii="Georgia" w:cs="Georgia" w:eastAsia="Georgia" w:hAnsi="Georgia"/>
          <w:b w:val="false"/>
          <w:bCs w:val="false"/>
          <w:i w:val="false"/>
          <w:iCs w:val="false"/>
          <w:color w:val="1D1D1D"/>
          <w:sz w:val="22"/>
          <w:szCs w:val="22"/>
        </w:rPr>
        <w:t xml:space="preserve">Restart bisphosphonates at frank relapse if previously stopped.</w:t>
      </w:r>
    </w:p>
    <w:p>
      <w:pPr>
        <w:pStyle w:val="ListParagraph"/>
        <w:numPr>
          <w:ilvl w:val="0"/>
          <w:numId w:val="2"/>
        </w:numPr>
        <w:spacing w:after="40" w:before="40" w:line="280"/>
      </w:pPr>
      <w:r>
        <w:rPr>
          <w:rFonts w:ascii="Georgia" w:cs="Georgia" w:eastAsia="Georgia" w:hAnsi="Georgia"/>
          <w:b w:val="false"/>
          <w:bCs w:val="false"/>
          <w:i w:val="false"/>
          <w:iCs w:val="false"/>
          <w:color w:val="1D1D1D"/>
          <w:sz w:val="22"/>
          <w:szCs w:val="22"/>
        </w:rPr>
        <w:t xml:space="preserve">Clinical trial enrolment should be considered at every line of therapy, including in multiply-relapsed patients.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D8C9CB" w:sz="4"/>
              <w:left w:val="single" w:color="7A1F2B" w:sz="16"/>
              <w:bottom w:val="single" w:color="D8C9CB" w:sz="4"/>
              <w:right w:val="single" w:color="D8C9CB" w:sz="4"/>
            </w:tcBorders>
            <w:shd w:fill="F5E9EB" w:val="clear"/>
            <w:tcMar>
              <w:top w:type="dxa" w:w="140"/>
              <w:left w:type="dxa" w:w="200"/>
              <w:bottom w:type="dxa" w:w="140"/>
              <w:right w:type="dxa" w:w="160"/>
            </w:tcMar>
          </w:tcPr>
          <w:p>
            <w:pPr>
              <w:spacing w:after="80" w:before="0"/>
            </w:pPr>
            <w:r>
              <w:rPr>
                <w:rFonts w:ascii="Georgia" w:cs="Georgia" w:eastAsia="Georgia" w:hAnsi="Georgia"/>
                <w:b/>
                <w:bCs/>
                <w:color w:val="7A1F2B"/>
                <w:sz w:val="22"/>
                <w:szCs w:val="22"/>
              </w:rPr>
              <w:t xml:space="preserve">Pattern recognition — class-switch at relapse</w:t>
            </w:r>
          </w:p>
          <w:p>
            <w:pPr>
              <w:spacing w:after="0" w:before="0" w:line="280"/>
            </w:pPr>
            <w:r>
              <w:rPr>
                <w:rFonts w:ascii="Georgia" w:cs="Georgia" w:eastAsia="Georgia" w:hAnsi="Georgia"/>
                <w:color w:val="1D1D1D"/>
                <w:sz w:val="22"/>
                <w:szCs w:val="22"/>
              </w:rPr>
              <w:t xml:space="preserve">The most reliable principle in relapsed myeloma is to switch the backbone class from the most recent line, unless the treatment-free interval has been long. PI-refractory disease usually responds to an IMiD-backboned regimen and vice-versa; anti-CD38 sensitivity may be retained after a sufficient interval since last exposure.</w:t>
            </w:r>
          </w:p>
        </w:tc>
      </w:tr>
    </w:tbl>
    <w:p>
      <w:pPr>
        <w:spacing w:after="80" w:before="180"/>
      </w:pPr>
      <w:r>
        <w:rPr>
          <w:rFonts w:ascii="Georgia" w:cs="Georgia" w:eastAsia="Georgia" w:hAnsi="Georgia"/>
          <w:b/>
          <w:bCs/>
          <w:color w:val="1D1D1D"/>
          <w:sz w:val="24"/>
          <w:szCs w:val="24"/>
        </w:rPr>
        <w:t xml:space="preserve">UK-relevant regimens at relapse</w:t>
      </w:r>
    </w:p>
    <w:p>
      <w:pPr>
        <w:spacing w:after="40" w:before="160" w:line="300"/>
        <w:jc w:val="left"/>
      </w:pPr>
      <w:r>
        <w:rPr>
          <w:rFonts w:ascii="Georgia" w:cs="Georgia" w:eastAsia="Georgia" w:hAnsi="Georgia"/>
          <w:b/>
          <w:bCs/>
          <w:i w:val="false"/>
          <w:iCs w:val="false"/>
          <w:color w:val="7A1F2B"/>
          <w:sz w:val="23"/>
          <w:szCs w:val="23"/>
        </w:rPr>
        <w:t xml:space="preserve">Carfilzomib + lenalidomide + dexamethasone (KRd)</w:t>
      </w:r>
    </w:p>
    <w:p>
      <w:pPr>
        <w:spacing w:after="80" w:before="80" w:line="300"/>
        <w:jc w:val="left"/>
      </w:pPr>
      <w:r>
        <w:rPr>
          <w:rFonts w:ascii="Georgia" w:cs="Georgia" w:eastAsia="Georgia" w:hAnsi="Georgia"/>
          <w:b/>
          <w:bCs/>
          <w:i w:val="false"/>
          <w:iCs w:val="false"/>
          <w:color w:val="7A1F2B"/>
          <w:sz w:val="20"/>
          <w:szCs w:val="20"/>
        </w:rPr>
        <w:t xml:space="preserve">NICE TA695</w:t>
      </w:r>
      <w:r>
        <w:rPr>
          <w:rFonts w:ascii="Georgia" w:cs="Georgia" w:eastAsia="Georgia" w:hAnsi="Georgia"/>
          <w:b w:val="false"/>
          <w:bCs w:val="false"/>
          <w:i w:val="false"/>
          <w:iCs w:val="false"/>
          <w:color w:val="1D1D1D"/>
          <w:sz w:val="22"/>
          <w:szCs w:val="22"/>
        </w:rPr>
        <w:t xml:space="preserve">   </w:t>
      </w:r>
      <w:r>
        <w:rPr>
          <w:rFonts w:ascii="Georgia" w:cs="Georgia" w:eastAsia="Georgia" w:hAnsi="Georgia"/>
          <w:b/>
          <w:bCs/>
          <w:i w:val="false"/>
          <w:iCs w:val="false"/>
          <w:color w:val="2A6B3B"/>
          <w:sz w:val="20"/>
          <w:szCs w:val="20"/>
        </w:rPr>
        <w:t xml:space="preserve">High / Strong</w:t>
      </w:r>
    </w:p>
    <w:p>
      <w:pPr>
        <w:spacing w:after="40" w:before="40" w:line="300"/>
        <w:jc w:val="left"/>
      </w:pPr>
      <w:r>
        <w:rPr>
          <w:rFonts w:ascii="Georgia" w:cs="Georgia" w:eastAsia="Georgia" w:hAnsi="Georgia"/>
          <w:b/>
          <w:bCs/>
          <w:i w:val="false"/>
          <w:iCs w:val="false"/>
          <w:color w:val="1D1D1D"/>
          <w:sz w:val="22"/>
          <w:szCs w:val="22"/>
        </w:rPr>
        <w:t xml:space="preserve">Dose: </w:t>
      </w:r>
      <w:r>
        <w:rPr>
          <w:rFonts w:ascii="Georgia" w:cs="Georgia" w:eastAsia="Georgia" w:hAnsi="Georgia"/>
          <w:b w:val="false"/>
          <w:bCs w:val="false"/>
          <w:i w:val="false"/>
          <w:iCs w:val="false"/>
          <w:color w:val="1D1D1D"/>
          <w:sz w:val="22"/>
          <w:szCs w:val="22"/>
        </w:rPr>
        <w:t xml:space="preserve">Carfilzomib 27 mg/m squared IV (escalating from 20 mg/m squared on cycle 1 day 1) days 1, 2, 8, 9, 15, 16; lenalidomide 25 mg PO days 1 to 21; dexamethasone 40 mg weekly. 28-day cycles.</w:t>
      </w:r>
    </w:p>
    <w:p>
      <w:pPr>
        <w:spacing w:after="40" w:before="40" w:line="300"/>
        <w:jc w:val="left"/>
      </w:pPr>
      <w:r>
        <w:rPr>
          <w:rFonts w:ascii="Georgia" w:cs="Georgia" w:eastAsia="Georgia" w:hAnsi="Georgia"/>
          <w:b/>
          <w:bCs/>
          <w:i w:val="false"/>
          <w:iCs w:val="false"/>
          <w:color w:val="1D1D1D"/>
          <w:sz w:val="22"/>
          <w:szCs w:val="22"/>
        </w:rPr>
        <w:t xml:space="preserve">NICE TA: </w:t>
      </w:r>
      <w:r>
        <w:rPr>
          <w:rFonts w:ascii="Georgia" w:cs="Georgia" w:eastAsia="Georgia" w:hAnsi="Georgia"/>
          <w:b w:val="false"/>
          <w:bCs w:val="false"/>
          <w:i w:val="false"/>
          <w:iCs w:val="false"/>
          <w:color w:val="1D1D1D"/>
          <w:sz w:val="22"/>
          <w:szCs w:val="22"/>
        </w:rPr>
        <w:t xml:space="preserve">TA695, recommended for previously treated multiple myeloma (partially replaces TA657).</w:t>
      </w:r>
    </w:p>
    <w:p>
      <w:pPr>
        <w:spacing w:after="40" w:before="40" w:line="300"/>
        <w:jc w:val="left"/>
      </w:pPr>
      <w:r>
        <w:rPr>
          <w:rFonts w:ascii="Georgia" w:cs="Georgia" w:eastAsia="Georgia" w:hAnsi="Georgia"/>
          <w:b/>
          <w:bCs/>
          <w:i w:val="false"/>
          <w:iCs w:val="false"/>
          <w:color w:val="1D1D1D"/>
          <w:sz w:val="22"/>
          <w:szCs w:val="22"/>
        </w:rPr>
        <w:t xml:space="preserve">Trial basis: </w:t>
      </w:r>
      <w:r>
        <w:rPr>
          <w:rFonts w:ascii="Georgia" w:cs="Georgia" w:eastAsia="Georgia" w:hAnsi="Georgia"/>
          <w:b w:val="false"/>
          <w:bCs w:val="false"/>
          <w:i w:val="false"/>
          <w:iCs w:val="false"/>
          <w:color w:val="1D1D1D"/>
          <w:sz w:val="22"/>
          <w:szCs w:val="22"/>
        </w:rPr>
        <w:t xml:space="preserve">ASPIRE (Stewart et al., NEJM 2015). Improved PFS and OS over Rd.</w:t>
      </w:r>
    </w:p>
    <w:p>
      <w:pPr>
        <w:spacing w:after="40" w:before="160" w:line="300"/>
        <w:jc w:val="left"/>
      </w:pPr>
      <w:r>
        <w:rPr>
          <w:rFonts w:ascii="Georgia" w:cs="Georgia" w:eastAsia="Georgia" w:hAnsi="Georgia"/>
          <w:b/>
          <w:bCs/>
          <w:i w:val="false"/>
          <w:iCs w:val="false"/>
          <w:color w:val="7A1F2B"/>
          <w:sz w:val="23"/>
          <w:szCs w:val="23"/>
        </w:rPr>
        <w:t xml:space="preserve">Daratumumab + bortezomib + dexamethasone (Dara-Vd)</w:t>
      </w:r>
    </w:p>
    <w:p>
      <w:pPr>
        <w:spacing w:after="80" w:before="80" w:line="300"/>
        <w:jc w:val="left"/>
      </w:pPr>
      <w:r>
        <w:rPr>
          <w:rFonts w:ascii="Georgia" w:cs="Georgia" w:eastAsia="Georgia" w:hAnsi="Georgia"/>
          <w:b/>
          <w:bCs/>
          <w:i w:val="false"/>
          <w:iCs w:val="false"/>
          <w:color w:val="2A6B3B"/>
          <w:sz w:val="20"/>
          <w:szCs w:val="20"/>
        </w:rPr>
        <w:t xml:space="preserve">High / Strong</w:t>
      </w:r>
    </w:p>
    <w:p>
      <w:pPr>
        <w:spacing w:after="40" w:before="40" w:line="300"/>
        <w:jc w:val="left"/>
      </w:pPr>
      <w:r>
        <w:rPr>
          <w:rFonts w:ascii="Georgia" w:cs="Georgia" w:eastAsia="Georgia" w:hAnsi="Georgia"/>
          <w:b/>
          <w:bCs/>
          <w:i w:val="false"/>
          <w:iCs w:val="false"/>
          <w:color w:val="1D1D1D"/>
          <w:sz w:val="22"/>
          <w:szCs w:val="22"/>
        </w:rPr>
        <w:t xml:space="preserve">Dose: </w:t>
      </w:r>
      <w:r>
        <w:rPr>
          <w:rFonts w:ascii="Georgia" w:cs="Georgia" w:eastAsia="Georgia" w:hAnsi="Georgia"/>
          <w:b w:val="false"/>
          <w:bCs w:val="false"/>
          <w:i w:val="false"/>
          <w:iCs w:val="false"/>
          <w:color w:val="1D1D1D"/>
          <w:sz w:val="22"/>
          <w:szCs w:val="22"/>
        </w:rPr>
        <w:t xml:space="preserve">Daratumumab subcutaneous 1,800 mg weekly cycles 1 to 3, every 3 weeks cycles 4 to 8, then every 4 weeks; bortezomib 1.3 mg/m squared SC days 1, 4, 8, 11; dexamethasone 20 mg D1-2, 4-5, 8-9, 11-12 of 21-day cycle.</w:t>
      </w:r>
    </w:p>
    <w:p>
      <w:pPr>
        <w:spacing w:after="40" w:before="40" w:line="300"/>
        <w:jc w:val="left"/>
      </w:pPr>
      <w:r>
        <w:rPr>
          <w:rFonts w:ascii="Georgia" w:cs="Georgia" w:eastAsia="Georgia" w:hAnsi="Georgia"/>
          <w:b/>
          <w:bCs/>
          <w:i w:val="false"/>
          <w:iCs w:val="false"/>
          <w:color w:val="1D1D1D"/>
          <w:sz w:val="22"/>
          <w:szCs w:val="22"/>
        </w:rPr>
        <w:t xml:space="preserve">Trial basis: </w:t>
      </w:r>
      <w:r>
        <w:rPr>
          <w:rFonts w:ascii="Georgia" w:cs="Georgia" w:eastAsia="Georgia" w:hAnsi="Georgia"/>
          <w:b w:val="false"/>
          <w:bCs w:val="false"/>
          <w:i w:val="false"/>
          <w:iCs w:val="false"/>
          <w:color w:val="1D1D1D"/>
          <w:sz w:val="22"/>
          <w:szCs w:val="22"/>
        </w:rPr>
        <w:t xml:space="preserve">CASTOR (Palumbo et al., NEJM 2016). Improved PFS over Vd.</w:t>
      </w:r>
    </w:p>
    <w:p>
      <w:pPr>
        <w:spacing w:after="40" w:before="40" w:line="300"/>
        <w:jc w:val="left"/>
      </w:pPr>
      <w:r>
        <w:rPr>
          <w:rFonts w:ascii="Georgia" w:cs="Georgia" w:eastAsia="Georgia" w:hAnsi="Georgia"/>
          <w:b/>
          <w:bCs/>
          <w:i w:val="false"/>
          <w:iCs w:val="false"/>
          <w:color w:val="1D1D1D"/>
          <w:sz w:val="22"/>
          <w:szCs w:val="22"/>
        </w:rPr>
        <w:t xml:space="preserve">Notes: </w:t>
      </w:r>
      <w:r>
        <w:rPr>
          <w:rFonts w:ascii="Georgia" w:cs="Georgia" w:eastAsia="Georgia" w:hAnsi="Georgia"/>
          <w:b w:val="false"/>
          <w:bCs w:val="false"/>
          <w:i w:val="false"/>
          <w:iCs w:val="false"/>
          <w:color w:val="1D1D1D"/>
          <w:sz w:val="22"/>
          <w:szCs w:val="22"/>
        </w:rPr>
        <w:t xml:space="preserve">NICE TA status varies by line of therapy and prior exposure; verify current TA before prescribing.</w:t>
      </w:r>
    </w:p>
    <w:p>
      <w:pPr>
        <w:spacing w:after="40" w:before="160" w:line="300"/>
        <w:jc w:val="left"/>
      </w:pPr>
      <w:r>
        <w:rPr>
          <w:rFonts w:ascii="Georgia" w:cs="Georgia" w:eastAsia="Georgia" w:hAnsi="Georgia"/>
          <w:b/>
          <w:bCs/>
          <w:i w:val="false"/>
          <w:iCs w:val="false"/>
          <w:color w:val="7A1F2B"/>
          <w:sz w:val="23"/>
          <w:szCs w:val="23"/>
        </w:rPr>
        <w:t xml:space="preserve">Daratumumab + lenalidomide + dexamethasone (Dara-Rd)</w:t>
      </w:r>
    </w:p>
    <w:p>
      <w:pPr>
        <w:spacing w:after="80" w:before="80" w:line="300"/>
        <w:jc w:val="left"/>
      </w:pPr>
      <w:r>
        <w:rPr>
          <w:rFonts w:ascii="Georgia" w:cs="Georgia" w:eastAsia="Georgia" w:hAnsi="Georgia"/>
          <w:b/>
          <w:bCs/>
          <w:i w:val="false"/>
          <w:iCs w:val="false"/>
          <w:color w:val="2A6B3B"/>
          <w:sz w:val="20"/>
          <w:szCs w:val="20"/>
        </w:rPr>
        <w:t xml:space="preserve">High / Strong</w:t>
      </w:r>
    </w:p>
    <w:p>
      <w:pPr>
        <w:spacing w:after="40" w:before="40" w:line="300"/>
        <w:jc w:val="left"/>
      </w:pPr>
      <w:r>
        <w:rPr>
          <w:rFonts w:ascii="Georgia" w:cs="Georgia" w:eastAsia="Georgia" w:hAnsi="Georgia"/>
          <w:b/>
          <w:bCs/>
          <w:i w:val="false"/>
          <w:iCs w:val="false"/>
          <w:color w:val="1D1D1D"/>
          <w:sz w:val="22"/>
          <w:szCs w:val="22"/>
        </w:rPr>
        <w:t xml:space="preserve">Dose: </w:t>
      </w:r>
      <w:r>
        <w:rPr>
          <w:rFonts w:ascii="Georgia" w:cs="Georgia" w:eastAsia="Georgia" w:hAnsi="Georgia"/>
          <w:b w:val="false"/>
          <w:bCs w:val="false"/>
          <w:i w:val="false"/>
          <w:iCs w:val="false"/>
          <w:color w:val="1D1D1D"/>
          <w:sz w:val="22"/>
          <w:szCs w:val="22"/>
        </w:rPr>
        <w:t xml:space="preserve">Daratumumab subcutaneous; lenalidomide 25 mg PO days 1 to 21 of 28-day cycle; dexamethasone 40 mg weekly.</w:t>
      </w:r>
    </w:p>
    <w:p>
      <w:pPr>
        <w:spacing w:after="40" w:before="40" w:line="300"/>
        <w:jc w:val="left"/>
      </w:pPr>
      <w:r>
        <w:rPr>
          <w:rFonts w:ascii="Georgia" w:cs="Georgia" w:eastAsia="Georgia" w:hAnsi="Georgia"/>
          <w:b/>
          <w:bCs/>
          <w:i w:val="false"/>
          <w:iCs w:val="false"/>
          <w:color w:val="1D1D1D"/>
          <w:sz w:val="22"/>
          <w:szCs w:val="22"/>
        </w:rPr>
        <w:t xml:space="preserve">Trial basis: </w:t>
      </w:r>
      <w:r>
        <w:rPr>
          <w:rFonts w:ascii="Georgia" w:cs="Georgia" w:eastAsia="Georgia" w:hAnsi="Georgia"/>
          <w:b w:val="false"/>
          <w:bCs w:val="false"/>
          <w:i w:val="false"/>
          <w:iCs w:val="false"/>
          <w:color w:val="1D1D1D"/>
          <w:sz w:val="22"/>
          <w:szCs w:val="22"/>
        </w:rPr>
        <w:t xml:space="preserve">POLLUX (Dimopoulos et al., NEJM 2016). Improved PFS over Rd; long-term follow-up shows sustained benefit.</w:t>
      </w:r>
    </w:p>
    <w:p>
      <w:pPr>
        <w:spacing w:after="40" w:before="40" w:line="300"/>
        <w:jc w:val="left"/>
      </w:pPr>
      <w:r>
        <w:rPr>
          <w:rFonts w:ascii="Georgia" w:cs="Georgia" w:eastAsia="Georgia" w:hAnsi="Georgia"/>
          <w:b/>
          <w:bCs/>
          <w:i w:val="false"/>
          <w:iCs w:val="false"/>
          <w:color w:val="1D1D1D"/>
          <w:sz w:val="22"/>
          <w:szCs w:val="22"/>
        </w:rPr>
        <w:t xml:space="preserve">Notes: </w:t>
      </w:r>
      <w:r>
        <w:rPr>
          <w:rFonts w:ascii="Georgia" w:cs="Georgia" w:eastAsia="Georgia" w:hAnsi="Georgia"/>
          <w:b w:val="false"/>
          <w:bCs w:val="false"/>
          <w:i w:val="false"/>
          <w:iCs w:val="false"/>
          <w:color w:val="1D1D1D"/>
          <w:sz w:val="22"/>
          <w:szCs w:val="22"/>
        </w:rPr>
        <w:t xml:space="preserve">NICE TA status varies by prior treatment line and exposure; verify current TA.</w:t>
      </w:r>
    </w:p>
    <w:p>
      <w:pPr>
        <w:spacing w:after="40" w:before="160" w:line="300"/>
        <w:jc w:val="left"/>
      </w:pPr>
      <w:r>
        <w:rPr>
          <w:rFonts w:ascii="Georgia" w:cs="Georgia" w:eastAsia="Georgia" w:hAnsi="Georgia"/>
          <w:b/>
          <w:bCs/>
          <w:i w:val="false"/>
          <w:iCs w:val="false"/>
          <w:color w:val="7A1F2B"/>
          <w:sz w:val="23"/>
          <w:szCs w:val="23"/>
        </w:rPr>
        <w:t xml:space="preserve">Isatuximab + carfilzomib + dexamethasone (Isa-Kd)</w:t>
      </w:r>
    </w:p>
    <w:p>
      <w:pPr>
        <w:spacing w:after="80" w:before="80" w:line="300"/>
        <w:jc w:val="left"/>
      </w:pPr>
      <w:r>
        <w:rPr>
          <w:rFonts w:ascii="Georgia" w:cs="Georgia" w:eastAsia="Georgia" w:hAnsi="Georgia"/>
          <w:b/>
          <w:bCs/>
          <w:i w:val="false"/>
          <w:iCs w:val="false"/>
          <w:color w:val="2A6B3B"/>
          <w:sz w:val="20"/>
          <w:szCs w:val="20"/>
        </w:rPr>
        <w:t xml:space="preserve">High / Strong</w:t>
      </w:r>
    </w:p>
    <w:p>
      <w:pPr>
        <w:spacing w:after="40" w:before="40" w:line="300"/>
        <w:jc w:val="left"/>
      </w:pPr>
      <w:r>
        <w:rPr>
          <w:rFonts w:ascii="Georgia" w:cs="Georgia" w:eastAsia="Georgia" w:hAnsi="Georgia"/>
          <w:b/>
          <w:bCs/>
          <w:i w:val="false"/>
          <w:iCs w:val="false"/>
          <w:color w:val="1D1D1D"/>
          <w:sz w:val="22"/>
          <w:szCs w:val="22"/>
        </w:rPr>
        <w:t xml:space="preserve">Dose: </w:t>
      </w:r>
      <w:r>
        <w:rPr>
          <w:rFonts w:ascii="Georgia" w:cs="Georgia" w:eastAsia="Georgia" w:hAnsi="Georgia"/>
          <w:b w:val="false"/>
          <w:bCs w:val="false"/>
          <w:i w:val="false"/>
          <w:iCs w:val="false"/>
          <w:color w:val="1D1D1D"/>
          <w:sz w:val="22"/>
          <w:szCs w:val="22"/>
        </w:rPr>
        <w:t xml:space="preserve">Isatuximab 10 mg/kg IV (weekly cycle 1, then every 2 weeks); carfilzomib 56 mg/m squared IV; dexamethasone 20 mg twice weekly.</w:t>
      </w:r>
    </w:p>
    <w:p>
      <w:pPr>
        <w:spacing w:after="40" w:before="40" w:line="300"/>
        <w:jc w:val="left"/>
      </w:pPr>
      <w:r>
        <w:rPr>
          <w:rFonts w:ascii="Georgia" w:cs="Georgia" w:eastAsia="Georgia" w:hAnsi="Georgia"/>
          <w:b/>
          <w:bCs/>
          <w:i w:val="false"/>
          <w:iCs w:val="false"/>
          <w:color w:val="1D1D1D"/>
          <w:sz w:val="22"/>
          <w:szCs w:val="22"/>
        </w:rPr>
        <w:t xml:space="preserve">Trial basis: </w:t>
      </w:r>
      <w:r>
        <w:rPr>
          <w:rFonts w:ascii="Georgia" w:cs="Georgia" w:eastAsia="Georgia" w:hAnsi="Georgia"/>
          <w:b w:val="false"/>
          <w:bCs w:val="false"/>
          <w:i w:val="false"/>
          <w:iCs w:val="false"/>
          <w:color w:val="1D1D1D"/>
          <w:sz w:val="22"/>
          <w:szCs w:val="22"/>
        </w:rPr>
        <w:t xml:space="preserve">IKEMA (Moreau et al., Lancet 2021). Improved PFS over Kd.</w:t>
      </w:r>
    </w:p>
    <w:p>
      <w:pPr>
        <w:spacing w:after="40" w:before="40" w:line="300"/>
        <w:jc w:val="left"/>
      </w:pPr>
      <w:r>
        <w:rPr>
          <w:rFonts w:ascii="Georgia" w:cs="Georgia" w:eastAsia="Georgia" w:hAnsi="Georgia"/>
          <w:b/>
          <w:bCs/>
          <w:i w:val="false"/>
          <w:iCs w:val="false"/>
          <w:color w:val="1D1D1D"/>
          <w:sz w:val="22"/>
          <w:szCs w:val="22"/>
        </w:rPr>
        <w:t xml:space="preserve">Notes: </w:t>
      </w:r>
      <w:r>
        <w:rPr>
          <w:rFonts w:ascii="Georgia" w:cs="Georgia" w:eastAsia="Georgia" w:hAnsi="Georgia"/>
          <w:b w:val="false"/>
          <w:bCs w:val="false"/>
          <w:i w:val="false"/>
          <w:iCs w:val="false"/>
          <w:color w:val="1D1D1D"/>
          <w:sz w:val="22"/>
          <w:szCs w:val="22"/>
        </w:rPr>
        <w:t xml:space="preserve">NICE TA status to be verified against the live register.</w:t>
      </w:r>
    </w:p>
    <w:p>
      <w:pPr>
        <w:spacing w:after="40" w:before="160" w:line="300"/>
        <w:jc w:val="left"/>
      </w:pPr>
      <w:r>
        <w:rPr>
          <w:rFonts w:ascii="Georgia" w:cs="Georgia" w:eastAsia="Georgia" w:hAnsi="Georgia"/>
          <w:b/>
          <w:bCs/>
          <w:i w:val="false"/>
          <w:iCs w:val="false"/>
          <w:color w:val="7A1F2B"/>
          <w:sz w:val="23"/>
          <w:szCs w:val="23"/>
        </w:rPr>
        <w:t xml:space="preserve">Isatuximab + pomalidomide + dexamethasone (Isa-Pd)</w:t>
      </w:r>
    </w:p>
    <w:p>
      <w:pPr>
        <w:spacing w:after="80" w:before="80" w:line="300"/>
        <w:jc w:val="left"/>
      </w:pPr>
      <w:r>
        <w:rPr>
          <w:rFonts w:ascii="Georgia" w:cs="Georgia" w:eastAsia="Georgia" w:hAnsi="Georgia"/>
          <w:b/>
          <w:bCs/>
          <w:i w:val="false"/>
          <w:iCs w:val="false"/>
          <w:color w:val="2A6B3B"/>
          <w:sz w:val="20"/>
          <w:szCs w:val="20"/>
        </w:rPr>
        <w:t xml:space="preserve">High / Strong</w:t>
      </w:r>
    </w:p>
    <w:p>
      <w:pPr>
        <w:spacing w:after="40" w:before="40" w:line="300"/>
        <w:jc w:val="left"/>
      </w:pPr>
      <w:r>
        <w:rPr>
          <w:rFonts w:ascii="Georgia" w:cs="Georgia" w:eastAsia="Georgia" w:hAnsi="Georgia"/>
          <w:b/>
          <w:bCs/>
          <w:i w:val="false"/>
          <w:iCs w:val="false"/>
          <w:color w:val="1D1D1D"/>
          <w:sz w:val="22"/>
          <w:szCs w:val="22"/>
        </w:rPr>
        <w:t xml:space="preserve">Dose: </w:t>
      </w:r>
      <w:r>
        <w:rPr>
          <w:rFonts w:ascii="Georgia" w:cs="Georgia" w:eastAsia="Georgia" w:hAnsi="Georgia"/>
          <w:b w:val="false"/>
          <w:bCs w:val="false"/>
          <w:i w:val="false"/>
          <w:iCs w:val="false"/>
          <w:color w:val="1D1D1D"/>
          <w:sz w:val="22"/>
          <w:szCs w:val="22"/>
        </w:rPr>
        <w:t xml:space="preserve">Isatuximab 10 mg/kg IV (weekly cycle 1, then every 2 weeks); pomalidomide 4 mg PO days 1 to 21; dexamethasone 40 mg weekly.</w:t>
      </w:r>
    </w:p>
    <w:p>
      <w:pPr>
        <w:spacing w:after="40" w:before="40" w:line="300"/>
        <w:jc w:val="left"/>
      </w:pPr>
      <w:r>
        <w:rPr>
          <w:rFonts w:ascii="Georgia" w:cs="Georgia" w:eastAsia="Georgia" w:hAnsi="Georgia"/>
          <w:b/>
          <w:bCs/>
          <w:i w:val="false"/>
          <w:iCs w:val="false"/>
          <w:color w:val="1D1D1D"/>
          <w:sz w:val="22"/>
          <w:szCs w:val="22"/>
        </w:rPr>
        <w:t xml:space="preserve">Trial basis: </w:t>
      </w:r>
      <w:r>
        <w:rPr>
          <w:rFonts w:ascii="Georgia" w:cs="Georgia" w:eastAsia="Georgia" w:hAnsi="Georgia"/>
          <w:b w:val="false"/>
          <w:bCs w:val="false"/>
          <w:i w:val="false"/>
          <w:iCs w:val="false"/>
          <w:color w:val="1D1D1D"/>
          <w:sz w:val="22"/>
          <w:szCs w:val="22"/>
        </w:rPr>
        <w:t xml:space="preserve">ICARIA-MM (Attal et al., Lancet 2019). Improved PFS in lenalidomide-refractory disease.</w:t>
      </w:r>
    </w:p>
    <w:p>
      <w:pPr>
        <w:spacing w:after="40" w:before="160" w:line="300"/>
        <w:jc w:val="left"/>
      </w:pPr>
      <w:r>
        <w:rPr>
          <w:rFonts w:ascii="Georgia" w:cs="Georgia" w:eastAsia="Georgia" w:hAnsi="Georgia"/>
          <w:b/>
          <w:bCs/>
          <w:i w:val="false"/>
          <w:iCs w:val="false"/>
          <w:color w:val="7A1F2B"/>
          <w:sz w:val="23"/>
          <w:szCs w:val="23"/>
        </w:rPr>
        <w:t xml:space="preserve">Pomalidomide + bortezomib + dexamethasone (PVd)</w:t>
      </w:r>
    </w:p>
    <w:p>
      <w:pPr>
        <w:spacing w:after="80" w:before="80" w:line="300"/>
        <w:jc w:val="left"/>
      </w:pPr>
      <w:r>
        <w:rPr>
          <w:rFonts w:ascii="Georgia" w:cs="Georgia" w:eastAsia="Georgia" w:hAnsi="Georgia"/>
          <w:b/>
          <w:bCs/>
          <w:i w:val="false"/>
          <w:iCs w:val="false"/>
          <w:color w:val="C87A00"/>
          <w:sz w:val="20"/>
          <w:szCs w:val="20"/>
        </w:rPr>
        <w:t xml:space="preserve">Moderate / Strong</w:t>
      </w:r>
    </w:p>
    <w:p>
      <w:pPr>
        <w:spacing w:after="40" w:before="40" w:line="300"/>
        <w:jc w:val="left"/>
      </w:pPr>
      <w:r>
        <w:rPr>
          <w:rFonts w:ascii="Georgia" w:cs="Georgia" w:eastAsia="Georgia" w:hAnsi="Georgia"/>
          <w:b/>
          <w:bCs/>
          <w:i w:val="false"/>
          <w:iCs w:val="false"/>
          <w:color w:val="1D1D1D"/>
          <w:sz w:val="22"/>
          <w:szCs w:val="22"/>
        </w:rPr>
        <w:t xml:space="preserve">Dose: </w:t>
      </w:r>
      <w:r>
        <w:rPr>
          <w:rFonts w:ascii="Georgia" w:cs="Georgia" w:eastAsia="Georgia" w:hAnsi="Georgia"/>
          <w:b w:val="false"/>
          <w:bCs w:val="false"/>
          <w:i w:val="false"/>
          <w:iCs w:val="false"/>
          <w:color w:val="1D1D1D"/>
          <w:sz w:val="22"/>
          <w:szCs w:val="22"/>
        </w:rPr>
        <w:t xml:space="preserve">Pomalidomide 4 mg PO days 1 to 14 of 21-day cycle; bortezomib 1.3 mg/m squared SC days 1, 8 (cycles 1 to 8) then day 1; dexamethasone 20 mg twice weekly.</w:t>
      </w:r>
    </w:p>
    <w:p>
      <w:pPr>
        <w:spacing w:after="40" w:before="40" w:line="300"/>
        <w:jc w:val="left"/>
      </w:pPr>
      <w:r>
        <w:rPr>
          <w:rFonts w:ascii="Georgia" w:cs="Georgia" w:eastAsia="Georgia" w:hAnsi="Georgia"/>
          <w:b/>
          <w:bCs/>
          <w:i w:val="false"/>
          <w:iCs w:val="false"/>
          <w:color w:val="1D1D1D"/>
          <w:sz w:val="22"/>
          <w:szCs w:val="22"/>
        </w:rPr>
        <w:t xml:space="preserve">Trial basis: </w:t>
      </w:r>
      <w:r>
        <w:rPr>
          <w:rFonts w:ascii="Georgia" w:cs="Georgia" w:eastAsia="Georgia" w:hAnsi="Georgia"/>
          <w:b w:val="false"/>
          <w:bCs w:val="false"/>
          <w:i w:val="false"/>
          <w:iCs w:val="false"/>
          <w:color w:val="1D1D1D"/>
          <w:sz w:val="22"/>
          <w:szCs w:val="22"/>
        </w:rPr>
        <w:t xml:space="preserve">OPTIMISMM (Richardson et al., Lancet Oncol 2019). Improved PFS over Vd in lenalidomide-exposed patients.</w:t>
      </w:r>
    </w:p>
    <w:p>
      <w:pPr>
        <w:spacing w:after="40" w:before="160" w:line="300"/>
        <w:jc w:val="left"/>
      </w:pPr>
      <w:r>
        <w:rPr>
          <w:rFonts w:ascii="Georgia" w:cs="Georgia" w:eastAsia="Georgia" w:hAnsi="Georgia"/>
          <w:b/>
          <w:bCs/>
          <w:i w:val="false"/>
          <w:iCs w:val="false"/>
          <w:color w:val="7A1F2B"/>
          <w:sz w:val="23"/>
          <w:szCs w:val="23"/>
        </w:rPr>
        <w:t xml:space="preserve">Pomalidomide + dexamethasone (Pd)</w:t>
      </w:r>
    </w:p>
    <w:p>
      <w:pPr>
        <w:spacing w:after="80" w:before="80" w:line="300"/>
        <w:jc w:val="left"/>
      </w:pPr>
      <w:r>
        <w:rPr>
          <w:rFonts w:ascii="Georgia" w:cs="Georgia" w:eastAsia="Georgia" w:hAnsi="Georgia"/>
          <w:b/>
          <w:bCs/>
          <w:i w:val="false"/>
          <w:iCs w:val="false"/>
          <w:color w:val="7A1F2B"/>
          <w:sz w:val="20"/>
          <w:szCs w:val="20"/>
        </w:rPr>
        <w:t xml:space="preserve">NICE TA427</w:t>
      </w:r>
      <w:r>
        <w:rPr>
          <w:rFonts w:ascii="Georgia" w:cs="Georgia" w:eastAsia="Georgia" w:hAnsi="Georgia"/>
          <w:b w:val="false"/>
          <w:bCs w:val="false"/>
          <w:i w:val="false"/>
          <w:iCs w:val="false"/>
          <w:color w:val="1D1D1D"/>
          <w:sz w:val="22"/>
          <w:szCs w:val="22"/>
        </w:rPr>
        <w:t xml:space="preserve">   </w:t>
      </w:r>
      <w:r>
        <w:rPr>
          <w:rFonts w:ascii="Georgia" w:cs="Georgia" w:eastAsia="Georgia" w:hAnsi="Georgia"/>
          <w:b/>
          <w:bCs/>
          <w:i w:val="false"/>
          <w:iCs w:val="false"/>
          <w:color w:val="C87A00"/>
          <w:sz w:val="20"/>
          <w:szCs w:val="20"/>
        </w:rPr>
        <w:t xml:space="preserve">Moderate / Strong</w:t>
      </w:r>
    </w:p>
    <w:p>
      <w:pPr>
        <w:spacing w:after="40" w:before="40" w:line="300"/>
        <w:jc w:val="left"/>
      </w:pPr>
      <w:r>
        <w:rPr>
          <w:rFonts w:ascii="Georgia" w:cs="Georgia" w:eastAsia="Georgia" w:hAnsi="Georgia"/>
          <w:b/>
          <w:bCs/>
          <w:i w:val="false"/>
          <w:iCs w:val="false"/>
          <w:color w:val="1D1D1D"/>
          <w:sz w:val="22"/>
          <w:szCs w:val="22"/>
        </w:rPr>
        <w:t xml:space="preserve">Dose: </w:t>
      </w:r>
      <w:r>
        <w:rPr>
          <w:rFonts w:ascii="Georgia" w:cs="Georgia" w:eastAsia="Georgia" w:hAnsi="Georgia"/>
          <w:b w:val="false"/>
          <w:bCs w:val="false"/>
          <w:i w:val="false"/>
          <w:iCs w:val="false"/>
          <w:color w:val="1D1D1D"/>
          <w:sz w:val="22"/>
          <w:szCs w:val="22"/>
        </w:rPr>
        <w:t xml:space="preserve">Pomalidomide 4 mg PO days 1 to 21 of 28-day cycle; dexamethasone 40 mg weekly (20 mg if aged above 75).</w:t>
      </w:r>
    </w:p>
    <w:p>
      <w:pPr>
        <w:spacing w:after="40" w:before="40" w:line="300"/>
        <w:jc w:val="left"/>
      </w:pPr>
      <w:r>
        <w:rPr>
          <w:rFonts w:ascii="Georgia" w:cs="Georgia" w:eastAsia="Georgia" w:hAnsi="Georgia"/>
          <w:b/>
          <w:bCs/>
          <w:i w:val="false"/>
          <w:iCs w:val="false"/>
          <w:color w:val="1D1D1D"/>
          <w:sz w:val="22"/>
          <w:szCs w:val="22"/>
        </w:rPr>
        <w:t xml:space="preserve">NICE TA: </w:t>
      </w:r>
      <w:r>
        <w:rPr>
          <w:rFonts w:ascii="Georgia" w:cs="Georgia" w:eastAsia="Georgia" w:hAnsi="Georgia"/>
          <w:b w:val="false"/>
          <w:bCs w:val="false"/>
          <w:i w:val="false"/>
          <w:iCs w:val="false"/>
          <w:color w:val="1D1D1D"/>
          <w:sz w:val="22"/>
          <w:szCs w:val="22"/>
        </w:rPr>
        <w:t xml:space="preserve">TA427, established NHS option for R/R MM after 3 or more prior treatments.</w:t>
      </w:r>
    </w:p>
    <w:p>
      <w:pPr>
        <w:spacing w:after="40" w:before="40" w:line="300"/>
        <w:jc w:val="left"/>
      </w:pPr>
      <w:r>
        <w:rPr>
          <w:rFonts w:ascii="Georgia" w:cs="Georgia" w:eastAsia="Georgia" w:hAnsi="Georgia"/>
          <w:b/>
          <w:bCs/>
          <w:i w:val="false"/>
          <w:iCs w:val="false"/>
          <w:color w:val="1D1D1D"/>
          <w:sz w:val="22"/>
          <w:szCs w:val="22"/>
        </w:rPr>
        <w:t xml:space="preserve">Trial basis: </w:t>
      </w:r>
      <w:r>
        <w:rPr>
          <w:rFonts w:ascii="Georgia" w:cs="Georgia" w:eastAsia="Georgia" w:hAnsi="Georgia"/>
          <w:b w:val="false"/>
          <w:bCs w:val="false"/>
          <w:i w:val="false"/>
          <w:iCs w:val="false"/>
          <w:color w:val="1D1D1D"/>
          <w:sz w:val="22"/>
          <w:szCs w:val="22"/>
        </w:rPr>
        <w:t xml:space="preserve">MM-003 (San Miguel, Lancet Oncol 2013).</w:t>
      </w:r>
    </w:p>
    <w:p>
      <w:pPr>
        <w:spacing w:after="40" w:before="40" w:line="300"/>
        <w:jc w:val="left"/>
      </w:pPr>
      <w:r>
        <w:rPr>
          <w:rFonts w:ascii="Georgia" w:cs="Georgia" w:eastAsia="Georgia" w:hAnsi="Georgia"/>
          <w:b/>
          <w:bCs/>
          <w:i w:val="false"/>
          <w:iCs w:val="false"/>
          <w:color w:val="1D1D1D"/>
          <w:sz w:val="22"/>
          <w:szCs w:val="22"/>
        </w:rPr>
        <w:t xml:space="preserve">Notes: </w:t>
      </w:r>
      <w:r>
        <w:rPr>
          <w:rFonts w:ascii="Georgia" w:cs="Georgia" w:eastAsia="Georgia" w:hAnsi="Georgia"/>
          <w:b w:val="false"/>
          <w:bCs w:val="false"/>
          <w:i w:val="false"/>
          <w:iCs w:val="false"/>
          <w:color w:val="1D1D1D"/>
          <w:sz w:val="22"/>
          <w:szCs w:val="22"/>
        </w:rPr>
        <w:t xml:space="preserve">Main current UK comparator for late-line treatments (referenced explicitly in TA1015 teclistamab appraisal).</w:t>
      </w:r>
    </w:p>
    <w:p>
      <w:pPr>
        <w:spacing w:after="40" w:before="160" w:line="300"/>
        <w:jc w:val="left"/>
      </w:pPr>
      <w:r>
        <w:rPr>
          <w:rFonts w:ascii="Georgia" w:cs="Georgia" w:eastAsia="Georgia" w:hAnsi="Georgia"/>
          <w:b/>
          <w:bCs/>
          <w:i w:val="false"/>
          <w:iCs w:val="false"/>
          <w:color w:val="7A1F2B"/>
          <w:sz w:val="23"/>
          <w:szCs w:val="23"/>
        </w:rPr>
        <w:t xml:space="preserve">Teclistamab (BCMA x CD3 T-cell engager)</w:t>
      </w:r>
    </w:p>
    <w:p>
      <w:pPr>
        <w:spacing w:after="80" w:before="80" w:line="300"/>
        <w:jc w:val="left"/>
      </w:pPr>
      <w:r>
        <w:rPr>
          <w:rFonts w:ascii="Georgia" w:cs="Georgia" w:eastAsia="Georgia" w:hAnsi="Georgia"/>
          <w:b/>
          <w:bCs/>
          <w:i w:val="false"/>
          <w:iCs w:val="false"/>
          <w:color w:val="7A1F2B"/>
          <w:sz w:val="20"/>
          <w:szCs w:val="20"/>
        </w:rPr>
        <w:t xml:space="preserve">NICE TA1015</w:t>
      </w:r>
      <w:r>
        <w:rPr>
          <w:rFonts w:ascii="Georgia" w:cs="Georgia" w:eastAsia="Georgia" w:hAnsi="Georgia"/>
          <w:b w:val="false"/>
          <w:bCs w:val="false"/>
          <w:i w:val="false"/>
          <w:iCs w:val="false"/>
          <w:color w:val="1D1D1D"/>
          <w:sz w:val="22"/>
          <w:szCs w:val="22"/>
        </w:rPr>
        <w:t xml:space="preserve">   </w:t>
      </w:r>
      <w:r>
        <w:rPr>
          <w:rFonts w:ascii="Georgia" w:cs="Georgia" w:eastAsia="Georgia" w:hAnsi="Georgia"/>
          <w:b/>
          <w:bCs/>
          <w:i w:val="false"/>
          <w:iCs w:val="false"/>
          <w:color w:val="2A6B3B"/>
          <w:sz w:val="20"/>
          <w:szCs w:val="20"/>
        </w:rPr>
        <w:t xml:space="preserve">High / Strong</w:t>
      </w:r>
    </w:p>
    <w:p>
      <w:pPr>
        <w:spacing w:after="40" w:before="40" w:line="300"/>
        <w:jc w:val="left"/>
      </w:pPr>
      <w:r>
        <w:rPr>
          <w:rFonts w:ascii="Georgia" w:cs="Georgia" w:eastAsia="Georgia" w:hAnsi="Georgia"/>
          <w:b/>
          <w:bCs/>
          <w:i w:val="false"/>
          <w:iCs w:val="false"/>
          <w:color w:val="1D1D1D"/>
          <w:sz w:val="22"/>
          <w:szCs w:val="22"/>
        </w:rPr>
        <w:t xml:space="preserve">Dose: </w:t>
      </w:r>
      <w:r>
        <w:rPr>
          <w:rFonts w:ascii="Georgia" w:cs="Georgia" w:eastAsia="Georgia" w:hAnsi="Georgia"/>
          <w:b w:val="false"/>
          <w:bCs w:val="false"/>
          <w:i w:val="false"/>
          <w:iCs w:val="false"/>
          <w:color w:val="1D1D1D"/>
          <w:sz w:val="22"/>
          <w:szCs w:val="22"/>
        </w:rPr>
        <w:t xml:space="preserve">Subcutaneous step-up dosing (0.06 mg/kg, 0.3 mg/kg, then full dose 1.5 mg/kg) followed by 1.5 mg/kg weekly; transition to every 2 weeks after sustained response per current SmPC.</w:t>
      </w:r>
    </w:p>
    <w:p>
      <w:pPr>
        <w:spacing w:after="40" w:before="40" w:line="300"/>
        <w:jc w:val="left"/>
      </w:pPr>
      <w:r>
        <w:rPr>
          <w:rFonts w:ascii="Georgia" w:cs="Georgia" w:eastAsia="Georgia" w:hAnsi="Georgia"/>
          <w:b/>
          <w:bCs/>
          <w:i w:val="false"/>
          <w:iCs w:val="false"/>
          <w:color w:val="1D1D1D"/>
          <w:sz w:val="22"/>
          <w:szCs w:val="22"/>
        </w:rPr>
        <w:t xml:space="preserve">NICE TA: </w:t>
      </w:r>
      <w:r>
        <w:rPr>
          <w:rFonts w:ascii="Georgia" w:cs="Georgia" w:eastAsia="Georgia" w:hAnsi="Georgia"/>
          <w:b w:val="false"/>
          <w:bCs w:val="false"/>
          <w:i w:val="false"/>
          <w:iCs w:val="false"/>
          <w:color w:val="1D1D1D"/>
          <w:sz w:val="22"/>
          <w:szCs w:val="22"/>
        </w:rPr>
        <w:t xml:space="preserve">TA1015, recommended November 2024 for R/R MM after 3 or more prior lines (including an IMiD, PI and anti-CD38) with progression on the last treatment. Replaces and updates TA869.</w:t>
      </w:r>
    </w:p>
    <w:p>
      <w:pPr>
        <w:spacing w:after="40" w:before="40" w:line="300"/>
        <w:jc w:val="left"/>
      </w:pPr>
      <w:r>
        <w:rPr>
          <w:rFonts w:ascii="Georgia" w:cs="Georgia" w:eastAsia="Georgia" w:hAnsi="Georgia"/>
          <w:b/>
          <w:bCs/>
          <w:i w:val="false"/>
          <w:iCs w:val="false"/>
          <w:color w:val="1D1D1D"/>
          <w:sz w:val="22"/>
          <w:szCs w:val="22"/>
        </w:rPr>
        <w:t xml:space="preserve">Trial basis: </w:t>
      </w:r>
      <w:r>
        <w:rPr>
          <w:rFonts w:ascii="Georgia" w:cs="Georgia" w:eastAsia="Georgia" w:hAnsi="Georgia"/>
          <w:b w:val="false"/>
          <w:bCs w:val="false"/>
          <w:i w:val="false"/>
          <w:iCs w:val="false"/>
          <w:color w:val="1D1D1D"/>
          <w:sz w:val="22"/>
          <w:szCs w:val="22"/>
        </w:rPr>
        <w:t xml:space="preserve">MajesTEC-1 (Moreau et al., NEJM 2022).</w:t>
      </w:r>
    </w:p>
    <w:p>
      <w:pPr>
        <w:spacing w:after="40" w:before="40" w:line="300"/>
        <w:jc w:val="left"/>
      </w:pPr>
      <w:r>
        <w:rPr>
          <w:rFonts w:ascii="Georgia" w:cs="Georgia" w:eastAsia="Georgia" w:hAnsi="Georgia"/>
          <w:b/>
          <w:bCs/>
          <w:i w:val="false"/>
          <w:iCs w:val="false"/>
          <w:color w:val="1D1D1D"/>
          <w:sz w:val="22"/>
          <w:szCs w:val="22"/>
        </w:rPr>
        <w:t xml:space="preserve">Notes: </w:t>
      </w:r>
      <w:r>
        <w:rPr>
          <w:rFonts w:ascii="Georgia" w:cs="Georgia" w:eastAsia="Georgia" w:hAnsi="Georgia"/>
          <w:b w:val="false"/>
          <w:bCs w:val="false"/>
          <w:i w:val="false"/>
          <w:iCs w:val="false"/>
          <w:color w:val="1D1D1D"/>
          <w:sz w:val="22"/>
          <w:szCs w:val="22"/>
        </w:rPr>
        <w:t xml:space="preserve">Treatment in approved centres with cytokine release syndrome and ICANS management protocols. Mandatory step-up dosing with monitoring. Hypogammaglobulinaemia almost universal — consider IVIg replacement and antimicrobial prophylaxis.</w:t>
      </w:r>
    </w:p>
    <w:p>
      <w:pPr>
        <w:spacing w:after="40" w:before="160" w:line="300"/>
        <w:jc w:val="left"/>
      </w:pPr>
      <w:r>
        <w:rPr>
          <w:rFonts w:ascii="Georgia" w:cs="Georgia" w:eastAsia="Georgia" w:hAnsi="Georgia"/>
          <w:b/>
          <w:bCs/>
          <w:i w:val="false"/>
          <w:iCs w:val="false"/>
          <w:color w:val="7A1F2B"/>
          <w:sz w:val="23"/>
          <w:szCs w:val="23"/>
        </w:rPr>
        <w:t xml:space="preserve">Elranatamab (BCMA x CD3 T-cell engager)</w:t>
      </w:r>
    </w:p>
    <w:p>
      <w:pPr>
        <w:spacing w:after="80" w:before="80" w:line="300"/>
        <w:jc w:val="left"/>
      </w:pPr>
      <w:r>
        <w:rPr>
          <w:rFonts w:ascii="Georgia" w:cs="Georgia" w:eastAsia="Georgia" w:hAnsi="Georgia"/>
          <w:b/>
          <w:bCs/>
          <w:i w:val="false"/>
          <w:iCs w:val="false"/>
          <w:color w:val="7A1F2B"/>
          <w:sz w:val="20"/>
          <w:szCs w:val="20"/>
        </w:rPr>
        <w:t xml:space="preserve">NICE TA1023 (managed access)</w:t>
      </w:r>
      <w:r>
        <w:rPr>
          <w:rFonts w:ascii="Georgia" w:cs="Georgia" w:eastAsia="Georgia" w:hAnsi="Georgia"/>
          <w:b w:val="false"/>
          <w:bCs w:val="false"/>
          <w:i w:val="false"/>
          <w:iCs w:val="false"/>
          <w:color w:val="1D1D1D"/>
          <w:sz w:val="22"/>
          <w:szCs w:val="22"/>
        </w:rPr>
        <w:t xml:space="preserve">   </w:t>
      </w:r>
      <w:r>
        <w:rPr>
          <w:rFonts w:ascii="Georgia" w:cs="Georgia" w:eastAsia="Georgia" w:hAnsi="Georgia"/>
          <w:b/>
          <w:bCs/>
          <w:i w:val="false"/>
          <w:iCs w:val="false"/>
          <w:color w:val="C87A00"/>
          <w:sz w:val="20"/>
          <w:szCs w:val="20"/>
        </w:rPr>
        <w:t xml:space="preserve">High / Conditional</w:t>
      </w:r>
    </w:p>
    <w:p>
      <w:pPr>
        <w:spacing w:after="40" w:before="40" w:line="300"/>
        <w:jc w:val="left"/>
      </w:pPr>
      <w:r>
        <w:rPr>
          <w:rFonts w:ascii="Georgia" w:cs="Georgia" w:eastAsia="Georgia" w:hAnsi="Georgia"/>
          <w:b/>
          <w:bCs/>
          <w:i w:val="false"/>
          <w:iCs w:val="false"/>
          <w:color w:val="1D1D1D"/>
          <w:sz w:val="22"/>
          <w:szCs w:val="22"/>
        </w:rPr>
        <w:t xml:space="preserve">Dose: </w:t>
      </w:r>
      <w:r>
        <w:rPr>
          <w:rFonts w:ascii="Georgia" w:cs="Georgia" w:eastAsia="Georgia" w:hAnsi="Georgia"/>
          <w:b w:val="false"/>
          <w:bCs w:val="false"/>
          <w:i w:val="false"/>
          <w:iCs w:val="false"/>
          <w:color w:val="1D1D1D"/>
          <w:sz w:val="22"/>
          <w:szCs w:val="22"/>
        </w:rPr>
        <w:t xml:space="preserve">Subcutaneous step-up then weekly maintenance per current SmPC. Dose example only — verify against current SmPC, local e-prescribing protocol, renal/hepatic adjustment, frailty modification, pharmacy verification.</w:t>
      </w:r>
    </w:p>
    <w:p>
      <w:pPr>
        <w:spacing w:after="40" w:before="40" w:line="300"/>
        <w:jc w:val="left"/>
      </w:pPr>
      <w:r>
        <w:rPr>
          <w:rFonts w:ascii="Georgia" w:cs="Georgia" w:eastAsia="Georgia" w:hAnsi="Georgia"/>
          <w:b/>
          <w:bCs/>
          <w:i w:val="false"/>
          <w:iCs w:val="false"/>
          <w:color w:val="1D1D1D"/>
          <w:sz w:val="22"/>
          <w:szCs w:val="22"/>
        </w:rPr>
        <w:t xml:space="preserve">NICE TA: </w:t>
      </w:r>
      <w:r>
        <w:rPr>
          <w:rFonts w:ascii="Georgia" w:cs="Georgia" w:eastAsia="Georgia" w:hAnsi="Georgia"/>
          <w:b w:val="false"/>
          <w:bCs w:val="false"/>
          <w:i w:val="false"/>
          <w:iCs w:val="false"/>
          <w:color w:val="1D1D1D"/>
          <w:sz w:val="22"/>
          <w:szCs w:val="22"/>
        </w:rPr>
        <w:t xml:space="preserve">TA1023 (December 2024). Recommended for R/R MM after 3 or more prior treatments (IMiD, PI and anti-CD38) under a managed-access evidence-collection arrangement. NICE will review guidance after further evidence review.</w:t>
      </w:r>
    </w:p>
    <w:p>
      <w:pPr>
        <w:spacing w:after="40" w:before="40" w:line="300"/>
        <w:jc w:val="left"/>
      </w:pPr>
      <w:r>
        <w:rPr>
          <w:rFonts w:ascii="Georgia" w:cs="Georgia" w:eastAsia="Georgia" w:hAnsi="Georgia"/>
          <w:b/>
          <w:bCs/>
          <w:i w:val="false"/>
          <w:iCs w:val="false"/>
          <w:color w:val="1D1D1D"/>
          <w:sz w:val="22"/>
          <w:szCs w:val="22"/>
        </w:rPr>
        <w:t xml:space="preserve">Trial basis: </w:t>
      </w:r>
      <w:r>
        <w:rPr>
          <w:rFonts w:ascii="Georgia" w:cs="Georgia" w:eastAsia="Georgia" w:hAnsi="Georgia"/>
          <w:b w:val="false"/>
          <w:bCs w:val="false"/>
          <w:i w:val="false"/>
          <w:iCs w:val="false"/>
          <w:color w:val="1D1D1D"/>
          <w:sz w:val="22"/>
          <w:szCs w:val="22"/>
        </w:rPr>
        <w:t xml:space="preserve">MagnetisMM-3 (Lesokhin et al., Nat Med 2023).</w:t>
      </w:r>
    </w:p>
    <w:p>
      <w:pPr>
        <w:spacing w:after="40" w:before="40" w:line="300"/>
        <w:jc w:val="left"/>
      </w:pPr>
      <w:r>
        <w:rPr>
          <w:rFonts w:ascii="Georgia" w:cs="Georgia" w:eastAsia="Georgia" w:hAnsi="Georgia"/>
          <w:b/>
          <w:bCs/>
          <w:i w:val="false"/>
          <w:iCs w:val="false"/>
          <w:color w:val="1D1D1D"/>
          <w:sz w:val="22"/>
          <w:szCs w:val="22"/>
        </w:rPr>
        <w:t xml:space="preserve">Notes: </w:t>
      </w:r>
      <w:r>
        <w:rPr>
          <w:rFonts w:ascii="Georgia" w:cs="Georgia" w:eastAsia="Georgia" w:hAnsi="Georgia"/>
          <w:b w:val="false"/>
          <w:bCs w:val="false"/>
          <w:i w:val="false"/>
          <w:iCs w:val="false"/>
          <w:color w:val="1D1D1D"/>
          <w:sz w:val="22"/>
          <w:szCs w:val="22"/>
        </w:rPr>
        <w:t xml:space="preserve">Managed-access BCMA bispecific option. Treatment in approved centres with CRS and ICANS management protocols. Hypogammaglobulinaemia almost universal, IVIg replacement and antimicrobial prophylaxis indicated. Verify current managed-access criteria and Blueteq form before prescribing.</w:t>
      </w:r>
    </w:p>
    <w:p>
      <w:pPr>
        <w:spacing w:after="40" w:before="160" w:line="300"/>
        <w:jc w:val="left"/>
      </w:pPr>
      <w:r>
        <w:rPr>
          <w:rFonts w:ascii="Georgia" w:cs="Georgia" w:eastAsia="Georgia" w:hAnsi="Georgia"/>
          <w:b/>
          <w:bCs/>
          <w:i w:val="false"/>
          <w:iCs w:val="false"/>
          <w:color w:val="7A1F2B"/>
          <w:sz w:val="23"/>
          <w:szCs w:val="23"/>
        </w:rPr>
        <w:t xml:space="preserve">Linvoseltamab (BCMA x CD3 T-cell engager)</w:t>
      </w:r>
    </w:p>
    <w:p>
      <w:pPr>
        <w:spacing w:after="80" w:before="80" w:line="300"/>
        <w:jc w:val="left"/>
      </w:pPr>
      <w:r>
        <w:rPr>
          <w:rFonts w:ascii="Georgia" w:cs="Georgia" w:eastAsia="Georgia" w:hAnsi="Georgia"/>
          <w:b/>
          <w:bCs/>
          <w:i w:val="false"/>
          <w:iCs w:val="false"/>
          <w:color w:val="AA3A3A"/>
          <w:sz w:val="20"/>
          <w:szCs w:val="20"/>
        </w:rPr>
        <w:t xml:space="preserve">No current NICE TA</w:t>
      </w:r>
      <w:r>
        <w:rPr>
          <w:rFonts w:ascii="Georgia" w:cs="Georgia" w:eastAsia="Georgia" w:hAnsi="Georgia"/>
          <w:b w:val="false"/>
          <w:bCs w:val="false"/>
          <w:i w:val="false"/>
          <w:iCs w:val="false"/>
          <w:color w:val="1D1D1D"/>
          <w:sz w:val="22"/>
          <w:szCs w:val="22"/>
        </w:rPr>
        <w:t xml:space="preserve">   </w:t>
      </w:r>
      <w:r>
        <w:rPr>
          <w:rFonts w:ascii="Georgia" w:cs="Georgia" w:eastAsia="Georgia" w:hAnsi="Georgia"/>
          <w:b/>
          <w:bCs/>
          <w:i w:val="false"/>
          <w:iCs w:val="false"/>
          <w:color w:val="C87A00"/>
          <w:sz w:val="20"/>
          <w:szCs w:val="20"/>
        </w:rPr>
        <w:t xml:space="preserve">Moderate / Conditional</w:t>
      </w:r>
    </w:p>
    <w:p>
      <w:pPr>
        <w:spacing w:after="40" w:before="40" w:line="300"/>
        <w:jc w:val="left"/>
      </w:pPr>
      <w:r>
        <w:rPr>
          <w:rFonts w:ascii="Georgia" w:cs="Georgia" w:eastAsia="Georgia" w:hAnsi="Georgia"/>
          <w:b/>
          <w:bCs/>
          <w:i w:val="false"/>
          <w:iCs w:val="false"/>
          <w:color w:val="1D1D1D"/>
          <w:sz w:val="22"/>
          <w:szCs w:val="22"/>
        </w:rPr>
        <w:t xml:space="preserve">Trial basis: </w:t>
      </w:r>
      <w:r>
        <w:rPr>
          <w:rFonts w:ascii="Georgia" w:cs="Georgia" w:eastAsia="Georgia" w:hAnsi="Georgia"/>
          <w:b w:val="false"/>
          <w:bCs w:val="false"/>
          <w:i w:val="false"/>
          <w:iCs w:val="false"/>
          <w:color w:val="1D1D1D"/>
          <w:sz w:val="22"/>
          <w:szCs w:val="22"/>
        </w:rPr>
        <w:t xml:space="preserve">LINKER-MM1 (Jagannath et al., 2024).</w:t>
      </w:r>
    </w:p>
    <w:p>
      <w:pPr>
        <w:spacing w:after="40" w:before="40" w:line="300"/>
        <w:jc w:val="left"/>
      </w:pPr>
      <w:r>
        <w:rPr>
          <w:rFonts w:ascii="Georgia" w:cs="Georgia" w:eastAsia="Georgia" w:hAnsi="Georgia"/>
          <w:b/>
          <w:bCs/>
          <w:i w:val="false"/>
          <w:iCs w:val="false"/>
          <w:color w:val="1D1D1D"/>
          <w:sz w:val="22"/>
          <w:szCs w:val="22"/>
        </w:rPr>
        <w:t xml:space="preserve">Notes: </w:t>
      </w:r>
      <w:r>
        <w:rPr>
          <w:rFonts w:ascii="Georgia" w:cs="Georgia" w:eastAsia="Georgia" w:hAnsi="Georgia"/>
          <w:b w:val="false"/>
          <w:bCs w:val="false"/>
          <w:i w:val="false"/>
          <w:iCs w:val="false"/>
          <w:color w:val="1D1D1D"/>
          <w:sz w:val="22"/>
          <w:szCs w:val="22"/>
        </w:rPr>
        <w:t xml:space="preserve">No current NICE TA at the time of this draft. Not routinely commissioned. Access via trial or named-patient programme only.</w:t>
      </w:r>
    </w:p>
    <w:p>
      <w:pPr>
        <w:spacing w:after="40" w:before="160" w:line="300"/>
        <w:jc w:val="left"/>
      </w:pPr>
      <w:r>
        <w:rPr>
          <w:rFonts w:ascii="Georgia" w:cs="Georgia" w:eastAsia="Georgia" w:hAnsi="Georgia"/>
          <w:b/>
          <w:bCs/>
          <w:i w:val="false"/>
          <w:iCs w:val="false"/>
          <w:color w:val="7A1F2B"/>
          <w:sz w:val="23"/>
          <w:szCs w:val="23"/>
        </w:rPr>
        <w:t xml:space="preserve">Talquetamab (GPRC5D x CD3 T-cell engager)</w:t>
      </w:r>
    </w:p>
    <w:p>
      <w:pPr>
        <w:spacing w:after="80" w:before="80" w:line="300"/>
        <w:jc w:val="left"/>
      </w:pPr>
      <w:r>
        <w:rPr>
          <w:rFonts w:ascii="Georgia" w:cs="Georgia" w:eastAsia="Georgia" w:hAnsi="Georgia"/>
          <w:b/>
          <w:bCs/>
          <w:i w:val="false"/>
          <w:iCs w:val="false"/>
          <w:color w:val="7A1F2B"/>
          <w:sz w:val="20"/>
          <w:szCs w:val="20"/>
        </w:rPr>
        <w:t xml:space="preserve">NICE TA1114</w:t>
      </w:r>
      <w:r>
        <w:rPr>
          <w:rFonts w:ascii="Georgia" w:cs="Georgia" w:eastAsia="Georgia" w:hAnsi="Georgia"/>
          <w:b w:val="false"/>
          <w:bCs w:val="false"/>
          <w:i w:val="false"/>
          <w:iCs w:val="false"/>
          <w:color w:val="1D1D1D"/>
          <w:sz w:val="22"/>
          <w:szCs w:val="22"/>
        </w:rPr>
        <w:t xml:space="preserve">   </w:t>
      </w:r>
      <w:r>
        <w:rPr>
          <w:rFonts w:ascii="Georgia" w:cs="Georgia" w:eastAsia="Georgia" w:hAnsi="Georgia"/>
          <w:b/>
          <w:bCs/>
          <w:i w:val="false"/>
          <w:iCs w:val="false"/>
          <w:color w:val="2A6B3B"/>
          <w:sz w:val="20"/>
          <w:szCs w:val="20"/>
        </w:rPr>
        <w:t xml:space="preserve">High / Strong</w:t>
      </w:r>
    </w:p>
    <w:p>
      <w:pPr>
        <w:spacing w:after="40" w:before="40" w:line="300"/>
        <w:jc w:val="left"/>
      </w:pPr>
      <w:r>
        <w:rPr>
          <w:rFonts w:ascii="Georgia" w:cs="Georgia" w:eastAsia="Georgia" w:hAnsi="Georgia"/>
          <w:b/>
          <w:bCs/>
          <w:i w:val="false"/>
          <w:iCs w:val="false"/>
          <w:color w:val="1D1D1D"/>
          <w:sz w:val="22"/>
          <w:szCs w:val="22"/>
        </w:rPr>
        <w:t xml:space="preserve">Dose: </w:t>
      </w:r>
      <w:r>
        <w:rPr>
          <w:rFonts w:ascii="Georgia" w:cs="Georgia" w:eastAsia="Georgia" w:hAnsi="Georgia"/>
          <w:b w:val="false"/>
          <w:bCs w:val="false"/>
          <w:i w:val="false"/>
          <w:iCs w:val="false"/>
          <w:color w:val="1D1D1D"/>
          <w:sz w:val="22"/>
          <w:szCs w:val="22"/>
        </w:rPr>
        <w:t xml:space="preserve">Subcutaneous step-up dosing then weekly or every-2-week maintenance per current SmPC. Dose example only — verify against current SmPC, local e-prescribing protocol, renal/hepatic adjustment, frailty modification, pharmacy verification.</w:t>
      </w:r>
    </w:p>
    <w:p>
      <w:pPr>
        <w:spacing w:after="40" w:before="40" w:line="300"/>
        <w:jc w:val="left"/>
      </w:pPr>
      <w:r>
        <w:rPr>
          <w:rFonts w:ascii="Georgia" w:cs="Georgia" w:eastAsia="Georgia" w:hAnsi="Georgia"/>
          <w:b/>
          <w:bCs/>
          <w:i w:val="false"/>
          <w:iCs w:val="false"/>
          <w:color w:val="1D1D1D"/>
          <w:sz w:val="22"/>
          <w:szCs w:val="22"/>
        </w:rPr>
        <w:t xml:space="preserve">NICE TA: </w:t>
      </w:r>
      <w:r>
        <w:rPr>
          <w:rFonts w:ascii="Georgia" w:cs="Georgia" w:eastAsia="Georgia" w:hAnsi="Georgia"/>
          <w:b w:val="false"/>
          <w:bCs w:val="false"/>
          <w:i w:val="false"/>
          <w:iCs w:val="false"/>
          <w:color w:val="1D1D1D"/>
          <w:sz w:val="22"/>
          <w:szCs w:val="22"/>
        </w:rPr>
        <w:t xml:space="preserve">TA1114 (December 2025). Recommended as a routine NHS option for R/R MM after 3 or more prior lines (IMiD, PI and anti-CD38), where disease has progressed on last treatment and commercial arrangement applies.</w:t>
      </w:r>
    </w:p>
    <w:p>
      <w:pPr>
        <w:spacing w:after="40" w:before="40" w:line="300"/>
        <w:jc w:val="left"/>
      </w:pPr>
      <w:r>
        <w:rPr>
          <w:rFonts w:ascii="Georgia" w:cs="Georgia" w:eastAsia="Georgia" w:hAnsi="Georgia"/>
          <w:b/>
          <w:bCs/>
          <w:i w:val="false"/>
          <w:iCs w:val="false"/>
          <w:color w:val="1D1D1D"/>
          <w:sz w:val="22"/>
          <w:szCs w:val="22"/>
        </w:rPr>
        <w:t xml:space="preserve">Trial basis: </w:t>
      </w:r>
      <w:r>
        <w:rPr>
          <w:rFonts w:ascii="Georgia" w:cs="Georgia" w:eastAsia="Georgia" w:hAnsi="Georgia"/>
          <w:b w:val="false"/>
          <w:bCs w:val="false"/>
          <w:i w:val="false"/>
          <w:iCs w:val="false"/>
          <w:color w:val="1D1D1D"/>
          <w:sz w:val="22"/>
          <w:szCs w:val="22"/>
        </w:rPr>
        <w:t xml:space="preserve">MonumenTAL-1 (Chari et al., NEJM 2022).</w:t>
      </w:r>
    </w:p>
    <w:p>
      <w:pPr>
        <w:spacing w:after="40" w:before="40" w:line="300"/>
        <w:jc w:val="left"/>
      </w:pPr>
      <w:r>
        <w:rPr>
          <w:rFonts w:ascii="Georgia" w:cs="Georgia" w:eastAsia="Georgia" w:hAnsi="Georgia"/>
          <w:b/>
          <w:bCs/>
          <w:i w:val="false"/>
          <w:iCs w:val="false"/>
          <w:color w:val="1D1D1D"/>
          <w:sz w:val="22"/>
          <w:szCs w:val="22"/>
        </w:rPr>
        <w:t xml:space="preserve">Notes: </w:t>
      </w:r>
      <w:r>
        <w:rPr>
          <w:rFonts w:ascii="Georgia" w:cs="Georgia" w:eastAsia="Georgia" w:hAnsi="Georgia"/>
          <w:b w:val="false"/>
          <w:bCs w:val="false"/>
          <w:i w:val="false"/>
          <w:iCs w:val="false"/>
          <w:color w:val="1D1D1D"/>
          <w:sz w:val="22"/>
          <w:szCs w:val="22"/>
        </w:rPr>
        <w:t xml:space="preserve">GPRC5D bispecific. Distinct toxicity profile (dysgeusia, oral and skin toxicity, nail changes, weight loss) versus BCMA T-cell engagers. Approved-centre pathway. Verify Blueteq and local formulary access before prescribing.</w:t>
      </w:r>
    </w:p>
    <w:p>
      <w:pPr>
        <w:spacing w:after="40" w:before="160" w:line="300"/>
        <w:jc w:val="left"/>
      </w:pPr>
      <w:r>
        <w:rPr>
          <w:rFonts w:ascii="Georgia" w:cs="Georgia" w:eastAsia="Georgia" w:hAnsi="Georgia"/>
          <w:b/>
          <w:bCs/>
          <w:i w:val="false"/>
          <w:iCs w:val="false"/>
          <w:color w:val="7A1F2B"/>
          <w:sz w:val="23"/>
          <w:szCs w:val="23"/>
        </w:rPr>
        <w:t xml:space="preserve">Idecabtagene vicleucel (ide-cel, BCMA CAR-T)</w:t>
      </w:r>
    </w:p>
    <w:p>
      <w:pPr>
        <w:spacing w:after="80" w:before="80" w:line="300"/>
        <w:jc w:val="left"/>
      </w:pPr>
      <w:r>
        <w:rPr>
          <w:rFonts w:ascii="Georgia" w:cs="Georgia" w:eastAsia="Georgia" w:hAnsi="Georgia"/>
          <w:b/>
          <w:bCs/>
          <w:i w:val="false"/>
          <w:iCs w:val="false"/>
          <w:color w:val="C87A00"/>
          <w:sz w:val="20"/>
          <w:szCs w:val="20"/>
        </w:rPr>
        <w:t xml:space="preserve">NICE TA status to verify</w:t>
      </w:r>
      <w:r>
        <w:rPr>
          <w:rFonts w:ascii="Georgia" w:cs="Georgia" w:eastAsia="Georgia" w:hAnsi="Georgia"/>
          <w:b w:val="false"/>
          <w:bCs w:val="false"/>
          <w:i w:val="false"/>
          <w:iCs w:val="false"/>
          <w:color w:val="1D1D1D"/>
          <w:sz w:val="22"/>
          <w:szCs w:val="22"/>
        </w:rPr>
        <w:t xml:space="preserve">   </w:t>
      </w:r>
      <w:r>
        <w:rPr>
          <w:rFonts w:ascii="Georgia" w:cs="Georgia" w:eastAsia="Georgia" w:hAnsi="Georgia"/>
          <w:b/>
          <w:bCs/>
          <w:i w:val="false"/>
          <w:iCs w:val="false"/>
          <w:color w:val="C87A00"/>
          <w:sz w:val="20"/>
          <w:szCs w:val="20"/>
        </w:rPr>
        <w:t xml:space="preserve">High / Conditional</w:t>
      </w:r>
    </w:p>
    <w:p>
      <w:pPr>
        <w:spacing w:after="40" w:before="40" w:line="300"/>
        <w:jc w:val="left"/>
      </w:pPr>
      <w:r>
        <w:rPr>
          <w:rFonts w:ascii="Georgia" w:cs="Georgia" w:eastAsia="Georgia" w:hAnsi="Georgia"/>
          <w:b/>
          <w:bCs/>
          <w:i w:val="false"/>
          <w:iCs w:val="false"/>
          <w:color w:val="1D1D1D"/>
          <w:sz w:val="22"/>
          <w:szCs w:val="22"/>
        </w:rPr>
        <w:t xml:space="preserve">Trial basis: </w:t>
      </w:r>
      <w:r>
        <w:rPr>
          <w:rFonts w:ascii="Georgia" w:cs="Georgia" w:eastAsia="Georgia" w:hAnsi="Georgia"/>
          <w:b w:val="false"/>
          <w:bCs w:val="false"/>
          <w:i w:val="false"/>
          <w:iCs w:val="false"/>
          <w:color w:val="1D1D1D"/>
          <w:sz w:val="22"/>
          <w:szCs w:val="22"/>
        </w:rPr>
        <w:t xml:space="preserve">KarMMa (Munshi et al., NEJM 2021); KarMMa-3 (Rodriguez-Otero et al., NEJM 2023).</w:t>
      </w:r>
    </w:p>
    <w:p>
      <w:pPr>
        <w:spacing w:after="40" w:before="40" w:line="300"/>
        <w:jc w:val="left"/>
      </w:pPr>
      <w:r>
        <w:rPr>
          <w:rFonts w:ascii="Georgia" w:cs="Georgia" w:eastAsia="Georgia" w:hAnsi="Georgia"/>
          <w:b/>
          <w:bCs/>
          <w:i w:val="false"/>
          <w:iCs w:val="false"/>
          <w:color w:val="1D1D1D"/>
          <w:sz w:val="22"/>
          <w:szCs w:val="22"/>
        </w:rPr>
        <w:t xml:space="preserve">Notes: </w:t>
      </w:r>
      <w:r>
        <w:rPr>
          <w:rFonts w:ascii="Georgia" w:cs="Georgia" w:eastAsia="Georgia" w:hAnsi="Georgia"/>
          <w:b w:val="false"/>
          <w:bCs w:val="false"/>
          <w:i w:val="false"/>
          <w:iCs w:val="false"/>
          <w:color w:val="1D1D1D"/>
          <w:sz w:val="22"/>
          <w:szCs w:val="22"/>
        </w:rPr>
        <w:t xml:space="preserve">One-off autologous BCMA CAR-T. Treatment in approved centres only. Bridging therapy commonly required. Cytokine release syndrome, ICANS, prolonged cytopenias and hypogammaglobulinaemia routine. Verify current NICE TA and NHS England specialised commissioning before referral.</w:t>
      </w:r>
    </w:p>
    <w:p>
      <w:pPr>
        <w:spacing w:after="40" w:before="160" w:line="300"/>
        <w:jc w:val="left"/>
      </w:pPr>
      <w:r>
        <w:rPr>
          <w:rFonts w:ascii="Georgia" w:cs="Georgia" w:eastAsia="Georgia" w:hAnsi="Georgia"/>
          <w:b/>
          <w:bCs/>
          <w:i w:val="false"/>
          <w:iCs w:val="false"/>
          <w:color w:val="7A1F2B"/>
          <w:sz w:val="23"/>
          <w:szCs w:val="23"/>
        </w:rPr>
        <w:t xml:space="preserve">Ciltacabtagene autoleucel (cilta-cel, BCMA CAR-T)</w:t>
      </w:r>
    </w:p>
    <w:p>
      <w:pPr>
        <w:spacing w:after="80" w:before="80" w:line="300"/>
        <w:jc w:val="left"/>
      </w:pPr>
      <w:r>
        <w:rPr>
          <w:rFonts w:ascii="Georgia" w:cs="Georgia" w:eastAsia="Georgia" w:hAnsi="Georgia"/>
          <w:b/>
          <w:bCs/>
          <w:i w:val="false"/>
          <w:iCs w:val="false"/>
          <w:color w:val="AA3A3A"/>
          <w:sz w:val="20"/>
          <w:szCs w:val="20"/>
        </w:rPr>
        <w:t xml:space="preserve">TA889 terminated</w:t>
      </w:r>
      <w:r>
        <w:rPr>
          <w:rFonts w:ascii="Georgia" w:cs="Georgia" w:eastAsia="Georgia" w:hAnsi="Georgia"/>
          <w:b w:val="false"/>
          <w:bCs w:val="false"/>
          <w:i w:val="false"/>
          <w:iCs w:val="false"/>
          <w:color w:val="1D1D1D"/>
          <w:sz w:val="22"/>
          <w:szCs w:val="22"/>
        </w:rPr>
        <w:t xml:space="preserve">   </w:t>
      </w:r>
      <w:r>
        <w:rPr>
          <w:rFonts w:ascii="Georgia" w:cs="Georgia" w:eastAsia="Georgia" w:hAnsi="Georgia"/>
          <w:b/>
          <w:bCs/>
          <w:i w:val="false"/>
          <w:iCs w:val="false"/>
          <w:color w:val="C87A00"/>
          <w:sz w:val="20"/>
          <w:szCs w:val="20"/>
        </w:rPr>
        <w:t xml:space="preserve">GID-TA10905 / ID4012 in development (earlier line)</w:t>
      </w:r>
    </w:p>
    <w:p>
      <w:pPr>
        <w:spacing w:after="40" w:before="40" w:line="300"/>
        <w:jc w:val="left"/>
      </w:pPr>
      <w:r>
        <w:rPr>
          <w:rFonts w:ascii="Georgia" w:cs="Georgia" w:eastAsia="Georgia" w:hAnsi="Georgia"/>
          <w:b/>
          <w:bCs/>
          <w:i w:val="false"/>
          <w:iCs w:val="false"/>
          <w:color w:val="1D1D1D"/>
          <w:sz w:val="22"/>
          <w:szCs w:val="22"/>
        </w:rPr>
        <w:t xml:space="preserve">Trial basis: </w:t>
      </w:r>
      <w:r>
        <w:rPr>
          <w:rFonts w:ascii="Georgia" w:cs="Georgia" w:eastAsia="Georgia" w:hAnsi="Georgia"/>
          <w:b w:val="false"/>
          <w:bCs w:val="false"/>
          <w:i w:val="false"/>
          <w:iCs w:val="false"/>
          <w:color w:val="1D1D1D"/>
          <w:sz w:val="22"/>
          <w:szCs w:val="22"/>
        </w:rPr>
        <w:t xml:space="preserve">CARTITUDE-1 (Berdeja et al., Lancet 2021); CARTITUDE-4 (San-Miguel et al., NEJM 2023).</w:t>
      </w:r>
    </w:p>
    <w:p>
      <w:pPr>
        <w:spacing w:after="40" w:before="40" w:line="300"/>
        <w:jc w:val="left"/>
      </w:pPr>
      <w:r>
        <w:rPr>
          <w:rFonts w:ascii="Georgia" w:cs="Georgia" w:eastAsia="Georgia" w:hAnsi="Georgia"/>
          <w:b/>
          <w:bCs/>
          <w:i w:val="false"/>
          <w:iCs w:val="false"/>
          <w:color w:val="1D1D1D"/>
          <w:sz w:val="22"/>
          <w:szCs w:val="22"/>
        </w:rPr>
        <w:t xml:space="preserve">Notes: </w:t>
      </w:r>
      <w:r>
        <w:rPr>
          <w:rFonts w:ascii="Georgia" w:cs="Georgia" w:eastAsia="Georgia" w:hAnsi="Georgia"/>
          <w:b w:val="false"/>
          <w:bCs w:val="false"/>
          <w:i w:val="false"/>
          <w:iCs w:val="false"/>
          <w:color w:val="1D1D1D"/>
          <w:sz w:val="22"/>
          <w:szCs w:val="22"/>
        </w:rPr>
        <w:t xml:space="preserve">TA889 was terminated after Janssen withdrew its submission — no NICE recommendation for routine commissioning under that appraisal. A separate NICE appraisal (GID-TA10905 / ID4012) for cilta-cel in relapsed and lenalidomide-refractory myeloma after 1 to 3 prior therapies is in development, with appraisal scheduled to begin early July 2026 per the NICE timeline. These are two distinct appraisals and must not be conflated. Access in UK routine commissioning currently absent; specialist-centre decision and individual funding only. Approved-centre pathway and live NICE verification required before referral.</w:t>
      </w:r>
    </w:p>
    <w:p>
      <w:pPr>
        <w:spacing w:after="40" w:before="160" w:line="300"/>
        <w:jc w:val="left"/>
      </w:pPr>
      <w:r>
        <w:rPr>
          <w:rFonts w:ascii="Georgia" w:cs="Georgia" w:eastAsia="Georgia" w:hAnsi="Georgia"/>
          <w:b/>
          <w:bCs/>
          <w:i w:val="false"/>
          <w:iCs w:val="false"/>
          <w:color w:val="7A1F2B"/>
          <w:sz w:val="23"/>
          <w:szCs w:val="23"/>
        </w:rPr>
        <w:t xml:space="preserve">Selinexor + dexamethasone</w:t>
      </w:r>
    </w:p>
    <w:p>
      <w:pPr>
        <w:spacing w:after="80" w:before="80" w:line="300"/>
        <w:jc w:val="left"/>
      </w:pPr>
      <w:r>
        <w:rPr>
          <w:rFonts w:ascii="Georgia" w:cs="Georgia" w:eastAsia="Georgia" w:hAnsi="Georgia"/>
          <w:b/>
          <w:bCs/>
          <w:i w:val="false"/>
          <w:iCs w:val="false"/>
          <w:color w:val="7A1F2B"/>
          <w:sz w:val="20"/>
          <w:szCs w:val="20"/>
        </w:rPr>
        <w:t xml:space="preserve">NICE TA970</w:t>
      </w:r>
      <w:r>
        <w:rPr>
          <w:rFonts w:ascii="Georgia" w:cs="Georgia" w:eastAsia="Georgia" w:hAnsi="Georgia"/>
          <w:b w:val="false"/>
          <w:bCs w:val="false"/>
          <w:i w:val="false"/>
          <w:iCs w:val="false"/>
          <w:color w:val="1D1D1D"/>
          <w:sz w:val="22"/>
          <w:szCs w:val="22"/>
        </w:rPr>
        <w:t xml:space="preserve">   </w:t>
      </w:r>
      <w:r>
        <w:rPr>
          <w:rFonts w:ascii="Georgia" w:cs="Georgia" w:eastAsia="Georgia" w:hAnsi="Georgia"/>
          <w:b/>
          <w:bCs/>
          <w:i w:val="false"/>
          <w:iCs w:val="false"/>
          <w:color w:val="C87A00"/>
          <w:sz w:val="20"/>
          <w:szCs w:val="20"/>
        </w:rPr>
        <w:t xml:space="preserve">Moderate / Conditional</w:t>
      </w:r>
    </w:p>
    <w:p>
      <w:pPr>
        <w:spacing w:after="40" w:before="40" w:line="300"/>
        <w:jc w:val="left"/>
      </w:pPr>
      <w:r>
        <w:rPr>
          <w:rFonts w:ascii="Georgia" w:cs="Georgia" w:eastAsia="Georgia" w:hAnsi="Georgia"/>
          <w:b/>
          <w:bCs/>
          <w:i w:val="false"/>
          <w:iCs w:val="false"/>
          <w:color w:val="1D1D1D"/>
          <w:sz w:val="22"/>
          <w:szCs w:val="22"/>
        </w:rPr>
        <w:t xml:space="preserve">Dose: </w:t>
      </w:r>
      <w:r>
        <w:rPr>
          <w:rFonts w:ascii="Georgia" w:cs="Georgia" w:eastAsia="Georgia" w:hAnsi="Georgia"/>
          <w:b w:val="false"/>
          <w:bCs w:val="false"/>
          <w:i w:val="false"/>
          <w:iCs w:val="false"/>
          <w:color w:val="1D1D1D"/>
          <w:sz w:val="22"/>
          <w:szCs w:val="22"/>
        </w:rPr>
        <w:t xml:space="preserve">Selinexor 80 mg PO twice weekly with dexamethasone 20 mg twice weekly. Aggressive anti-emetic and supportive plan from cycle 1.</w:t>
      </w:r>
    </w:p>
    <w:p>
      <w:pPr>
        <w:spacing w:after="40" w:before="40" w:line="300"/>
        <w:jc w:val="left"/>
      </w:pPr>
      <w:r>
        <w:rPr>
          <w:rFonts w:ascii="Georgia" w:cs="Georgia" w:eastAsia="Georgia" w:hAnsi="Georgia"/>
          <w:b/>
          <w:bCs/>
          <w:i w:val="false"/>
          <w:iCs w:val="false"/>
          <w:color w:val="1D1D1D"/>
          <w:sz w:val="22"/>
          <w:szCs w:val="22"/>
        </w:rPr>
        <w:t xml:space="preserve">NICE TA: </w:t>
      </w:r>
      <w:r>
        <w:rPr>
          <w:rFonts w:ascii="Georgia" w:cs="Georgia" w:eastAsia="Georgia" w:hAnsi="Georgia"/>
          <w:b w:val="false"/>
          <w:bCs w:val="false"/>
          <w:i w:val="false"/>
          <w:iCs w:val="false"/>
          <w:color w:val="1D1D1D"/>
          <w:sz w:val="22"/>
          <w:szCs w:val="22"/>
        </w:rPr>
        <w:t xml:space="preserve">TA970, for R/R MM after 4 or more prior therapies (penta-refractory disease).</w:t>
      </w:r>
    </w:p>
    <w:p>
      <w:pPr>
        <w:spacing w:after="40" w:before="40" w:line="300"/>
        <w:jc w:val="left"/>
      </w:pPr>
      <w:r>
        <w:rPr>
          <w:rFonts w:ascii="Georgia" w:cs="Georgia" w:eastAsia="Georgia" w:hAnsi="Georgia"/>
          <w:b/>
          <w:bCs/>
          <w:i w:val="false"/>
          <w:iCs w:val="false"/>
          <w:color w:val="1D1D1D"/>
          <w:sz w:val="22"/>
          <w:szCs w:val="22"/>
        </w:rPr>
        <w:t xml:space="preserve">Trial basis: </w:t>
      </w:r>
      <w:r>
        <w:rPr>
          <w:rFonts w:ascii="Georgia" w:cs="Georgia" w:eastAsia="Georgia" w:hAnsi="Georgia"/>
          <w:b w:val="false"/>
          <w:bCs w:val="false"/>
          <w:i w:val="false"/>
          <w:iCs w:val="false"/>
          <w:color w:val="1D1D1D"/>
          <w:sz w:val="22"/>
          <w:szCs w:val="22"/>
        </w:rPr>
        <w:t xml:space="preserve">STORM (Chari et al., NEJM 2019).</w:t>
      </w:r>
    </w:p>
    <w:p>
      <w:pPr>
        <w:spacing w:after="40" w:before="40" w:line="300"/>
        <w:jc w:val="left"/>
      </w:pPr>
      <w:r>
        <w:rPr>
          <w:rFonts w:ascii="Georgia" w:cs="Georgia" w:eastAsia="Georgia" w:hAnsi="Georgia"/>
          <w:b/>
          <w:bCs/>
          <w:i w:val="false"/>
          <w:iCs w:val="false"/>
          <w:color w:val="1D1D1D"/>
          <w:sz w:val="22"/>
          <w:szCs w:val="22"/>
        </w:rPr>
        <w:t xml:space="preserve">Notes: </w:t>
      </w:r>
      <w:r>
        <w:rPr>
          <w:rFonts w:ascii="Georgia" w:cs="Georgia" w:eastAsia="Georgia" w:hAnsi="Georgia"/>
          <w:b w:val="false"/>
          <w:bCs w:val="false"/>
          <w:i w:val="false"/>
          <w:iCs w:val="false"/>
          <w:color w:val="1D1D1D"/>
          <w:sz w:val="22"/>
          <w:szCs w:val="22"/>
        </w:rPr>
        <w:t xml:space="preserve">High symptom burden (fatigue, nausea, anorexia, thrombocytopenia, hyponatraemia). Pre-emptive anti-emetic regimen, frequent monitoring, and proactive dose modification are essential. Selinexor + bortezomib + dex (BOSTON, Grosicki et al., Lancet 2020) is not currently NICE-commissioned in the UK and should not be presented as a routine option.</w:t>
      </w:r>
    </w:p>
    <w:p>
      <w:pPr>
        <w:spacing w:after="40" w:before="160" w:line="300"/>
        <w:jc w:val="left"/>
      </w:pPr>
      <w:r>
        <w:rPr>
          <w:rFonts w:ascii="Georgia" w:cs="Georgia" w:eastAsia="Georgia" w:hAnsi="Georgia"/>
          <w:b/>
          <w:bCs/>
          <w:i w:val="false"/>
          <w:iCs w:val="false"/>
          <w:color w:val="7A1F2B"/>
          <w:sz w:val="23"/>
          <w:szCs w:val="23"/>
        </w:rPr>
        <w:t xml:space="preserve">Belantamab mafodotin + pomalidomide + dexamethasone (BPd, DREAMM-8)</w:t>
      </w:r>
    </w:p>
    <w:p>
      <w:pPr>
        <w:spacing w:after="80" w:before="80" w:line="300"/>
        <w:jc w:val="left"/>
      </w:pPr>
      <w:r>
        <w:rPr>
          <w:rFonts w:ascii="Georgia" w:cs="Georgia" w:eastAsia="Georgia" w:hAnsi="Georgia"/>
          <w:b/>
          <w:bCs/>
          <w:i w:val="false"/>
          <w:iCs w:val="false"/>
          <w:color w:val="7A1F2B"/>
          <w:sz w:val="20"/>
          <w:szCs w:val="20"/>
        </w:rPr>
        <w:t xml:space="preserve">NICE TA1133</w:t>
      </w:r>
      <w:r>
        <w:rPr>
          <w:rFonts w:ascii="Georgia" w:cs="Georgia" w:eastAsia="Georgia" w:hAnsi="Georgia"/>
          <w:b w:val="false"/>
          <w:bCs w:val="false"/>
          <w:i w:val="false"/>
          <w:iCs w:val="false"/>
          <w:color w:val="1D1D1D"/>
          <w:sz w:val="22"/>
          <w:szCs w:val="22"/>
        </w:rPr>
        <w:t xml:space="preserve">   </w:t>
      </w:r>
      <w:r>
        <w:rPr>
          <w:rFonts w:ascii="Georgia" w:cs="Georgia" w:eastAsia="Georgia" w:hAnsi="Georgia"/>
          <w:b/>
          <w:bCs/>
          <w:i w:val="false"/>
          <w:iCs w:val="false"/>
          <w:color w:val="2A6B3B"/>
          <w:sz w:val="20"/>
          <w:szCs w:val="20"/>
        </w:rPr>
        <w:t xml:space="preserve">High / Strong</w:t>
      </w:r>
    </w:p>
    <w:p>
      <w:pPr>
        <w:spacing w:after="40" w:before="40" w:line="300"/>
        <w:jc w:val="left"/>
      </w:pPr>
      <w:r>
        <w:rPr>
          <w:rFonts w:ascii="Georgia" w:cs="Georgia" w:eastAsia="Georgia" w:hAnsi="Georgia"/>
          <w:b/>
          <w:bCs/>
          <w:i w:val="false"/>
          <w:iCs w:val="false"/>
          <w:color w:val="1D1D1D"/>
          <w:sz w:val="22"/>
          <w:szCs w:val="22"/>
        </w:rPr>
        <w:t xml:space="preserve">Indication: </w:t>
      </w:r>
      <w:r>
        <w:rPr>
          <w:rFonts w:ascii="Georgia" w:cs="Georgia" w:eastAsia="Georgia" w:hAnsi="Georgia"/>
          <w:b w:val="false"/>
          <w:bCs w:val="false"/>
          <w:i w:val="false"/>
          <w:iCs w:val="false"/>
          <w:color w:val="1D1D1D"/>
          <w:sz w:val="22"/>
          <w:szCs w:val="22"/>
        </w:rPr>
        <w:t xml:space="preserve">Option after one prior lenalidomide-containing line if lenalidomide is not tolerated or disease is lenalidomide-refractory. Not a generic penta-refractory option. Verify ocular monitoring service, commercial arrangement, Blueteq form and local pathway before prescribing.</w:t>
      </w:r>
    </w:p>
    <w:p>
      <w:pPr>
        <w:spacing w:after="40" w:before="40" w:line="300"/>
        <w:jc w:val="left"/>
      </w:pPr>
      <w:r>
        <w:rPr>
          <w:rFonts w:ascii="Georgia" w:cs="Georgia" w:eastAsia="Georgia" w:hAnsi="Georgia"/>
          <w:b/>
          <w:bCs/>
          <w:i w:val="false"/>
          <w:iCs w:val="false"/>
          <w:color w:val="1D1D1D"/>
          <w:sz w:val="22"/>
          <w:szCs w:val="22"/>
        </w:rPr>
        <w:t xml:space="preserve">Dose: </w:t>
      </w:r>
      <w:r>
        <w:rPr>
          <w:rFonts w:ascii="Georgia" w:cs="Georgia" w:eastAsia="Georgia" w:hAnsi="Georgia"/>
          <w:b w:val="false"/>
          <w:bCs w:val="false"/>
          <w:i w:val="false"/>
          <w:iCs w:val="false"/>
          <w:color w:val="1D1D1D"/>
          <w:sz w:val="22"/>
          <w:szCs w:val="22"/>
        </w:rPr>
        <w:t xml:space="preserve">Belantamab mafodotin 2.5 mg/kg IV every 4 weeks (cycle 1) and 1.9 mg/kg IV every 4 weeks thereafter, with pomalidomide and dexamethasone per DREAMM-8 schedule. Dose example only — verify against current SmPC, local e-prescribing protocol, renal/hepatic adjustment, frailty modification, pharmacy verification. Mandatory pre-dose ophthalmology assessment before each cycle (visual acuity and keratopathy grading per protocol).</w:t>
      </w:r>
    </w:p>
    <w:p>
      <w:pPr>
        <w:spacing w:after="40" w:before="40" w:line="300"/>
        <w:jc w:val="left"/>
      </w:pPr>
      <w:r>
        <w:rPr>
          <w:rFonts w:ascii="Georgia" w:cs="Georgia" w:eastAsia="Georgia" w:hAnsi="Georgia"/>
          <w:b/>
          <w:bCs/>
          <w:i w:val="false"/>
          <w:iCs w:val="false"/>
          <w:color w:val="1D1D1D"/>
          <w:sz w:val="22"/>
          <w:szCs w:val="22"/>
        </w:rPr>
        <w:t xml:space="preserve">NICE TA: </w:t>
      </w:r>
      <w:r>
        <w:rPr>
          <w:rFonts w:ascii="Georgia" w:cs="Georgia" w:eastAsia="Georgia" w:hAnsi="Georgia"/>
          <w:b w:val="false"/>
          <w:bCs w:val="false"/>
          <w:i w:val="false"/>
          <w:iCs w:val="false"/>
          <w:color w:val="1D1D1D"/>
          <w:sz w:val="22"/>
          <w:szCs w:val="22"/>
        </w:rPr>
        <w:t xml:space="preserve">TA1133 (February 2026). Recommended for previously treated myeloma after at least one prior therapy including lenalidomide. Verify recommendation restrictions and ocular-toxicity monitoring requirements before pathway placement.</w:t>
      </w:r>
    </w:p>
    <w:p>
      <w:pPr>
        <w:spacing w:after="40" w:before="40" w:line="300"/>
        <w:jc w:val="left"/>
      </w:pPr>
      <w:r>
        <w:rPr>
          <w:rFonts w:ascii="Georgia" w:cs="Georgia" w:eastAsia="Georgia" w:hAnsi="Georgia"/>
          <w:b/>
          <w:bCs/>
          <w:i w:val="false"/>
          <w:iCs w:val="false"/>
          <w:color w:val="1D1D1D"/>
          <w:sz w:val="22"/>
          <w:szCs w:val="22"/>
        </w:rPr>
        <w:t xml:space="preserve">Trial basis: </w:t>
      </w:r>
      <w:r>
        <w:rPr>
          <w:rFonts w:ascii="Georgia" w:cs="Georgia" w:eastAsia="Georgia" w:hAnsi="Georgia"/>
          <w:b w:val="false"/>
          <w:bCs w:val="false"/>
          <w:i w:val="false"/>
          <w:iCs w:val="false"/>
          <w:color w:val="1D1D1D"/>
          <w:sz w:val="22"/>
          <w:szCs w:val="22"/>
        </w:rPr>
        <w:t xml:space="preserve">DREAMM-8 (Trudel et al., NEJM 2024). Belantamab + Pd improved PFS over PVd.</w:t>
      </w:r>
    </w:p>
    <w:p>
      <w:pPr>
        <w:spacing w:after="40" w:before="40" w:line="300"/>
        <w:jc w:val="left"/>
      </w:pPr>
      <w:r>
        <w:rPr>
          <w:rFonts w:ascii="Georgia" w:cs="Georgia" w:eastAsia="Georgia" w:hAnsi="Georgia"/>
          <w:b/>
          <w:bCs/>
          <w:i w:val="false"/>
          <w:iCs w:val="false"/>
          <w:color w:val="1D1D1D"/>
          <w:sz w:val="22"/>
          <w:szCs w:val="22"/>
        </w:rPr>
        <w:t xml:space="preserve">Notes: </w:t>
      </w:r>
      <w:r>
        <w:rPr>
          <w:rFonts w:ascii="Georgia" w:cs="Georgia" w:eastAsia="Georgia" w:hAnsi="Georgia"/>
          <w:b w:val="false"/>
          <w:bCs w:val="false"/>
          <w:i w:val="false"/>
          <w:iCs w:val="false"/>
          <w:color w:val="1D1D1D"/>
          <w:sz w:val="22"/>
          <w:szCs w:val="22"/>
        </w:rPr>
        <w:t xml:space="preserve">Structured ophthalmology pathway essential (delayed dosing for grade 2 or higher keratopathy per protocol). DREAMM-7 (belantamab + Vd) data are supportive but TA1133 covers the BPd regimen specifically — verify the live NICE wording for which combination is commissioned.</w:t>
      </w:r>
    </w:p>
    <w:p>
      <w:pPr>
        <w:spacing w:after="40" w:before="160" w:line="300"/>
        <w:jc w:val="left"/>
      </w:pPr>
      <w:r>
        <w:rPr>
          <w:rFonts w:ascii="Georgia" w:cs="Georgia" w:eastAsia="Georgia" w:hAnsi="Georgia"/>
          <w:b/>
          <w:bCs/>
          <w:i w:val="false"/>
          <w:iCs w:val="false"/>
          <w:color w:val="7A1F2B"/>
          <w:sz w:val="23"/>
          <w:szCs w:val="23"/>
        </w:rPr>
        <w:t xml:space="preserve">Venetoclax for t(11;14) myeloma</w:t>
      </w:r>
    </w:p>
    <w:p>
      <w:pPr>
        <w:spacing w:after="80" w:before="80" w:line="300"/>
        <w:jc w:val="left"/>
      </w:pPr>
      <w:r>
        <w:rPr>
          <w:rFonts w:ascii="Georgia" w:cs="Georgia" w:eastAsia="Georgia" w:hAnsi="Georgia"/>
          <w:b/>
          <w:bCs/>
          <w:i w:val="false"/>
          <w:iCs w:val="false"/>
          <w:color w:val="AA3A3A"/>
          <w:sz w:val="20"/>
          <w:szCs w:val="20"/>
        </w:rPr>
        <w:t xml:space="preserve">Not NICE-commissioned (off-label)</w:t>
      </w:r>
      <w:r>
        <w:rPr>
          <w:rFonts w:ascii="Georgia" w:cs="Georgia" w:eastAsia="Georgia" w:hAnsi="Georgia"/>
          <w:b w:val="false"/>
          <w:bCs w:val="false"/>
          <w:i w:val="false"/>
          <w:iCs w:val="false"/>
          <w:color w:val="1D1D1D"/>
          <w:sz w:val="22"/>
          <w:szCs w:val="22"/>
        </w:rPr>
        <w:t xml:space="preserve">   </w:t>
      </w:r>
      <w:r>
        <w:rPr>
          <w:rFonts w:ascii="Georgia" w:cs="Georgia" w:eastAsia="Georgia" w:hAnsi="Georgia"/>
          <w:b/>
          <w:bCs/>
          <w:i w:val="false"/>
          <w:iCs w:val="false"/>
          <w:color w:val="C87A00"/>
          <w:sz w:val="20"/>
          <w:szCs w:val="20"/>
        </w:rPr>
        <w:t xml:space="preserve">Moderate / Conditional</w:t>
      </w:r>
    </w:p>
    <w:p>
      <w:pPr>
        <w:spacing w:after="40" w:before="40" w:line="300"/>
        <w:jc w:val="left"/>
      </w:pPr>
      <w:r>
        <w:rPr>
          <w:rFonts w:ascii="Georgia" w:cs="Georgia" w:eastAsia="Georgia" w:hAnsi="Georgia"/>
          <w:b/>
          <w:bCs/>
          <w:i w:val="false"/>
          <w:iCs w:val="false"/>
          <w:color w:val="1D1D1D"/>
          <w:sz w:val="22"/>
          <w:szCs w:val="22"/>
        </w:rPr>
        <w:t xml:space="preserve">Trial basis: </w:t>
      </w:r>
      <w:r>
        <w:rPr>
          <w:rFonts w:ascii="Georgia" w:cs="Georgia" w:eastAsia="Georgia" w:hAnsi="Georgia"/>
          <w:b w:val="false"/>
          <w:bCs w:val="false"/>
          <w:i w:val="false"/>
          <w:iCs w:val="false"/>
          <w:color w:val="1D1D1D"/>
          <w:sz w:val="22"/>
          <w:szCs w:val="22"/>
        </w:rPr>
        <w:t xml:space="preserve">BELLINI (Kumar et al., Lancet Oncol 2020) and M13-367.</w:t>
      </w:r>
    </w:p>
    <w:p>
      <w:pPr>
        <w:spacing w:after="40" w:before="40" w:line="300"/>
        <w:jc w:val="left"/>
      </w:pPr>
      <w:r>
        <w:rPr>
          <w:rFonts w:ascii="Georgia" w:cs="Georgia" w:eastAsia="Georgia" w:hAnsi="Georgia"/>
          <w:b/>
          <w:bCs/>
          <w:i w:val="false"/>
          <w:iCs w:val="false"/>
          <w:color w:val="1D1D1D"/>
          <w:sz w:val="22"/>
          <w:szCs w:val="22"/>
        </w:rPr>
        <w:t xml:space="preserve">Notes: </w:t>
      </w:r>
      <w:r>
        <w:rPr>
          <w:rFonts w:ascii="Georgia" w:cs="Georgia" w:eastAsia="Georgia" w:hAnsi="Georgia"/>
          <w:b w:val="false"/>
          <w:bCs w:val="false"/>
          <w:i w:val="false"/>
          <w:iCs w:val="false"/>
          <w:color w:val="1D1D1D"/>
          <w:sz w:val="22"/>
          <w:szCs w:val="22"/>
        </w:rPr>
        <w:t xml:space="preserve">Not NICE-approved for myeloma. Off-label, restricted to t(11;14) disease in trial protocols or specialist-centre decisions with individual funding. Infection prophylaxis required (PJP, fungal). The BELLINI signal of increased mortality with venetoclax in non-t(11;14) myeloma underlines that this is a biomarker-restricted indication.</w:t>
      </w:r>
    </w:p>
    <w:p>
      <w:pPr>
        <w:spacing w:after="40" w:before="160" w:line="300"/>
        <w:jc w:val="left"/>
      </w:pPr>
      <w:r>
        <w:rPr>
          <w:rFonts w:ascii="Georgia" w:cs="Georgia" w:eastAsia="Georgia" w:hAnsi="Georgia"/>
          <w:b/>
          <w:bCs/>
          <w:i w:val="false"/>
          <w:iCs w:val="false"/>
          <w:color w:val="7A1F2B"/>
          <w:sz w:val="23"/>
          <w:szCs w:val="23"/>
        </w:rPr>
        <w:t xml:space="preserve">Panobinostat + bortezomib + dexamethasone</w:t>
      </w:r>
    </w:p>
    <w:p>
      <w:pPr>
        <w:spacing w:after="80" w:before="80" w:line="300"/>
        <w:jc w:val="left"/>
      </w:pPr>
      <w:r>
        <w:rPr>
          <w:rFonts w:ascii="Georgia" w:cs="Georgia" w:eastAsia="Georgia" w:hAnsi="Georgia"/>
          <w:b/>
          <w:bCs/>
          <w:i w:val="false"/>
          <w:iCs w:val="false"/>
          <w:color w:val="7A1F2B"/>
          <w:sz w:val="20"/>
          <w:szCs w:val="20"/>
        </w:rPr>
        <w:t xml:space="preserve">NICE TA380</w:t>
      </w:r>
      <w:r>
        <w:rPr>
          <w:rFonts w:ascii="Georgia" w:cs="Georgia" w:eastAsia="Georgia" w:hAnsi="Georgia"/>
          <w:b w:val="false"/>
          <w:bCs w:val="false"/>
          <w:i w:val="false"/>
          <w:iCs w:val="false"/>
          <w:color w:val="1D1D1D"/>
          <w:sz w:val="22"/>
          <w:szCs w:val="22"/>
        </w:rPr>
        <w:t xml:space="preserve">   </w:t>
      </w:r>
      <w:r>
        <w:rPr>
          <w:rFonts w:ascii="Georgia" w:cs="Georgia" w:eastAsia="Georgia" w:hAnsi="Georgia"/>
          <w:b/>
          <w:bCs/>
          <w:i w:val="false"/>
          <w:iCs w:val="false"/>
          <w:color w:val="AA3A3A"/>
          <w:sz w:val="20"/>
          <w:szCs w:val="20"/>
        </w:rPr>
        <w:t xml:space="preserve">Low / Conditional</w:t>
      </w:r>
    </w:p>
    <w:p>
      <w:pPr>
        <w:spacing w:after="40" w:before="40" w:line="300"/>
        <w:jc w:val="left"/>
      </w:pPr>
      <w:r>
        <w:rPr>
          <w:rFonts w:ascii="Georgia" w:cs="Georgia" w:eastAsia="Georgia" w:hAnsi="Georgia"/>
          <w:b/>
          <w:bCs/>
          <w:i w:val="false"/>
          <w:iCs w:val="false"/>
          <w:color w:val="1D1D1D"/>
          <w:sz w:val="22"/>
          <w:szCs w:val="22"/>
        </w:rPr>
        <w:t xml:space="preserve">Trial basis: </w:t>
      </w:r>
      <w:r>
        <w:rPr>
          <w:rFonts w:ascii="Georgia" w:cs="Georgia" w:eastAsia="Georgia" w:hAnsi="Georgia"/>
          <w:b w:val="false"/>
          <w:bCs w:val="false"/>
          <w:i w:val="false"/>
          <w:iCs w:val="false"/>
          <w:color w:val="1D1D1D"/>
          <w:sz w:val="22"/>
          <w:szCs w:val="22"/>
        </w:rPr>
        <w:t xml:space="preserve">PANORAMA-1 (San-Miguel et al., Lancet Oncol 2014).</w:t>
      </w:r>
    </w:p>
    <w:p>
      <w:pPr>
        <w:spacing w:after="40" w:before="40" w:line="300"/>
        <w:jc w:val="left"/>
      </w:pPr>
      <w:r>
        <w:rPr>
          <w:rFonts w:ascii="Georgia" w:cs="Georgia" w:eastAsia="Georgia" w:hAnsi="Georgia"/>
          <w:b/>
          <w:bCs/>
          <w:i w:val="false"/>
          <w:iCs w:val="false"/>
          <w:color w:val="1D1D1D"/>
          <w:sz w:val="22"/>
          <w:szCs w:val="22"/>
        </w:rPr>
        <w:t xml:space="preserve">Notes: </w:t>
      </w:r>
      <w:r>
        <w:rPr>
          <w:rFonts w:ascii="Georgia" w:cs="Georgia" w:eastAsia="Georgia" w:hAnsi="Georgia"/>
          <w:b w:val="false"/>
          <w:bCs w:val="false"/>
          <w:i w:val="false"/>
          <w:iCs w:val="false"/>
          <w:color w:val="1D1D1D"/>
          <w:sz w:val="22"/>
          <w:szCs w:val="22"/>
        </w:rPr>
        <w:t xml:space="preserve">Reserved option where preferred alternatives are unsuitable. TA380 commissioning status should be verified before prescribing.</w:t>
      </w:r>
    </w:p>
    <w:p>
      <w:pPr>
        <w:spacing w:after="80" w:before="180"/>
      </w:pPr>
      <w:r>
        <w:rPr>
          <w:rFonts w:ascii="Georgia" w:cs="Georgia" w:eastAsia="Georgia" w:hAnsi="Georgia"/>
          <w:b/>
          <w:bCs/>
          <w:color w:val="1D1D1D"/>
          <w:sz w:val="24"/>
          <w:szCs w:val="24"/>
        </w:rPr>
        <w:t xml:space="preserve">Second autologous stem cell transplant</w:t>
      </w:r>
    </w:p>
    <w:p>
      <w:pPr>
        <w:pStyle w:val="ListParagraph"/>
        <w:numPr>
          <w:ilvl w:val="0"/>
          <w:numId w:val="2"/>
        </w:numPr>
        <w:spacing w:after="40" w:before="40" w:line="280"/>
      </w:pPr>
      <w:r>
        <w:rPr>
          <w:rFonts w:ascii="Georgia" w:cs="Georgia" w:eastAsia="Georgia" w:hAnsi="Georgia"/>
          <w:b w:val="false"/>
          <w:bCs w:val="false"/>
          <w:i w:val="false"/>
          <w:iCs w:val="false"/>
          <w:color w:val="1D1D1D"/>
          <w:sz w:val="22"/>
          <w:szCs w:val="22"/>
        </w:rPr>
        <w:t xml:space="preserve">Consider second ASCT in suitable patients who have achieved at least PR with reinduction.</w:t>
      </w:r>
    </w:p>
    <w:p>
      <w:pPr>
        <w:pStyle w:val="ListParagraph"/>
        <w:numPr>
          <w:ilvl w:val="0"/>
          <w:numId w:val="2"/>
        </w:numPr>
        <w:spacing w:after="40" w:before="40" w:line="280"/>
      </w:pPr>
      <w:r>
        <w:rPr>
          <w:rFonts w:ascii="Georgia" w:cs="Georgia" w:eastAsia="Georgia" w:hAnsi="Georgia"/>
          <w:b w:val="false"/>
          <w:bCs w:val="false"/>
          <w:i w:val="false"/>
          <w:iCs w:val="false"/>
          <w:color w:val="1D1D1D"/>
          <w:sz w:val="22"/>
          <w:szCs w:val="22"/>
        </w:rPr>
        <w:t xml:space="preserve">Outcomes are less favourable in the presence of high-risk cytogenetics; repeat FISH at relapse is recommended where second ASCT is being considered.</w:t>
      </w:r>
    </w:p>
    <w:p>
      <w:pPr>
        <w:pStyle w:val="ListParagraph"/>
        <w:numPr>
          <w:ilvl w:val="0"/>
          <w:numId w:val="2"/>
        </w:numPr>
        <w:spacing w:after="40" w:before="40" w:line="280"/>
      </w:pPr>
      <w:r>
        <w:rPr>
          <w:rFonts w:ascii="Georgia" w:cs="Georgia" w:eastAsia="Georgia" w:hAnsi="Georgia"/>
          <w:b w:val="false"/>
          <w:bCs w:val="false"/>
          <w:i w:val="false"/>
          <w:iCs w:val="false"/>
          <w:color w:val="1D1D1D"/>
          <w:sz w:val="22"/>
          <w:szCs w:val="22"/>
        </w:rPr>
        <w:t xml:space="preserve">Melphalan 200 mg/m squared remains the standard conditioning regimen.</w:t>
      </w:r>
    </w:p>
    <w:p>
      <w:pPr>
        <w:pStyle w:val="ListParagraph"/>
        <w:numPr>
          <w:ilvl w:val="0"/>
          <w:numId w:val="2"/>
        </w:numPr>
        <w:spacing w:after="40" w:before="40" w:line="280"/>
      </w:pPr>
      <w:r>
        <w:rPr>
          <w:rFonts w:ascii="Georgia" w:cs="Georgia" w:eastAsia="Georgia" w:hAnsi="Georgia"/>
          <w:b w:val="false"/>
          <w:bCs w:val="false"/>
          <w:i w:val="false"/>
          <w:iCs w:val="false"/>
          <w:color w:val="1D1D1D"/>
          <w:sz w:val="22"/>
          <w:szCs w:val="22"/>
        </w:rPr>
        <w:t xml:space="preserve">Collect sufficient stem cells at first mobilisation for two transplants where feasible.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D8C9CB" w:sz="4"/>
              <w:left w:val="single" w:color="C87A00" w:sz="16"/>
              <w:bottom w:val="single" w:color="D8C9CB" w:sz="4"/>
              <w:right w:val="single" w:color="D8C9CB" w:sz="4"/>
            </w:tcBorders>
            <w:shd w:fill="FFF4E0" w:val="clear"/>
            <w:tcMar>
              <w:top w:type="dxa" w:w="140"/>
              <w:left w:type="dxa" w:w="200"/>
              <w:bottom w:type="dxa" w:w="140"/>
              <w:right w:type="dxa" w:w="160"/>
            </w:tcMar>
          </w:tcPr>
          <w:p>
            <w:pPr>
              <w:spacing w:after="80" w:before="0"/>
            </w:pPr>
            <w:r>
              <w:rPr>
                <w:rFonts w:ascii="Georgia" w:cs="Georgia" w:eastAsia="Georgia" w:hAnsi="Georgia"/>
                <w:b/>
                <w:bCs/>
                <w:color w:val="C87A00"/>
                <w:sz w:val="22"/>
                <w:szCs w:val="22"/>
              </w:rPr>
              <w:t xml:space="preserve">Common pitfall — bispecific and CAR-T pre-treatment workup</w:t>
            </w:r>
          </w:p>
          <w:p>
            <w:pPr>
              <w:spacing w:after="0" w:before="0" w:line="280"/>
            </w:pPr>
            <w:r>
              <w:rPr>
                <w:rFonts w:ascii="Georgia" w:cs="Georgia" w:eastAsia="Georgia" w:hAnsi="Georgia"/>
                <w:color w:val="1D1D1D"/>
                <w:sz w:val="22"/>
                <w:szCs w:val="22"/>
              </w:rPr>
              <w:t xml:space="preserve">Cellular and bispecific therapies have specific pre-treatment requirements: baseline immunoglobulins (and IVIg planning), screening for occult infection (HBV, HCV, HIV, HTLV per local protocol), cardiac assessment for cytokine release syndrome tolerance, and an explicit plan for bridging therapy. Referral to an approved centre well before final-line failure is appropriate.</w:t>
            </w:r>
          </w:p>
        </w:tc>
      </w:tr>
    </w:tbl>
    <w:p>
      <w:pPr>
        <w:spacing w:after="80" w:before="180"/>
      </w:pPr>
      <w:r>
        <w:rPr>
          <w:rFonts w:ascii="Georgia" w:cs="Georgia" w:eastAsia="Georgia" w:hAnsi="Georgia"/>
          <w:b/>
          <w:bCs/>
          <w:color w:val="1D1D1D"/>
          <w:sz w:val="24"/>
          <w:szCs w:val="24"/>
        </w:rPr>
        <w:t xml:space="preserve">Response assessment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0"/>
        <w:gridCol w:w="6026"/>
      </w:tblGrid>
      <w:tr>
        <w:trPr>
          <w:tblHeader/>
        </w:trPr>
        <w:tc>
          <w:tcPr>
            <w:tcW w:type="dxa" w:w="3000"/>
            <w:tcBorders>
              <w:top w:val="single" w:color="D8C9CB" w:sz="4"/>
              <w:left w:val="single" w:color="D8C9CB" w:sz="4"/>
              <w:bottom w:val="single" w:color="D8C9CB" w:sz="4"/>
              <w:right w:val="single" w:color="D8C9CB" w:sz="4"/>
            </w:tcBorders>
            <w:shd w:fill="F5E9EB" w:val="clear"/>
            <w:tcMar>
              <w:top w:type="dxa" w:w="80"/>
              <w:left w:type="dxa" w:w="120"/>
              <w:bottom w:type="dxa" w:w="80"/>
              <w:right w:type="dxa" w:w="120"/>
            </w:tcMar>
          </w:tcPr>
          <w:p>
            <w:pPr>
              <w:spacing w:after="0" w:before="0" w:line="260"/>
            </w:pPr>
            <w:r>
              <w:rPr>
                <w:rFonts w:ascii="Georgia" w:cs="Georgia" w:eastAsia="Georgia" w:hAnsi="Georgia"/>
                <w:b/>
                <w:bCs/>
                <w:color w:val="7A1F2B"/>
                <w:sz w:val="20"/>
                <w:szCs w:val="20"/>
              </w:rPr>
              <w:t xml:space="preserve">Response</w:t>
            </w:r>
          </w:p>
        </w:tc>
        <w:tc>
          <w:tcPr>
            <w:tcW w:type="dxa" w:w="6026"/>
            <w:tcBorders>
              <w:top w:val="single" w:color="D8C9CB" w:sz="4"/>
              <w:left w:val="single" w:color="D8C9CB" w:sz="4"/>
              <w:bottom w:val="single" w:color="D8C9CB" w:sz="4"/>
              <w:right w:val="single" w:color="D8C9CB" w:sz="4"/>
            </w:tcBorders>
            <w:shd w:fill="F5E9EB" w:val="clear"/>
            <w:tcMar>
              <w:top w:type="dxa" w:w="80"/>
              <w:left w:type="dxa" w:w="120"/>
              <w:bottom w:type="dxa" w:w="80"/>
              <w:right w:type="dxa" w:w="120"/>
            </w:tcMar>
          </w:tcPr>
          <w:p>
            <w:pPr>
              <w:spacing w:after="0" w:before="0" w:line="260"/>
            </w:pPr>
            <w:r>
              <w:rPr>
                <w:rFonts w:ascii="Georgia" w:cs="Georgia" w:eastAsia="Georgia" w:hAnsi="Georgia"/>
                <w:b/>
                <w:bCs/>
                <w:color w:val="7A1F2B"/>
                <w:sz w:val="20"/>
                <w:szCs w:val="20"/>
              </w:rPr>
              <w:t xml:space="preserve">Definition (IMWG)</w:t>
            </w:r>
          </w:p>
        </w:tc>
      </w:tr>
      <w:tr>
        <w:tc>
          <w:tcPr>
            <w:tcW w:type="dxa" w:w="3000"/>
            <w:tcBorders>
              <w:top w:val="single" w:color="D8C9CB" w:sz="4"/>
              <w:left w:val="single" w:color="D8C9CB" w:sz="4"/>
              <w:bottom w:val="single" w:color="D8C9CB" w:sz="4"/>
              <w:right w:val="single" w:color="D8C9CB" w:sz="4"/>
            </w:tcBorders>
            <w:tcMar>
              <w:top w:type="dxa" w:w="80"/>
              <w:left w:type="dxa" w:w="120"/>
              <w:bottom w:type="dxa" w:w="80"/>
              <w:right w:type="dxa" w:w="120"/>
            </w:tcMar>
          </w:tcPr>
          <w:p>
            <w:pPr>
              <w:spacing w:after="0" w:before="0" w:line="260"/>
            </w:pPr>
            <w:r>
              <w:rPr>
                <w:rFonts w:ascii="Georgia" w:cs="Georgia" w:eastAsia="Georgia" w:hAnsi="Georgia"/>
                <w:b w:val="false"/>
                <w:bCs w:val="false"/>
                <w:color w:val="1D1D1D"/>
                <w:sz w:val="20"/>
                <w:szCs w:val="20"/>
              </w:rPr>
              <w:t xml:space="preserve">Stringent complete response (sCR)</w:t>
            </w:r>
          </w:p>
        </w:tc>
        <w:tc>
          <w:tcPr>
            <w:tcW w:type="dxa" w:w="6026"/>
            <w:tcBorders>
              <w:top w:val="single" w:color="D8C9CB" w:sz="4"/>
              <w:left w:val="single" w:color="D8C9CB" w:sz="4"/>
              <w:bottom w:val="single" w:color="D8C9CB" w:sz="4"/>
              <w:right w:val="single" w:color="D8C9CB" w:sz="4"/>
            </w:tcBorders>
            <w:tcMar>
              <w:top w:type="dxa" w:w="80"/>
              <w:left w:type="dxa" w:w="120"/>
              <w:bottom w:type="dxa" w:w="80"/>
              <w:right w:type="dxa" w:w="120"/>
            </w:tcMar>
          </w:tcPr>
          <w:p>
            <w:pPr>
              <w:spacing w:after="0" w:before="0" w:line="260"/>
            </w:pPr>
            <w:r>
              <w:rPr>
                <w:rFonts w:ascii="Georgia" w:cs="Georgia" w:eastAsia="Georgia" w:hAnsi="Georgia"/>
                <w:b w:val="false"/>
                <w:bCs w:val="false"/>
                <w:color w:val="1D1D1D"/>
                <w:sz w:val="20"/>
                <w:szCs w:val="20"/>
              </w:rPr>
              <w:t xml:space="preserve">CR plus normal SFLC ratio and absence of clonal cells in bone marrow by IHC</w:t>
            </w:r>
          </w:p>
        </w:tc>
      </w:tr>
      <w:tr>
        <w:tc>
          <w:tcPr>
            <w:tcW w:type="dxa" w:w="3000"/>
            <w:tcBorders>
              <w:top w:val="single" w:color="D8C9CB" w:sz="4"/>
              <w:left w:val="single" w:color="D8C9CB" w:sz="4"/>
              <w:bottom w:val="single" w:color="D8C9CB" w:sz="4"/>
              <w:right w:val="single" w:color="D8C9CB" w:sz="4"/>
            </w:tcBorders>
            <w:tcMar>
              <w:top w:type="dxa" w:w="80"/>
              <w:left w:type="dxa" w:w="120"/>
              <w:bottom w:type="dxa" w:w="80"/>
              <w:right w:type="dxa" w:w="120"/>
            </w:tcMar>
          </w:tcPr>
          <w:p>
            <w:pPr>
              <w:spacing w:after="0" w:before="0" w:line="260"/>
            </w:pPr>
            <w:r>
              <w:rPr>
                <w:rFonts w:ascii="Georgia" w:cs="Georgia" w:eastAsia="Georgia" w:hAnsi="Georgia"/>
                <w:b w:val="false"/>
                <w:bCs w:val="false"/>
                <w:color w:val="1D1D1D"/>
                <w:sz w:val="20"/>
                <w:szCs w:val="20"/>
              </w:rPr>
              <w:t xml:space="preserve">Complete response (CR)</w:t>
            </w:r>
          </w:p>
        </w:tc>
        <w:tc>
          <w:tcPr>
            <w:tcW w:type="dxa" w:w="6026"/>
            <w:tcBorders>
              <w:top w:val="single" w:color="D8C9CB" w:sz="4"/>
              <w:left w:val="single" w:color="D8C9CB" w:sz="4"/>
              <w:bottom w:val="single" w:color="D8C9CB" w:sz="4"/>
              <w:right w:val="single" w:color="D8C9CB" w:sz="4"/>
            </w:tcBorders>
            <w:tcMar>
              <w:top w:type="dxa" w:w="80"/>
              <w:left w:type="dxa" w:w="120"/>
              <w:bottom w:type="dxa" w:w="80"/>
              <w:right w:type="dxa" w:w="120"/>
            </w:tcMar>
          </w:tcPr>
          <w:p>
            <w:pPr>
              <w:spacing w:after="0" w:before="0" w:line="260"/>
            </w:pPr>
            <w:r>
              <w:rPr>
                <w:rFonts w:ascii="Georgia" w:cs="Georgia" w:eastAsia="Georgia" w:hAnsi="Georgia"/>
                <w:b w:val="false"/>
                <w:bCs w:val="false"/>
                <w:color w:val="1D1D1D"/>
                <w:sz w:val="20"/>
                <w:szCs w:val="20"/>
              </w:rPr>
              <w:t xml:space="preserve">Negative immunofixation in serum and urine; disappearance of soft-tissue plasmacytomas; BMPC below 5%</w:t>
            </w:r>
          </w:p>
        </w:tc>
      </w:tr>
      <w:tr>
        <w:tc>
          <w:tcPr>
            <w:tcW w:type="dxa" w:w="3000"/>
            <w:tcBorders>
              <w:top w:val="single" w:color="D8C9CB" w:sz="4"/>
              <w:left w:val="single" w:color="D8C9CB" w:sz="4"/>
              <w:bottom w:val="single" w:color="D8C9CB" w:sz="4"/>
              <w:right w:val="single" w:color="D8C9CB" w:sz="4"/>
            </w:tcBorders>
            <w:tcMar>
              <w:top w:type="dxa" w:w="80"/>
              <w:left w:type="dxa" w:w="120"/>
              <w:bottom w:type="dxa" w:w="80"/>
              <w:right w:type="dxa" w:w="120"/>
            </w:tcMar>
          </w:tcPr>
          <w:p>
            <w:pPr>
              <w:spacing w:after="0" w:before="0" w:line="260"/>
            </w:pPr>
            <w:r>
              <w:rPr>
                <w:rFonts w:ascii="Georgia" w:cs="Georgia" w:eastAsia="Georgia" w:hAnsi="Georgia"/>
                <w:b w:val="false"/>
                <w:bCs w:val="false"/>
                <w:color w:val="1D1D1D"/>
                <w:sz w:val="20"/>
                <w:szCs w:val="20"/>
              </w:rPr>
              <w:t xml:space="preserve">Very good partial response (VGPR)</w:t>
            </w:r>
          </w:p>
        </w:tc>
        <w:tc>
          <w:tcPr>
            <w:tcW w:type="dxa" w:w="6026"/>
            <w:tcBorders>
              <w:top w:val="single" w:color="D8C9CB" w:sz="4"/>
              <w:left w:val="single" w:color="D8C9CB" w:sz="4"/>
              <w:bottom w:val="single" w:color="D8C9CB" w:sz="4"/>
              <w:right w:val="single" w:color="D8C9CB" w:sz="4"/>
            </w:tcBorders>
            <w:tcMar>
              <w:top w:type="dxa" w:w="80"/>
              <w:left w:type="dxa" w:w="120"/>
              <w:bottom w:type="dxa" w:w="80"/>
              <w:right w:type="dxa" w:w="120"/>
            </w:tcMar>
          </w:tcPr>
          <w:p>
            <w:pPr>
              <w:spacing w:after="0" w:before="0" w:line="260"/>
            </w:pPr>
            <w:r>
              <w:rPr>
                <w:rFonts w:ascii="Georgia" w:cs="Georgia" w:eastAsia="Georgia" w:hAnsi="Georgia"/>
                <w:b w:val="false"/>
                <w:bCs w:val="false"/>
                <w:color w:val="1D1D1D"/>
                <w:sz w:val="20"/>
                <w:szCs w:val="20"/>
              </w:rPr>
              <w:t xml:space="preserve">SPE or immunofixation negative but bone marrow positive; or 90% or above reduction in serum M-protein and urine M-protein below 100 mg/24h</w:t>
            </w:r>
          </w:p>
        </w:tc>
      </w:tr>
      <w:tr>
        <w:tc>
          <w:tcPr>
            <w:tcW w:type="dxa" w:w="3000"/>
            <w:tcBorders>
              <w:top w:val="single" w:color="D8C9CB" w:sz="4"/>
              <w:left w:val="single" w:color="D8C9CB" w:sz="4"/>
              <w:bottom w:val="single" w:color="D8C9CB" w:sz="4"/>
              <w:right w:val="single" w:color="D8C9CB" w:sz="4"/>
            </w:tcBorders>
            <w:tcMar>
              <w:top w:type="dxa" w:w="80"/>
              <w:left w:type="dxa" w:w="120"/>
              <w:bottom w:type="dxa" w:w="80"/>
              <w:right w:type="dxa" w:w="120"/>
            </w:tcMar>
          </w:tcPr>
          <w:p>
            <w:pPr>
              <w:spacing w:after="0" w:before="0" w:line="260"/>
            </w:pPr>
            <w:r>
              <w:rPr>
                <w:rFonts w:ascii="Georgia" w:cs="Georgia" w:eastAsia="Georgia" w:hAnsi="Georgia"/>
                <w:b w:val="false"/>
                <w:bCs w:val="false"/>
                <w:color w:val="1D1D1D"/>
                <w:sz w:val="20"/>
                <w:szCs w:val="20"/>
              </w:rPr>
              <w:t xml:space="preserve">Partial response (PR)</w:t>
            </w:r>
          </w:p>
        </w:tc>
        <w:tc>
          <w:tcPr>
            <w:tcW w:type="dxa" w:w="6026"/>
            <w:tcBorders>
              <w:top w:val="single" w:color="D8C9CB" w:sz="4"/>
              <w:left w:val="single" w:color="D8C9CB" w:sz="4"/>
              <w:bottom w:val="single" w:color="D8C9CB" w:sz="4"/>
              <w:right w:val="single" w:color="D8C9CB" w:sz="4"/>
            </w:tcBorders>
            <w:tcMar>
              <w:top w:type="dxa" w:w="80"/>
              <w:left w:type="dxa" w:w="120"/>
              <w:bottom w:type="dxa" w:w="80"/>
              <w:right w:type="dxa" w:w="120"/>
            </w:tcMar>
          </w:tcPr>
          <w:p>
            <w:pPr>
              <w:spacing w:after="0" w:before="0" w:line="260"/>
            </w:pPr>
            <w:r>
              <w:rPr>
                <w:rFonts w:ascii="Georgia" w:cs="Georgia" w:eastAsia="Georgia" w:hAnsi="Georgia"/>
                <w:b w:val="false"/>
                <w:bCs w:val="false"/>
                <w:color w:val="1D1D1D"/>
                <w:sz w:val="20"/>
                <w:szCs w:val="20"/>
              </w:rPr>
              <w:t xml:space="preserve">50% or above reduction in serum M-protein and 90% or above reduction in urine M-protein (or to below 200 mg/24h)</w:t>
            </w:r>
          </w:p>
        </w:tc>
      </w:tr>
      <w:tr>
        <w:tc>
          <w:tcPr>
            <w:tcW w:type="dxa" w:w="3000"/>
            <w:tcBorders>
              <w:top w:val="single" w:color="D8C9CB" w:sz="4"/>
              <w:left w:val="single" w:color="D8C9CB" w:sz="4"/>
              <w:bottom w:val="single" w:color="D8C9CB" w:sz="4"/>
              <w:right w:val="single" w:color="D8C9CB" w:sz="4"/>
            </w:tcBorders>
            <w:tcMar>
              <w:top w:type="dxa" w:w="80"/>
              <w:left w:type="dxa" w:w="120"/>
              <w:bottom w:type="dxa" w:w="80"/>
              <w:right w:type="dxa" w:w="120"/>
            </w:tcMar>
          </w:tcPr>
          <w:p>
            <w:pPr>
              <w:spacing w:after="0" w:before="0" w:line="260"/>
            </w:pPr>
            <w:r>
              <w:rPr>
                <w:rFonts w:ascii="Georgia" w:cs="Georgia" w:eastAsia="Georgia" w:hAnsi="Georgia"/>
                <w:b w:val="false"/>
                <w:bCs w:val="false"/>
                <w:color w:val="1D1D1D"/>
                <w:sz w:val="20"/>
                <w:szCs w:val="20"/>
              </w:rPr>
              <w:t xml:space="preserve">Stable disease (SD)</w:t>
            </w:r>
          </w:p>
        </w:tc>
        <w:tc>
          <w:tcPr>
            <w:tcW w:type="dxa" w:w="6026"/>
            <w:tcBorders>
              <w:top w:val="single" w:color="D8C9CB" w:sz="4"/>
              <w:left w:val="single" w:color="D8C9CB" w:sz="4"/>
              <w:bottom w:val="single" w:color="D8C9CB" w:sz="4"/>
              <w:right w:val="single" w:color="D8C9CB" w:sz="4"/>
            </w:tcBorders>
            <w:tcMar>
              <w:top w:type="dxa" w:w="80"/>
              <w:left w:type="dxa" w:w="120"/>
              <w:bottom w:type="dxa" w:w="80"/>
              <w:right w:type="dxa" w:w="120"/>
            </w:tcMar>
          </w:tcPr>
          <w:p>
            <w:pPr>
              <w:spacing w:after="0" w:before="0" w:line="260"/>
            </w:pPr>
            <w:r>
              <w:rPr>
                <w:rFonts w:ascii="Georgia" w:cs="Georgia" w:eastAsia="Georgia" w:hAnsi="Georgia"/>
                <w:b w:val="false"/>
                <w:bCs w:val="false"/>
                <w:color w:val="1D1D1D"/>
                <w:sz w:val="20"/>
                <w:szCs w:val="20"/>
              </w:rPr>
              <w:t xml:space="preserve">Not meeting any other category</w:t>
            </w:r>
          </w:p>
        </w:tc>
      </w:tr>
      <w:tr>
        <w:tc>
          <w:tcPr>
            <w:tcW w:type="dxa" w:w="3000"/>
            <w:tcBorders>
              <w:top w:val="single" w:color="D8C9CB" w:sz="4"/>
              <w:left w:val="single" w:color="D8C9CB" w:sz="4"/>
              <w:bottom w:val="single" w:color="D8C9CB" w:sz="4"/>
              <w:right w:val="single" w:color="D8C9CB" w:sz="4"/>
            </w:tcBorders>
            <w:tcMar>
              <w:top w:type="dxa" w:w="80"/>
              <w:left w:type="dxa" w:w="120"/>
              <w:bottom w:type="dxa" w:w="80"/>
              <w:right w:type="dxa" w:w="120"/>
            </w:tcMar>
          </w:tcPr>
          <w:p>
            <w:pPr>
              <w:spacing w:after="0" w:before="0" w:line="260"/>
            </w:pPr>
            <w:r>
              <w:rPr>
                <w:rFonts w:ascii="Georgia" w:cs="Georgia" w:eastAsia="Georgia" w:hAnsi="Georgia"/>
                <w:b w:val="false"/>
                <w:bCs w:val="false"/>
                <w:color w:val="1D1D1D"/>
                <w:sz w:val="20"/>
                <w:szCs w:val="20"/>
              </w:rPr>
              <w:t xml:space="preserve">Progressive disease (PD)</w:t>
            </w:r>
          </w:p>
        </w:tc>
        <w:tc>
          <w:tcPr>
            <w:tcW w:type="dxa" w:w="6026"/>
            <w:tcBorders>
              <w:top w:val="single" w:color="D8C9CB" w:sz="4"/>
              <w:left w:val="single" w:color="D8C9CB" w:sz="4"/>
              <w:bottom w:val="single" w:color="D8C9CB" w:sz="4"/>
              <w:right w:val="single" w:color="D8C9CB" w:sz="4"/>
            </w:tcBorders>
            <w:tcMar>
              <w:top w:type="dxa" w:w="80"/>
              <w:left w:type="dxa" w:w="120"/>
              <w:bottom w:type="dxa" w:w="80"/>
              <w:right w:type="dxa" w:w="120"/>
            </w:tcMar>
          </w:tcPr>
          <w:p>
            <w:pPr>
              <w:spacing w:after="0" w:before="0" w:line="260"/>
            </w:pPr>
            <w:r>
              <w:rPr>
                <w:rFonts w:ascii="Georgia" w:cs="Georgia" w:eastAsia="Georgia" w:hAnsi="Georgia"/>
                <w:b w:val="false"/>
                <w:bCs w:val="false"/>
                <w:color w:val="1D1D1D"/>
                <w:sz w:val="20"/>
                <w:szCs w:val="20"/>
              </w:rPr>
              <w:t xml:space="preserve">25% or above increase from nadir in M-protein (absolute increase 5 g/L or above) or other defined criteria</w:t>
            </w:r>
          </w:p>
        </w:tc>
      </w:tr>
      <w:tr>
        <w:tc>
          <w:tcPr>
            <w:tcW w:type="dxa" w:w="3000"/>
            <w:tcBorders>
              <w:top w:val="single" w:color="D8C9CB" w:sz="4"/>
              <w:left w:val="single" w:color="D8C9CB" w:sz="4"/>
              <w:bottom w:val="single" w:color="D8C9CB" w:sz="4"/>
              <w:right w:val="single" w:color="D8C9CB" w:sz="4"/>
            </w:tcBorders>
            <w:tcMar>
              <w:top w:type="dxa" w:w="80"/>
              <w:left w:type="dxa" w:w="120"/>
              <w:bottom w:type="dxa" w:w="80"/>
              <w:right w:type="dxa" w:w="120"/>
            </w:tcMar>
          </w:tcPr>
          <w:p>
            <w:pPr>
              <w:spacing w:after="0" w:before="0" w:line="260"/>
            </w:pPr>
            <w:r>
              <w:rPr>
                <w:rFonts w:ascii="Georgia" w:cs="Georgia" w:eastAsia="Georgia" w:hAnsi="Georgia"/>
                <w:b w:val="false"/>
                <w:bCs w:val="false"/>
                <w:color w:val="1D1D1D"/>
                <w:sz w:val="20"/>
                <w:szCs w:val="20"/>
              </w:rPr>
              <w:t xml:space="preserve">MRD-negative (10⁻⁵ or 10⁻⁶)</w:t>
            </w:r>
          </w:p>
        </w:tc>
        <w:tc>
          <w:tcPr>
            <w:tcW w:type="dxa" w:w="6026"/>
            <w:tcBorders>
              <w:top w:val="single" w:color="D8C9CB" w:sz="4"/>
              <w:left w:val="single" w:color="D8C9CB" w:sz="4"/>
              <w:bottom w:val="single" w:color="D8C9CB" w:sz="4"/>
              <w:right w:val="single" w:color="D8C9CB" w:sz="4"/>
            </w:tcBorders>
            <w:tcMar>
              <w:top w:type="dxa" w:w="80"/>
              <w:left w:type="dxa" w:w="120"/>
              <w:bottom w:type="dxa" w:w="80"/>
              <w:right w:type="dxa" w:w="120"/>
            </w:tcMar>
          </w:tcPr>
          <w:p>
            <w:pPr>
              <w:spacing w:after="0" w:before="0" w:line="260"/>
            </w:pPr>
            <w:r>
              <w:rPr>
                <w:rFonts w:ascii="Georgia" w:cs="Georgia" w:eastAsia="Georgia" w:hAnsi="Georgia"/>
                <w:b w:val="false"/>
                <w:bCs w:val="false"/>
                <w:color w:val="1D1D1D"/>
                <w:sz w:val="20"/>
                <w:szCs w:val="20"/>
              </w:rPr>
              <w:t xml:space="preserve">Absence of clonal plasma cells by validated NGS or NGF; used in trial settings and to guide stopping rules in selected fixed-duration protocols</w:t>
            </w:r>
          </w:p>
        </w:tc>
      </w:tr>
    </w:tbl>
    <w:p>
      <w:pPr>
        <w:spacing w:after="80" w:before="80" w:line="300"/>
        <w:jc w:val="left"/>
      </w:pPr>
      <w:r>
        <w:rPr>
          <w:rFonts w:ascii="Georgia" w:cs="Georgia" w:eastAsia="Georgia" w:hAnsi="Georgia"/>
          <w:b w:val="false"/>
          <w:bCs w:val="false"/>
          <w:i/>
          <w:iCs/>
          <w:color w:val="4A4A4A"/>
          <w:sz w:val="18"/>
          <w:szCs w:val="18"/>
        </w:rPr>
        <w:t xml:space="preserve">Source: IMWG response criteria, Kumar 2016 (Lancet Oncol); EHA-EMN 2025.</w:t>
      </w:r>
    </w:p>
    <w:p>
      <w:pPr>
        <w:pStyle w:val="Heading1"/>
        <w:spacing w:after="160" w:before="360"/>
      </w:pPr>
      <w:r>
        <w:rPr>
          <w:rFonts w:ascii="Georgia" w:cs="Georgia" w:eastAsia="Georgia" w:hAnsi="Georgia"/>
          <w:b/>
          <w:bCs/>
          <w:color w:val="7A1F2B"/>
          <w:sz w:val="30"/>
          <w:szCs w:val="30"/>
        </w:rPr>
        <w:t xml:space="preserve">12. </w:t>
      </w:r>
      <w:r>
        <w:rPr>
          <w:rFonts w:ascii="Georgia" w:cs="Georgia" w:eastAsia="Georgia" w:hAnsi="Georgia"/>
          <w:b/>
          <w:bCs/>
          <w:color w:val="7A1F2B"/>
          <w:sz w:val="30"/>
          <w:szCs w:val="30"/>
        </w:rPr>
        <w:t xml:space="preserve">Supportive Care and Survivorship</w:t>
      </w:r>
    </w:p>
    <w:p>
      <w:pPr>
        <w:spacing w:after="80" w:before="80" w:line="300"/>
        <w:jc w:val="left"/>
      </w:pPr>
      <w:r>
        <w:rPr>
          <w:rFonts w:ascii="Georgia" w:cs="Georgia" w:eastAsia="Georgia" w:hAnsi="Georgia"/>
          <w:b w:val="false"/>
          <w:bCs w:val="false"/>
          <w:i w:val="false"/>
          <w:iCs w:val="false"/>
          <w:color w:val="1D1D1D"/>
          <w:sz w:val="22"/>
          <w:szCs w:val="22"/>
        </w:rPr>
        <w:t xml:space="preserve">Survival in myeloma has improved substantially over the past two decades. Cumulative burden of disease and treatment now drives a survivorship agenda alongside relapse management. The BSH 2017 guideline on late and long-term consequences (Snowden 2017) remains the UK reference and should be read alongside NICE NG35 and the BSH supportive care framework.</w:t>
      </w:r>
    </w:p>
    <w:p>
      <w:pPr>
        <w:spacing w:after="80" w:before="180"/>
      </w:pPr>
      <w:r>
        <w:rPr>
          <w:rFonts w:ascii="Georgia" w:cs="Georgia" w:eastAsia="Georgia" w:hAnsi="Georgia"/>
          <w:b/>
          <w:bCs/>
          <w:color w:val="1D1D1D"/>
          <w:sz w:val="24"/>
          <w:szCs w:val="24"/>
        </w:rPr>
        <w:t xml:space="preserve">Infection and immunity</w:t>
      </w:r>
    </w:p>
    <w:p>
      <w:pPr>
        <w:pStyle w:val="ListParagraph"/>
        <w:numPr>
          <w:ilvl w:val="0"/>
          <w:numId w:val="2"/>
        </w:numPr>
        <w:spacing w:after="40" w:before="40" w:line="280"/>
      </w:pPr>
      <w:r>
        <w:rPr>
          <w:rFonts w:ascii="Georgia" w:cs="Georgia" w:eastAsia="Georgia" w:hAnsi="Georgia"/>
          <w:b w:val="false"/>
          <w:bCs w:val="false"/>
          <w:i w:val="false"/>
          <w:iCs w:val="false"/>
          <w:color w:val="1D1D1D"/>
          <w:sz w:val="22"/>
          <w:szCs w:val="22"/>
        </w:rPr>
        <w:t xml:space="preserve">Infection is a major cause of morbidity and mortality in myeloma. Immunosuppression is greatest at diagnosis, during aggressive relapse and in heavily pre-treated disease.</w:t>
      </w:r>
    </w:p>
    <w:p>
      <w:pPr>
        <w:pStyle w:val="ListParagraph"/>
        <w:numPr>
          <w:ilvl w:val="0"/>
          <w:numId w:val="2"/>
        </w:numPr>
        <w:spacing w:after="40" w:before="40" w:line="280"/>
      </w:pPr>
      <w:r>
        <w:rPr>
          <w:rFonts w:ascii="Georgia" w:cs="Georgia" w:eastAsia="Georgia" w:hAnsi="Georgia"/>
          <w:b w:val="false"/>
          <w:bCs w:val="false"/>
          <w:i w:val="false"/>
          <w:iCs w:val="false"/>
          <w:color w:val="1D1D1D"/>
          <w:sz w:val="22"/>
          <w:szCs w:val="22"/>
        </w:rPr>
        <w:t xml:space="preserve">Routine antibacterial prophylaxis is not recommended at every stage; consider prophylactic antibiotics in selected high-risk windows.</w:t>
      </w:r>
    </w:p>
    <w:p>
      <w:pPr>
        <w:pStyle w:val="ListParagraph"/>
        <w:numPr>
          <w:ilvl w:val="0"/>
          <w:numId w:val="2"/>
        </w:numPr>
        <w:spacing w:after="40" w:before="40" w:line="280"/>
      </w:pPr>
      <w:r>
        <w:rPr>
          <w:rFonts w:ascii="Georgia" w:cs="Georgia" w:eastAsia="Georgia" w:hAnsi="Georgia"/>
          <w:b w:val="false"/>
          <w:bCs w:val="false"/>
          <w:i w:val="false"/>
          <w:iCs w:val="false"/>
          <w:color w:val="1D1D1D"/>
          <w:sz w:val="22"/>
          <w:szCs w:val="22"/>
        </w:rPr>
        <w:t xml:space="preserve">Offer antiviral prophylaxis (aciclovir or valaciclovir) with proteasome inhibitor-based treatment until at least six weeks after stopping. Consider lifelong prophylaxis in patients with previous shingles.</w:t>
      </w:r>
    </w:p>
    <w:p>
      <w:pPr>
        <w:pStyle w:val="ListParagraph"/>
        <w:numPr>
          <w:ilvl w:val="0"/>
          <w:numId w:val="2"/>
        </w:numPr>
        <w:spacing w:after="40" w:before="40" w:line="280"/>
      </w:pPr>
      <w:r>
        <w:rPr>
          <w:rFonts w:ascii="Georgia" w:cs="Georgia" w:eastAsia="Georgia" w:hAnsi="Georgia"/>
          <w:b w:val="false"/>
          <w:bCs w:val="false"/>
          <w:i w:val="false"/>
          <w:iCs w:val="false"/>
          <w:color w:val="1D1D1D"/>
          <w:sz w:val="22"/>
          <w:szCs w:val="22"/>
        </w:rPr>
        <w:t xml:space="preserve">Consider IVIg replacement based on infection history, hypogammaglobulinaemia, comorbidities and vaccine response, in line with NHS England immunoglobulin guidance.</w:t>
      </w:r>
    </w:p>
    <w:p>
      <w:pPr>
        <w:pStyle w:val="ListParagraph"/>
        <w:numPr>
          <w:ilvl w:val="0"/>
          <w:numId w:val="2"/>
        </w:numPr>
        <w:spacing w:after="40" w:before="40" w:line="280"/>
      </w:pPr>
      <w:r>
        <w:rPr>
          <w:rFonts w:ascii="Georgia" w:cs="Georgia" w:eastAsia="Georgia" w:hAnsi="Georgia"/>
          <w:b w:val="false"/>
          <w:bCs w:val="false"/>
          <w:i w:val="false"/>
          <w:iCs w:val="false"/>
          <w:color w:val="1D1D1D"/>
          <w:sz w:val="22"/>
          <w:szCs w:val="22"/>
        </w:rPr>
        <w:t xml:space="preserve">Avoid live attenuated vaccines (BCG, MMR, oral typhoid, yellow fever, varicella zoster live vaccine). Use Shingrix (recombinant zoster vaccine) for shingles protection.</w:t>
      </w:r>
    </w:p>
    <w:p>
      <w:pPr>
        <w:pStyle w:val="ListParagraph"/>
        <w:numPr>
          <w:ilvl w:val="0"/>
          <w:numId w:val="2"/>
        </w:numPr>
        <w:spacing w:after="40" w:before="40" w:line="280"/>
      </w:pPr>
      <w:r>
        <w:rPr>
          <w:rFonts w:ascii="Georgia" w:cs="Georgia" w:eastAsia="Georgia" w:hAnsi="Georgia"/>
          <w:b w:val="false"/>
          <w:bCs w:val="false"/>
          <w:i w:val="false"/>
          <w:iCs w:val="false"/>
          <w:color w:val="1D1D1D"/>
          <w:sz w:val="22"/>
          <w:szCs w:val="22"/>
        </w:rPr>
        <w:t xml:space="preserve">Annual influenza and full COVID-19 vaccination schedules for patients and household contacts.</w:t>
      </w:r>
    </w:p>
    <w:p>
      <w:pPr>
        <w:pStyle w:val="ListParagraph"/>
        <w:numPr>
          <w:ilvl w:val="0"/>
          <w:numId w:val="2"/>
        </w:numPr>
        <w:spacing w:after="40" w:before="40" w:line="280"/>
      </w:pPr>
      <w:r>
        <w:rPr>
          <w:rFonts w:ascii="Georgia" w:cs="Georgia" w:eastAsia="Georgia" w:hAnsi="Georgia"/>
          <w:b w:val="false"/>
          <w:bCs w:val="false"/>
          <w:i w:val="false"/>
          <w:iCs w:val="false"/>
          <w:color w:val="1D1D1D"/>
          <w:sz w:val="22"/>
          <w:szCs w:val="22"/>
        </w:rPr>
        <w:t xml:space="preserve">PCV13 followed by PPV23 at 2 months, repeated 5-yearly; Hib vaccination should also be considered.</w:t>
      </w:r>
    </w:p>
    <w:p>
      <w:pPr>
        <w:spacing w:after="80" w:before="180"/>
      </w:pPr>
      <w:r>
        <w:rPr>
          <w:rFonts w:ascii="Georgia" w:cs="Georgia" w:eastAsia="Georgia" w:hAnsi="Georgia"/>
          <w:b/>
          <w:bCs/>
          <w:color w:val="1D1D1D"/>
          <w:sz w:val="24"/>
          <w:szCs w:val="24"/>
        </w:rPr>
        <w:t xml:space="preserve">Bone health and pain</w:t>
      </w:r>
    </w:p>
    <w:p>
      <w:pPr>
        <w:pStyle w:val="ListParagraph"/>
        <w:numPr>
          <w:ilvl w:val="0"/>
          <w:numId w:val="2"/>
        </w:numPr>
        <w:spacing w:after="40" w:before="40" w:line="280"/>
      </w:pPr>
      <w:r>
        <w:rPr>
          <w:rFonts w:ascii="Georgia" w:cs="Georgia" w:eastAsia="Georgia" w:hAnsi="Georgia"/>
          <w:b w:val="false"/>
          <w:bCs w:val="false"/>
          <w:i w:val="false"/>
          <w:iCs w:val="false"/>
          <w:color w:val="1D1D1D"/>
          <w:sz w:val="22"/>
          <w:szCs w:val="22"/>
        </w:rPr>
        <w:t xml:space="preserve">Bisphosphonates (zoledronic acid or pamidronate) for all newly diagnosed patients requiring treatment, regardless of demonstrable bone lesions.</w:t>
      </w:r>
    </w:p>
    <w:p>
      <w:pPr>
        <w:pStyle w:val="ListParagraph"/>
        <w:numPr>
          <w:ilvl w:val="0"/>
          <w:numId w:val="2"/>
        </w:numPr>
        <w:spacing w:after="40" w:before="40" w:line="280"/>
      </w:pPr>
      <w:r>
        <w:rPr>
          <w:rFonts w:ascii="Georgia" w:cs="Georgia" w:eastAsia="Georgia" w:hAnsi="Georgia"/>
          <w:b w:val="false"/>
          <w:bCs w:val="false"/>
          <w:i w:val="false"/>
          <w:iCs w:val="false"/>
          <w:color w:val="1D1D1D"/>
          <w:sz w:val="22"/>
          <w:szCs w:val="22"/>
        </w:rPr>
        <w:t xml:space="preserve">Restart bisphosphonates at frank relapse if previously stopped.</w:t>
      </w:r>
    </w:p>
    <w:p>
      <w:pPr>
        <w:pStyle w:val="ListParagraph"/>
        <w:numPr>
          <w:ilvl w:val="0"/>
          <w:numId w:val="2"/>
        </w:numPr>
        <w:spacing w:after="40" w:before="40" w:line="280"/>
      </w:pPr>
      <w:r>
        <w:rPr>
          <w:rFonts w:ascii="Georgia" w:cs="Georgia" w:eastAsia="Georgia" w:hAnsi="Georgia"/>
          <w:b w:val="false"/>
          <w:bCs w:val="false"/>
          <w:i w:val="false"/>
          <w:iCs w:val="false"/>
          <w:color w:val="1D1D1D"/>
          <w:sz w:val="22"/>
          <w:szCs w:val="22"/>
        </w:rPr>
        <w:t xml:space="preserve">Optimise calcium and vitamin D; consider DEXA in patients with additional osteoporosis risk factors.</w:t>
      </w:r>
    </w:p>
    <w:p>
      <w:pPr>
        <w:pStyle w:val="ListParagraph"/>
        <w:numPr>
          <w:ilvl w:val="0"/>
          <w:numId w:val="2"/>
        </w:numPr>
        <w:spacing w:after="40" w:before="40" w:line="280"/>
      </w:pPr>
      <w:r>
        <w:rPr>
          <w:rFonts w:ascii="Georgia" w:cs="Georgia" w:eastAsia="Georgia" w:hAnsi="Georgia"/>
          <w:b w:val="false"/>
          <w:bCs w:val="false"/>
          <w:i w:val="false"/>
          <w:iCs w:val="false"/>
          <w:color w:val="1D1D1D"/>
          <w:sz w:val="22"/>
          <w:szCs w:val="22"/>
        </w:rPr>
        <w:t xml:space="preserve">Maintain dental review and consider osteonecrosis of the jaw risk; assess before initiating bisphosphonates.</w:t>
      </w:r>
    </w:p>
    <w:p>
      <w:pPr>
        <w:pStyle w:val="ListParagraph"/>
        <w:numPr>
          <w:ilvl w:val="0"/>
          <w:numId w:val="2"/>
        </w:numPr>
        <w:spacing w:after="40" w:before="40" w:line="280"/>
      </w:pPr>
      <w:r>
        <w:rPr>
          <w:rFonts w:ascii="Georgia" w:cs="Georgia" w:eastAsia="Georgia" w:hAnsi="Georgia"/>
          <w:b w:val="false"/>
          <w:bCs w:val="false"/>
          <w:i w:val="false"/>
          <w:iCs w:val="false"/>
          <w:color w:val="1D1D1D"/>
          <w:sz w:val="22"/>
          <w:szCs w:val="22"/>
        </w:rPr>
        <w:t xml:space="preserve">Active pain management including neuropathic pain control with gabapentin or pregabalin; refer to pain specialist where indicated.</w:t>
      </w:r>
    </w:p>
    <w:p>
      <w:pPr>
        <w:spacing w:after="80" w:before="180"/>
      </w:pPr>
      <w:r>
        <w:rPr>
          <w:rFonts w:ascii="Georgia" w:cs="Georgia" w:eastAsia="Georgia" w:hAnsi="Georgia"/>
          <w:b/>
          <w:bCs/>
          <w:color w:val="1D1D1D"/>
          <w:sz w:val="24"/>
          <w:szCs w:val="24"/>
        </w:rPr>
        <w:t xml:space="preserve">Renal, cardiovascular and metabolic</w:t>
      </w:r>
    </w:p>
    <w:p>
      <w:pPr>
        <w:pStyle w:val="ListParagraph"/>
        <w:numPr>
          <w:ilvl w:val="0"/>
          <w:numId w:val="2"/>
        </w:numPr>
        <w:spacing w:after="40" w:before="40" w:line="280"/>
      </w:pPr>
      <w:r>
        <w:rPr>
          <w:rFonts w:ascii="Georgia" w:cs="Georgia" w:eastAsia="Georgia" w:hAnsi="Georgia"/>
          <w:b w:val="false"/>
          <w:bCs w:val="false"/>
          <w:i w:val="false"/>
          <w:iCs w:val="false"/>
          <w:color w:val="1D1D1D"/>
          <w:sz w:val="22"/>
          <w:szCs w:val="22"/>
        </w:rPr>
        <w:t xml:space="preserve">Routine monitoring of eGFR and urine ACR; protect renal function.</w:t>
      </w:r>
    </w:p>
    <w:p>
      <w:pPr>
        <w:pStyle w:val="ListParagraph"/>
        <w:numPr>
          <w:ilvl w:val="0"/>
          <w:numId w:val="2"/>
        </w:numPr>
        <w:spacing w:after="40" w:before="40" w:line="280"/>
      </w:pPr>
      <w:r>
        <w:rPr>
          <w:rFonts w:ascii="Georgia" w:cs="Georgia" w:eastAsia="Georgia" w:hAnsi="Georgia"/>
          <w:b w:val="false"/>
          <w:bCs w:val="false"/>
          <w:i w:val="false"/>
          <w:iCs w:val="false"/>
          <w:color w:val="1D1D1D"/>
          <w:sz w:val="22"/>
          <w:szCs w:val="22"/>
        </w:rPr>
        <w:t xml:space="preserve">Annual cardiovascular risk assessment including blood pressure, HbA1c and lipid profile.</w:t>
      </w:r>
    </w:p>
    <w:p>
      <w:pPr>
        <w:pStyle w:val="ListParagraph"/>
        <w:numPr>
          <w:ilvl w:val="0"/>
          <w:numId w:val="2"/>
        </w:numPr>
        <w:spacing w:after="40" w:before="40" w:line="280"/>
      </w:pPr>
      <w:r>
        <w:rPr>
          <w:rFonts w:ascii="Georgia" w:cs="Georgia" w:eastAsia="Georgia" w:hAnsi="Georgia"/>
          <w:b w:val="false"/>
          <w:bCs w:val="false"/>
          <w:i w:val="false"/>
          <w:iCs w:val="false"/>
          <w:color w:val="1D1D1D"/>
          <w:sz w:val="22"/>
          <w:szCs w:val="22"/>
        </w:rPr>
        <w:t xml:space="preserve">NT-proBNP or BNP as a screening tool for cardiac amyloidosis or other cardiac dysfunction; echocardiography and specialist referral if elevated.</w:t>
      </w:r>
    </w:p>
    <w:p>
      <w:pPr>
        <w:pStyle w:val="ListParagraph"/>
        <w:numPr>
          <w:ilvl w:val="0"/>
          <w:numId w:val="2"/>
        </w:numPr>
        <w:spacing w:after="40" w:before="40" w:line="280"/>
      </w:pPr>
      <w:r>
        <w:rPr>
          <w:rFonts w:ascii="Georgia" w:cs="Georgia" w:eastAsia="Georgia" w:hAnsi="Georgia"/>
          <w:b w:val="false"/>
          <w:bCs w:val="false"/>
          <w:i w:val="false"/>
          <w:iCs w:val="false"/>
          <w:color w:val="1D1D1D"/>
          <w:sz w:val="22"/>
          <w:szCs w:val="22"/>
        </w:rPr>
        <w:t xml:space="preserve">Awareness of metabolic syndrome, sarcopenic obesity and steroid-related complications. Encourage tailored physical activity programmes.</w:t>
      </w:r>
    </w:p>
    <w:p>
      <w:pPr>
        <w:spacing w:after="80" w:before="180"/>
      </w:pPr>
      <w:r>
        <w:rPr>
          <w:rFonts w:ascii="Georgia" w:cs="Georgia" w:eastAsia="Georgia" w:hAnsi="Georgia"/>
          <w:b/>
          <w:bCs/>
          <w:color w:val="1D1D1D"/>
          <w:sz w:val="24"/>
          <w:szCs w:val="24"/>
        </w:rPr>
        <w:t xml:space="preserve">Endocrine, neurological and other late effects</w:t>
      </w:r>
    </w:p>
    <w:p>
      <w:pPr>
        <w:pStyle w:val="ListParagraph"/>
        <w:numPr>
          <w:ilvl w:val="0"/>
          <w:numId w:val="2"/>
        </w:numPr>
        <w:spacing w:after="40" w:before="40" w:line="280"/>
      </w:pPr>
      <w:r>
        <w:rPr>
          <w:rFonts w:ascii="Georgia" w:cs="Georgia" w:eastAsia="Georgia" w:hAnsi="Georgia"/>
          <w:b w:val="false"/>
          <w:bCs w:val="false"/>
          <w:i w:val="false"/>
          <w:iCs w:val="false"/>
          <w:color w:val="1D1D1D"/>
          <w:sz w:val="22"/>
          <w:szCs w:val="22"/>
        </w:rPr>
        <w:t xml:space="preserve">Annual screening for hypothyroidism and hypogonadism, particularly post-HSCT.</w:t>
      </w:r>
    </w:p>
    <w:p>
      <w:pPr>
        <w:pStyle w:val="ListParagraph"/>
        <w:numPr>
          <w:ilvl w:val="0"/>
          <w:numId w:val="2"/>
        </w:numPr>
        <w:spacing w:after="40" w:before="40" w:line="280"/>
      </w:pPr>
      <w:r>
        <w:rPr>
          <w:rFonts w:ascii="Georgia" w:cs="Georgia" w:eastAsia="Georgia" w:hAnsi="Georgia"/>
          <w:b w:val="false"/>
          <w:bCs w:val="false"/>
          <w:i w:val="false"/>
          <w:iCs w:val="false"/>
          <w:color w:val="1D1D1D"/>
          <w:sz w:val="22"/>
          <w:szCs w:val="22"/>
        </w:rPr>
        <w:t xml:space="preserve">Screen patients with peripheral neuropathy for vitamin B12 deficiency, diabetes and renal causes.</w:t>
      </w:r>
    </w:p>
    <w:p>
      <w:pPr>
        <w:pStyle w:val="ListParagraph"/>
        <w:numPr>
          <w:ilvl w:val="0"/>
          <w:numId w:val="2"/>
        </w:numPr>
        <w:spacing w:after="40" w:before="40" w:line="280"/>
      </w:pPr>
      <w:r>
        <w:rPr>
          <w:rFonts w:ascii="Georgia" w:cs="Georgia" w:eastAsia="Georgia" w:hAnsi="Georgia"/>
          <w:b w:val="false"/>
          <w:bCs w:val="false"/>
          <w:i w:val="false"/>
          <w:iCs w:val="false"/>
          <w:color w:val="1D1D1D"/>
          <w:sz w:val="22"/>
          <w:szCs w:val="22"/>
        </w:rPr>
        <w:t xml:space="preserve">Annual ophthalmic screening for cataract and steroid-related eye disease. Belantamab patients have specific ophthalmology pathway.</w:t>
      </w:r>
    </w:p>
    <w:p>
      <w:pPr>
        <w:pStyle w:val="ListParagraph"/>
        <w:numPr>
          <w:ilvl w:val="0"/>
          <w:numId w:val="2"/>
        </w:numPr>
        <w:spacing w:after="40" w:before="40" w:line="280"/>
      </w:pPr>
      <w:r>
        <w:rPr>
          <w:rFonts w:ascii="Georgia" w:cs="Georgia" w:eastAsia="Georgia" w:hAnsi="Georgia"/>
          <w:b w:val="false"/>
          <w:bCs w:val="false"/>
          <w:i w:val="false"/>
          <w:iCs w:val="false"/>
          <w:color w:val="1D1D1D"/>
          <w:sz w:val="22"/>
          <w:szCs w:val="22"/>
        </w:rPr>
        <w:t xml:space="preserve">Consider second primary malignancies (especially AML and MDS) in unexplained or worsening cytopenias.</w:t>
      </w:r>
    </w:p>
    <w:p>
      <w:pPr>
        <w:pStyle w:val="ListParagraph"/>
        <w:numPr>
          <w:ilvl w:val="0"/>
          <w:numId w:val="2"/>
        </w:numPr>
        <w:spacing w:after="40" w:before="40" w:line="280"/>
      </w:pPr>
      <w:r>
        <w:rPr>
          <w:rFonts w:ascii="Georgia" w:cs="Georgia" w:eastAsia="Georgia" w:hAnsi="Georgia"/>
          <w:b w:val="false"/>
          <w:bCs w:val="false"/>
          <w:i w:val="false"/>
          <w:iCs w:val="false"/>
          <w:color w:val="1D1D1D"/>
          <w:sz w:val="22"/>
          <w:szCs w:val="22"/>
        </w:rPr>
        <w:t xml:space="preserve">Maintain oral and dental hygiene; refer for management of treatment-related dryness, taste change and candidiasis.</w:t>
      </w:r>
    </w:p>
    <w:p>
      <w:pPr>
        <w:spacing w:after="80" w:before="180"/>
      </w:pPr>
      <w:r>
        <w:rPr>
          <w:rFonts w:ascii="Georgia" w:cs="Georgia" w:eastAsia="Georgia" w:hAnsi="Georgia"/>
          <w:b/>
          <w:bCs/>
          <w:color w:val="1D1D1D"/>
          <w:sz w:val="24"/>
          <w:szCs w:val="24"/>
        </w:rPr>
        <w:t xml:space="preserve">Psychosocial and rehabilitation</w:t>
      </w:r>
    </w:p>
    <w:p>
      <w:pPr>
        <w:pStyle w:val="ListParagraph"/>
        <w:numPr>
          <w:ilvl w:val="0"/>
          <w:numId w:val="2"/>
        </w:numPr>
        <w:spacing w:after="40" w:before="40" w:line="280"/>
      </w:pPr>
      <w:r>
        <w:rPr>
          <w:rFonts w:ascii="Georgia" w:cs="Georgia" w:eastAsia="Georgia" w:hAnsi="Georgia"/>
          <w:b w:val="false"/>
          <w:bCs w:val="false"/>
          <w:i w:val="false"/>
          <w:iCs w:val="false"/>
          <w:color w:val="1D1D1D"/>
          <w:sz w:val="22"/>
          <w:szCs w:val="22"/>
        </w:rPr>
        <w:t xml:space="preserve">Routine holistic needs assessment at diagnosis and at the start and end of each line of therapy.</w:t>
      </w:r>
    </w:p>
    <w:p>
      <w:pPr>
        <w:pStyle w:val="ListParagraph"/>
        <w:numPr>
          <w:ilvl w:val="0"/>
          <w:numId w:val="2"/>
        </w:numPr>
        <w:spacing w:after="40" w:before="40" w:line="280"/>
      </w:pPr>
      <w:r>
        <w:rPr>
          <w:rFonts w:ascii="Georgia" w:cs="Georgia" w:eastAsia="Georgia" w:hAnsi="Georgia"/>
          <w:b w:val="false"/>
          <w:bCs w:val="false"/>
          <w:i w:val="false"/>
          <w:iCs w:val="false"/>
          <w:color w:val="1D1D1D"/>
          <w:sz w:val="22"/>
          <w:szCs w:val="22"/>
        </w:rPr>
        <w:t xml:space="preserve">Address fatigue, fear of recurrence and coping with watch-and-wait in MGUS and SMM.</w:t>
      </w:r>
    </w:p>
    <w:p>
      <w:pPr>
        <w:pStyle w:val="ListParagraph"/>
        <w:numPr>
          <w:ilvl w:val="0"/>
          <w:numId w:val="2"/>
        </w:numPr>
        <w:spacing w:after="40" w:before="40" w:line="280"/>
      </w:pPr>
      <w:r>
        <w:rPr>
          <w:rFonts w:ascii="Georgia" w:cs="Georgia" w:eastAsia="Georgia" w:hAnsi="Georgia"/>
          <w:b w:val="false"/>
          <w:bCs w:val="false"/>
          <w:i w:val="false"/>
          <w:iCs w:val="false"/>
          <w:color w:val="1D1D1D"/>
          <w:sz w:val="22"/>
          <w:szCs w:val="22"/>
        </w:rPr>
        <w:t xml:space="preserve">Engage specialist nursing, physiotherapy, occupational therapy and palliative care input appropriate to the stage of disease.</w:t>
      </w:r>
    </w:p>
    <w:p>
      <w:pPr>
        <w:pStyle w:val="ListParagraph"/>
        <w:numPr>
          <w:ilvl w:val="0"/>
          <w:numId w:val="2"/>
        </w:numPr>
        <w:spacing w:after="40" w:before="40" w:line="280"/>
      </w:pPr>
      <w:r>
        <w:rPr>
          <w:rFonts w:ascii="Georgia" w:cs="Georgia" w:eastAsia="Georgia" w:hAnsi="Georgia"/>
          <w:b w:val="false"/>
          <w:bCs w:val="false"/>
          <w:i w:val="false"/>
          <w:iCs w:val="false"/>
          <w:color w:val="1D1D1D"/>
          <w:sz w:val="22"/>
          <w:szCs w:val="22"/>
        </w:rPr>
        <w:t xml:space="preserve">Signpost to UK patient organisations including Myeloma UK.</w:t>
      </w:r>
    </w:p>
    <w:p>
      <w:pPr>
        <w:spacing w:after="80" w:before="180"/>
      </w:pPr>
      <w:r>
        <w:rPr>
          <w:rFonts w:ascii="Georgia" w:cs="Georgia" w:eastAsia="Georgia" w:hAnsi="Georgia"/>
          <w:b/>
          <w:bCs/>
          <w:color w:val="1D1D1D"/>
          <w:sz w:val="24"/>
          <w:szCs w:val="24"/>
        </w:rPr>
        <w:t xml:space="preserve">Frailty assessment in older patients</w:t>
      </w:r>
    </w:p>
    <w:p>
      <w:pPr>
        <w:spacing w:after="80" w:before="80" w:line="300"/>
        <w:jc w:val="left"/>
      </w:pPr>
      <w:r>
        <w:rPr>
          <w:rFonts w:ascii="Georgia" w:cs="Georgia" w:eastAsia="Georgia" w:hAnsi="Georgia"/>
          <w:b w:val="false"/>
          <w:bCs w:val="false"/>
          <w:i w:val="false"/>
          <w:iCs w:val="false"/>
          <w:color w:val="1D1D1D"/>
          <w:sz w:val="22"/>
          <w:szCs w:val="22"/>
        </w:rPr>
        <w:t xml:space="preserve">Consider baseline geriatric assessment in patients aged 75 years or over and any patient with apparent frailty. The IMWG frailty score (age, comorbidity, geriatric assessment) is simple to apply and correlates with severe toxicity. Use the result to guide treatment intensity, dose reductions and supportive care.</w:t>
      </w:r>
    </w:p>
    <w:p>
      <w:pPr>
        <w:pStyle w:val="Heading1"/>
        <w:spacing w:after="160" w:before="360"/>
      </w:pPr>
      <w:r>
        <w:rPr>
          <w:rFonts w:ascii="Georgia" w:cs="Georgia" w:eastAsia="Georgia" w:hAnsi="Georgia"/>
          <w:b/>
          <w:bCs/>
          <w:color w:val="7A1F2B"/>
          <w:sz w:val="30"/>
          <w:szCs w:val="30"/>
        </w:rPr>
        <w:t xml:space="preserve">13. </w:t>
      </w:r>
      <w:r>
        <w:rPr>
          <w:rFonts w:ascii="Georgia" w:cs="Georgia" w:eastAsia="Georgia" w:hAnsi="Georgia"/>
          <w:b/>
          <w:bCs/>
          <w:color w:val="7A1F2B"/>
          <w:sz w:val="30"/>
          <w:szCs w:val="30"/>
        </w:rPr>
        <w:t xml:space="preserve">Audit and Governance</w:t>
      </w:r>
    </w:p>
    <w:p>
      <w:pPr>
        <w:spacing w:after="80" w:before="80" w:line="300"/>
        <w:jc w:val="left"/>
      </w:pPr>
      <w:r>
        <w:rPr>
          <w:rFonts w:ascii="Georgia" w:cs="Georgia" w:eastAsia="Georgia" w:hAnsi="Georgia"/>
          <w:b w:val="false"/>
          <w:bCs w:val="false"/>
          <w:i w:val="false"/>
          <w:iCs w:val="false"/>
          <w:color w:val="1D1D1D"/>
          <w:sz w:val="22"/>
          <w:szCs w:val="22"/>
        </w:rPr>
        <w:t xml:space="preserve">The following audit standards derive from BSH 2023 (MGUS), BSH 2024 (SMM) and BSH/UKMS 2024–2025 (NDMM, high-risk, imaging and relapse). They support trust-level governance and a structured framework for service improvement.</w:t>
      </w:r>
    </w:p>
    <w:p>
      <w:pPr>
        <w:spacing w:after="80" w:before="180"/>
      </w:pPr>
      <w:r>
        <w:rPr>
          <w:rFonts w:ascii="Georgia" w:cs="Georgia" w:eastAsia="Georgia" w:hAnsi="Georgia"/>
          <w:b/>
          <w:bCs/>
          <w:color w:val="1D1D1D"/>
          <w:sz w:val="24"/>
          <w:szCs w:val="24"/>
        </w:rPr>
        <w:t xml:space="preserve">MGUS audit standards (BSH 2023 derived)</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400"/>
        <w:gridCol w:w="2800"/>
        <w:gridCol w:w="1826"/>
      </w:tblGrid>
      <w:tr>
        <w:trPr>
          <w:tblHeader/>
        </w:trPr>
        <w:tc>
          <w:tcPr>
            <w:tcW w:type="dxa" w:w="4400"/>
            <w:tcBorders>
              <w:top w:val="single" w:color="D8C9CB" w:sz="4"/>
              <w:left w:val="single" w:color="D8C9CB" w:sz="4"/>
              <w:bottom w:val="single" w:color="D8C9CB" w:sz="4"/>
              <w:right w:val="single" w:color="D8C9CB" w:sz="4"/>
            </w:tcBorders>
            <w:shd w:fill="F5E9EB" w:val="clear"/>
            <w:tcMar>
              <w:top w:type="dxa" w:w="80"/>
              <w:left w:type="dxa" w:w="120"/>
              <w:bottom w:type="dxa" w:w="80"/>
              <w:right w:type="dxa" w:w="120"/>
            </w:tcMar>
          </w:tcPr>
          <w:p>
            <w:pPr>
              <w:spacing w:after="0" w:before="0" w:line="260"/>
            </w:pPr>
            <w:r>
              <w:rPr>
                <w:rFonts w:ascii="Georgia" w:cs="Georgia" w:eastAsia="Georgia" w:hAnsi="Georgia"/>
                <w:b/>
                <w:bCs/>
                <w:color w:val="7A1F2B"/>
                <w:sz w:val="20"/>
                <w:szCs w:val="20"/>
              </w:rPr>
              <w:t xml:space="preserve">Standard</w:t>
            </w:r>
          </w:p>
        </w:tc>
        <w:tc>
          <w:tcPr>
            <w:tcW w:type="dxa" w:w="2800"/>
            <w:tcBorders>
              <w:top w:val="single" w:color="D8C9CB" w:sz="4"/>
              <w:left w:val="single" w:color="D8C9CB" w:sz="4"/>
              <w:bottom w:val="single" w:color="D8C9CB" w:sz="4"/>
              <w:right w:val="single" w:color="D8C9CB" w:sz="4"/>
            </w:tcBorders>
            <w:shd w:fill="F5E9EB" w:val="clear"/>
            <w:tcMar>
              <w:top w:type="dxa" w:w="80"/>
              <w:left w:type="dxa" w:w="120"/>
              <w:bottom w:type="dxa" w:w="80"/>
              <w:right w:type="dxa" w:w="120"/>
            </w:tcMar>
          </w:tcPr>
          <w:p>
            <w:pPr>
              <w:spacing w:after="0" w:before="0" w:line="260"/>
            </w:pPr>
            <w:r>
              <w:rPr>
                <w:rFonts w:ascii="Georgia" w:cs="Georgia" w:eastAsia="Georgia" w:hAnsi="Georgia"/>
                <w:b/>
                <w:bCs/>
                <w:color w:val="7A1F2B"/>
                <w:sz w:val="20"/>
                <w:szCs w:val="20"/>
              </w:rPr>
              <w:t xml:space="preserve">Data source</w:t>
            </w:r>
          </w:p>
        </w:tc>
        <w:tc>
          <w:tcPr>
            <w:tcW w:type="dxa" w:w="1826"/>
            <w:tcBorders>
              <w:top w:val="single" w:color="D8C9CB" w:sz="4"/>
              <w:left w:val="single" w:color="D8C9CB" w:sz="4"/>
              <w:bottom w:val="single" w:color="D8C9CB" w:sz="4"/>
              <w:right w:val="single" w:color="D8C9CB" w:sz="4"/>
            </w:tcBorders>
            <w:shd w:fill="F5E9EB" w:val="clear"/>
            <w:tcMar>
              <w:top w:type="dxa" w:w="80"/>
              <w:left w:type="dxa" w:w="120"/>
              <w:bottom w:type="dxa" w:w="80"/>
              <w:right w:type="dxa" w:w="120"/>
            </w:tcMar>
          </w:tcPr>
          <w:p>
            <w:pPr>
              <w:spacing w:after="0" w:before="0" w:line="260"/>
            </w:pPr>
            <w:r>
              <w:rPr>
                <w:rFonts w:ascii="Georgia" w:cs="Georgia" w:eastAsia="Georgia" w:hAnsi="Georgia"/>
                <w:b/>
                <w:bCs/>
                <w:color w:val="7A1F2B"/>
                <w:sz w:val="20"/>
                <w:szCs w:val="20"/>
              </w:rPr>
              <w:t xml:space="preserve">Target</w:t>
            </w:r>
          </w:p>
        </w:tc>
      </w:tr>
      <w:tr>
        <w:tc>
          <w:tcPr>
            <w:tcW w:type="dxa" w:w="4400"/>
            <w:tcBorders>
              <w:top w:val="single" w:color="D8C9CB" w:sz="4"/>
              <w:left w:val="single" w:color="D8C9CB" w:sz="4"/>
              <w:bottom w:val="single" w:color="D8C9CB" w:sz="4"/>
              <w:right w:val="single" w:color="D8C9CB" w:sz="4"/>
            </w:tcBorders>
            <w:tcMar>
              <w:top w:type="dxa" w:w="80"/>
              <w:left w:type="dxa" w:w="120"/>
              <w:bottom w:type="dxa" w:w="80"/>
              <w:right w:type="dxa" w:w="120"/>
            </w:tcMar>
          </w:tcPr>
          <w:p>
            <w:pPr>
              <w:spacing w:after="0" w:before="0" w:line="260"/>
            </w:pPr>
            <w:r>
              <w:rPr>
                <w:rFonts w:ascii="Georgia" w:cs="Georgia" w:eastAsia="Georgia" w:hAnsi="Georgia"/>
                <w:b w:val="false"/>
                <w:bCs w:val="false"/>
                <w:color w:val="1D1D1D"/>
                <w:sz w:val="20"/>
                <w:szCs w:val="20"/>
              </w:rPr>
              <w:t xml:space="preserve">On detection of a new M-protein, immunofixation and serum FLC assay are both performed.</w:t>
            </w:r>
          </w:p>
        </w:tc>
        <w:tc>
          <w:tcPr>
            <w:tcW w:type="dxa" w:w="2800"/>
            <w:tcBorders>
              <w:top w:val="single" w:color="D8C9CB" w:sz="4"/>
              <w:left w:val="single" w:color="D8C9CB" w:sz="4"/>
              <w:bottom w:val="single" w:color="D8C9CB" w:sz="4"/>
              <w:right w:val="single" w:color="D8C9CB" w:sz="4"/>
            </w:tcBorders>
            <w:tcMar>
              <w:top w:type="dxa" w:w="80"/>
              <w:left w:type="dxa" w:w="120"/>
              <w:bottom w:type="dxa" w:w="80"/>
              <w:right w:type="dxa" w:w="120"/>
            </w:tcMar>
          </w:tcPr>
          <w:p>
            <w:pPr>
              <w:spacing w:after="0" w:before="0" w:line="260"/>
            </w:pPr>
            <w:r>
              <w:rPr>
                <w:rFonts w:ascii="Georgia" w:cs="Georgia" w:eastAsia="Georgia" w:hAnsi="Georgia"/>
                <w:b w:val="false"/>
                <w:bCs w:val="false"/>
                <w:color w:val="1D1D1D"/>
                <w:sz w:val="20"/>
                <w:szCs w:val="20"/>
              </w:rPr>
              <w:t xml:space="preserve">Laboratory records, clinic letters</w:t>
            </w:r>
          </w:p>
        </w:tc>
        <w:tc>
          <w:tcPr>
            <w:tcW w:type="dxa" w:w="1826"/>
            <w:tcBorders>
              <w:top w:val="single" w:color="D8C9CB" w:sz="4"/>
              <w:left w:val="single" w:color="D8C9CB" w:sz="4"/>
              <w:bottom w:val="single" w:color="D8C9CB" w:sz="4"/>
              <w:right w:val="single" w:color="D8C9CB" w:sz="4"/>
            </w:tcBorders>
            <w:tcMar>
              <w:top w:type="dxa" w:w="80"/>
              <w:left w:type="dxa" w:w="120"/>
              <w:bottom w:type="dxa" w:w="80"/>
              <w:right w:type="dxa" w:w="120"/>
            </w:tcMar>
          </w:tcPr>
          <w:p>
            <w:pPr>
              <w:spacing w:after="0" w:before="0" w:line="260"/>
            </w:pPr>
            <w:r>
              <w:rPr>
                <w:rFonts w:ascii="Georgia" w:cs="Georgia" w:eastAsia="Georgia" w:hAnsi="Georgia"/>
                <w:b w:val="false"/>
                <w:bCs w:val="false"/>
                <w:color w:val="1D1D1D"/>
                <w:sz w:val="20"/>
                <w:szCs w:val="20"/>
              </w:rPr>
              <w:t xml:space="preserve">≥ 98%</w:t>
            </w:r>
          </w:p>
        </w:tc>
      </w:tr>
      <w:tr>
        <w:tc>
          <w:tcPr>
            <w:tcW w:type="dxa" w:w="4400"/>
            <w:tcBorders>
              <w:top w:val="single" w:color="D8C9CB" w:sz="4"/>
              <w:left w:val="single" w:color="D8C9CB" w:sz="4"/>
              <w:bottom w:val="single" w:color="D8C9CB" w:sz="4"/>
              <w:right w:val="single" w:color="D8C9CB" w:sz="4"/>
            </w:tcBorders>
            <w:tcMar>
              <w:top w:type="dxa" w:w="80"/>
              <w:left w:type="dxa" w:w="120"/>
              <w:bottom w:type="dxa" w:w="80"/>
              <w:right w:type="dxa" w:w="120"/>
            </w:tcMar>
          </w:tcPr>
          <w:p>
            <w:pPr>
              <w:spacing w:after="0" w:before="0" w:line="260"/>
            </w:pPr>
            <w:r>
              <w:rPr>
                <w:rFonts w:ascii="Georgia" w:cs="Georgia" w:eastAsia="Georgia" w:hAnsi="Georgia"/>
                <w:b w:val="false"/>
                <w:bCs w:val="false"/>
                <w:color w:val="1D1D1D"/>
                <w:sz w:val="20"/>
                <w:szCs w:val="20"/>
              </w:rPr>
              <w:t xml:space="preserve">Laboratory diagnostic sets ensure complete testing in suspected MGUS or myeloma.</w:t>
            </w:r>
          </w:p>
        </w:tc>
        <w:tc>
          <w:tcPr>
            <w:tcW w:type="dxa" w:w="2800"/>
            <w:tcBorders>
              <w:top w:val="single" w:color="D8C9CB" w:sz="4"/>
              <w:left w:val="single" w:color="D8C9CB" w:sz="4"/>
              <w:bottom w:val="single" w:color="D8C9CB" w:sz="4"/>
              <w:right w:val="single" w:color="D8C9CB" w:sz="4"/>
            </w:tcBorders>
            <w:tcMar>
              <w:top w:type="dxa" w:w="80"/>
              <w:left w:type="dxa" w:w="120"/>
              <w:bottom w:type="dxa" w:w="80"/>
              <w:right w:type="dxa" w:w="120"/>
            </w:tcMar>
          </w:tcPr>
          <w:p>
            <w:pPr>
              <w:spacing w:after="0" w:before="0" w:line="260"/>
            </w:pPr>
            <w:r>
              <w:rPr>
                <w:rFonts w:ascii="Georgia" w:cs="Georgia" w:eastAsia="Georgia" w:hAnsi="Georgia"/>
                <w:b w:val="false"/>
                <w:bCs w:val="false"/>
                <w:color w:val="1D1D1D"/>
                <w:sz w:val="20"/>
                <w:szCs w:val="20"/>
              </w:rPr>
              <w:t xml:space="preserve">Laboratory protocol</w:t>
            </w:r>
          </w:p>
        </w:tc>
        <w:tc>
          <w:tcPr>
            <w:tcW w:type="dxa" w:w="1826"/>
            <w:tcBorders>
              <w:top w:val="single" w:color="D8C9CB" w:sz="4"/>
              <w:left w:val="single" w:color="D8C9CB" w:sz="4"/>
              <w:bottom w:val="single" w:color="D8C9CB" w:sz="4"/>
              <w:right w:val="single" w:color="D8C9CB" w:sz="4"/>
            </w:tcBorders>
            <w:tcMar>
              <w:top w:type="dxa" w:w="80"/>
              <w:left w:type="dxa" w:w="120"/>
              <w:bottom w:type="dxa" w:w="80"/>
              <w:right w:type="dxa" w:w="120"/>
            </w:tcMar>
          </w:tcPr>
          <w:p>
            <w:pPr>
              <w:spacing w:after="0" w:before="0" w:line="260"/>
            </w:pPr>
            <w:r>
              <w:rPr>
                <w:rFonts w:ascii="Georgia" w:cs="Georgia" w:eastAsia="Georgia" w:hAnsi="Georgia"/>
                <w:b w:val="false"/>
                <w:bCs w:val="false"/>
                <w:color w:val="1D1D1D"/>
                <w:sz w:val="20"/>
                <w:szCs w:val="20"/>
              </w:rPr>
              <w:t xml:space="preserve">100%</w:t>
            </w:r>
          </w:p>
        </w:tc>
      </w:tr>
      <w:tr>
        <w:tc>
          <w:tcPr>
            <w:tcW w:type="dxa" w:w="4400"/>
            <w:tcBorders>
              <w:top w:val="single" w:color="D8C9CB" w:sz="4"/>
              <w:left w:val="single" w:color="D8C9CB" w:sz="4"/>
              <w:bottom w:val="single" w:color="D8C9CB" w:sz="4"/>
              <w:right w:val="single" w:color="D8C9CB" w:sz="4"/>
            </w:tcBorders>
            <w:tcMar>
              <w:top w:type="dxa" w:w="80"/>
              <w:left w:type="dxa" w:w="120"/>
              <w:bottom w:type="dxa" w:w="80"/>
              <w:right w:type="dxa" w:w="120"/>
            </w:tcMar>
          </w:tcPr>
          <w:p>
            <w:pPr>
              <w:spacing w:after="0" w:before="0" w:line="260"/>
            </w:pPr>
            <w:r>
              <w:rPr>
                <w:rFonts w:ascii="Georgia" w:cs="Georgia" w:eastAsia="Georgia" w:hAnsi="Georgia"/>
                <w:b w:val="false"/>
                <w:bCs w:val="false"/>
                <w:color w:val="1D1D1D"/>
                <w:sz w:val="20"/>
                <w:szCs w:val="20"/>
              </w:rPr>
              <w:t xml:space="preserve">Laboratory flagging systems alert clinicians to high-risk results.</w:t>
            </w:r>
          </w:p>
        </w:tc>
        <w:tc>
          <w:tcPr>
            <w:tcW w:type="dxa" w:w="2800"/>
            <w:tcBorders>
              <w:top w:val="single" w:color="D8C9CB" w:sz="4"/>
              <w:left w:val="single" w:color="D8C9CB" w:sz="4"/>
              <w:bottom w:val="single" w:color="D8C9CB" w:sz="4"/>
              <w:right w:val="single" w:color="D8C9CB" w:sz="4"/>
            </w:tcBorders>
            <w:tcMar>
              <w:top w:type="dxa" w:w="80"/>
              <w:left w:type="dxa" w:w="120"/>
              <w:bottom w:type="dxa" w:w="80"/>
              <w:right w:type="dxa" w:w="120"/>
            </w:tcMar>
          </w:tcPr>
          <w:p>
            <w:pPr>
              <w:spacing w:after="0" w:before="0" w:line="260"/>
            </w:pPr>
            <w:r>
              <w:rPr>
                <w:rFonts w:ascii="Georgia" w:cs="Georgia" w:eastAsia="Georgia" w:hAnsi="Georgia"/>
                <w:b w:val="false"/>
                <w:bCs w:val="false"/>
                <w:color w:val="1D1D1D"/>
                <w:sz w:val="20"/>
                <w:szCs w:val="20"/>
              </w:rPr>
              <w:t xml:space="preserve">Laboratory governance</w:t>
            </w:r>
          </w:p>
        </w:tc>
        <w:tc>
          <w:tcPr>
            <w:tcW w:type="dxa" w:w="1826"/>
            <w:tcBorders>
              <w:top w:val="single" w:color="D8C9CB" w:sz="4"/>
              <w:left w:val="single" w:color="D8C9CB" w:sz="4"/>
              <w:bottom w:val="single" w:color="D8C9CB" w:sz="4"/>
              <w:right w:val="single" w:color="D8C9CB" w:sz="4"/>
            </w:tcBorders>
            <w:tcMar>
              <w:top w:type="dxa" w:w="80"/>
              <w:left w:type="dxa" w:w="120"/>
              <w:bottom w:type="dxa" w:w="80"/>
              <w:right w:type="dxa" w:w="120"/>
            </w:tcMar>
          </w:tcPr>
          <w:p>
            <w:pPr>
              <w:spacing w:after="0" w:before="0" w:line="260"/>
            </w:pPr>
            <w:r>
              <w:rPr>
                <w:rFonts w:ascii="Georgia" w:cs="Georgia" w:eastAsia="Georgia" w:hAnsi="Georgia"/>
                <w:b w:val="false"/>
                <w:bCs w:val="false"/>
                <w:color w:val="1D1D1D"/>
                <w:sz w:val="20"/>
                <w:szCs w:val="20"/>
              </w:rPr>
              <w:t xml:space="preserve">100%</w:t>
            </w:r>
          </w:p>
        </w:tc>
      </w:tr>
      <w:tr>
        <w:tc>
          <w:tcPr>
            <w:tcW w:type="dxa" w:w="4400"/>
            <w:tcBorders>
              <w:top w:val="single" w:color="D8C9CB" w:sz="4"/>
              <w:left w:val="single" w:color="D8C9CB" w:sz="4"/>
              <w:bottom w:val="single" w:color="D8C9CB" w:sz="4"/>
              <w:right w:val="single" w:color="D8C9CB" w:sz="4"/>
            </w:tcBorders>
            <w:tcMar>
              <w:top w:type="dxa" w:w="80"/>
              <w:left w:type="dxa" w:w="120"/>
              <w:bottom w:type="dxa" w:w="80"/>
              <w:right w:type="dxa" w:w="120"/>
            </w:tcMar>
          </w:tcPr>
          <w:p>
            <w:pPr>
              <w:spacing w:after="0" w:before="0" w:line="260"/>
            </w:pPr>
            <w:r>
              <w:rPr>
                <w:rFonts w:ascii="Georgia" w:cs="Georgia" w:eastAsia="Georgia" w:hAnsi="Georgia"/>
                <w:b w:val="false"/>
                <w:bCs w:val="false"/>
                <w:color w:val="1D1D1D"/>
                <w:sz w:val="20"/>
                <w:szCs w:val="20"/>
              </w:rPr>
              <w:t xml:space="preserve">Patients with proteinuria have a urine PCR or ACR and are considered for nephrology referral.</w:t>
            </w:r>
          </w:p>
        </w:tc>
        <w:tc>
          <w:tcPr>
            <w:tcW w:type="dxa" w:w="2800"/>
            <w:tcBorders>
              <w:top w:val="single" w:color="D8C9CB" w:sz="4"/>
              <w:left w:val="single" w:color="D8C9CB" w:sz="4"/>
              <w:bottom w:val="single" w:color="D8C9CB" w:sz="4"/>
              <w:right w:val="single" w:color="D8C9CB" w:sz="4"/>
            </w:tcBorders>
            <w:tcMar>
              <w:top w:type="dxa" w:w="80"/>
              <w:left w:type="dxa" w:w="120"/>
              <w:bottom w:type="dxa" w:w="80"/>
              <w:right w:type="dxa" w:w="120"/>
            </w:tcMar>
          </w:tcPr>
          <w:p>
            <w:pPr>
              <w:spacing w:after="0" w:before="0" w:line="260"/>
            </w:pPr>
            <w:r>
              <w:rPr>
                <w:rFonts w:ascii="Georgia" w:cs="Georgia" w:eastAsia="Georgia" w:hAnsi="Georgia"/>
                <w:b w:val="false"/>
                <w:bCs w:val="false"/>
                <w:color w:val="1D1D1D"/>
                <w:sz w:val="20"/>
                <w:szCs w:val="20"/>
              </w:rPr>
              <w:t xml:space="preserve">Clinic letters</w:t>
            </w:r>
          </w:p>
        </w:tc>
        <w:tc>
          <w:tcPr>
            <w:tcW w:type="dxa" w:w="1826"/>
            <w:tcBorders>
              <w:top w:val="single" w:color="D8C9CB" w:sz="4"/>
              <w:left w:val="single" w:color="D8C9CB" w:sz="4"/>
              <w:bottom w:val="single" w:color="D8C9CB" w:sz="4"/>
              <w:right w:val="single" w:color="D8C9CB" w:sz="4"/>
            </w:tcBorders>
            <w:tcMar>
              <w:top w:type="dxa" w:w="80"/>
              <w:left w:type="dxa" w:w="120"/>
              <w:bottom w:type="dxa" w:w="80"/>
              <w:right w:type="dxa" w:w="120"/>
            </w:tcMar>
          </w:tcPr>
          <w:p>
            <w:pPr>
              <w:spacing w:after="0" w:before="0" w:line="260"/>
            </w:pPr>
            <w:r>
              <w:rPr>
                <w:rFonts w:ascii="Georgia" w:cs="Georgia" w:eastAsia="Georgia" w:hAnsi="Georgia"/>
                <w:b w:val="false"/>
                <w:bCs w:val="false"/>
                <w:color w:val="1D1D1D"/>
                <w:sz w:val="20"/>
                <w:szCs w:val="20"/>
              </w:rPr>
              <w:t xml:space="preserve">≥ 90%</w:t>
            </w:r>
          </w:p>
        </w:tc>
      </w:tr>
      <w:tr>
        <w:tc>
          <w:tcPr>
            <w:tcW w:type="dxa" w:w="4400"/>
            <w:tcBorders>
              <w:top w:val="single" w:color="D8C9CB" w:sz="4"/>
              <w:left w:val="single" w:color="D8C9CB" w:sz="4"/>
              <w:bottom w:val="single" w:color="D8C9CB" w:sz="4"/>
              <w:right w:val="single" w:color="D8C9CB" w:sz="4"/>
            </w:tcBorders>
            <w:tcMar>
              <w:top w:type="dxa" w:w="80"/>
              <w:left w:type="dxa" w:w="120"/>
              <w:bottom w:type="dxa" w:w="80"/>
              <w:right w:type="dxa" w:w="120"/>
            </w:tcMar>
          </w:tcPr>
          <w:p>
            <w:pPr>
              <w:spacing w:after="0" w:before="0" w:line="260"/>
            </w:pPr>
            <w:r>
              <w:rPr>
                <w:rFonts w:ascii="Georgia" w:cs="Georgia" w:eastAsia="Georgia" w:hAnsi="Georgia"/>
                <w:b w:val="false"/>
                <w:bCs w:val="false"/>
                <w:color w:val="1D1D1D"/>
                <w:sz w:val="20"/>
                <w:szCs w:val="20"/>
              </w:rPr>
              <w:t xml:space="preserve">Newly diagnosed MGUS is risk-stratified using a validated model not requiring BM biopsy.</w:t>
            </w:r>
          </w:p>
        </w:tc>
        <w:tc>
          <w:tcPr>
            <w:tcW w:type="dxa" w:w="2800"/>
            <w:tcBorders>
              <w:top w:val="single" w:color="D8C9CB" w:sz="4"/>
              <w:left w:val="single" w:color="D8C9CB" w:sz="4"/>
              <w:bottom w:val="single" w:color="D8C9CB" w:sz="4"/>
              <w:right w:val="single" w:color="D8C9CB" w:sz="4"/>
            </w:tcBorders>
            <w:tcMar>
              <w:top w:type="dxa" w:w="80"/>
              <w:left w:type="dxa" w:w="120"/>
              <w:bottom w:type="dxa" w:w="80"/>
              <w:right w:type="dxa" w:w="120"/>
            </w:tcMar>
          </w:tcPr>
          <w:p>
            <w:pPr>
              <w:spacing w:after="0" w:before="0" w:line="260"/>
            </w:pPr>
            <w:r>
              <w:rPr>
                <w:rFonts w:ascii="Georgia" w:cs="Georgia" w:eastAsia="Georgia" w:hAnsi="Georgia"/>
                <w:b w:val="false"/>
                <w:bCs w:val="false"/>
                <w:color w:val="1D1D1D"/>
                <w:sz w:val="20"/>
                <w:szCs w:val="20"/>
              </w:rPr>
              <w:t xml:space="preserve">Clinic letters</w:t>
            </w:r>
          </w:p>
        </w:tc>
        <w:tc>
          <w:tcPr>
            <w:tcW w:type="dxa" w:w="1826"/>
            <w:tcBorders>
              <w:top w:val="single" w:color="D8C9CB" w:sz="4"/>
              <w:left w:val="single" w:color="D8C9CB" w:sz="4"/>
              <w:bottom w:val="single" w:color="D8C9CB" w:sz="4"/>
              <w:right w:val="single" w:color="D8C9CB" w:sz="4"/>
            </w:tcBorders>
            <w:tcMar>
              <w:top w:type="dxa" w:w="80"/>
              <w:left w:type="dxa" w:w="120"/>
              <w:bottom w:type="dxa" w:w="80"/>
              <w:right w:type="dxa" w:w="120"/>
            </w:tcMar>
          </w:tcPr>
          <w:p>
            <w:pPr>
              <w:spacing w:after="0" w:before="0" w:line="260"/>
            </w:pPr>
            <w:r>
              <w:rPr>
                <w:rFonts w:ascii="Georgia" w:cs="Georgia" w:eastAsia="Georgia" w:hAnsi="Georgia"/>
                <w:b w:val="false"/>
                <w:bCs w:val="false"/>
                <w:color w:val="1D1D1D"/>
                <w:sz w:val="20"/>
                <w:szCs w:val="20"/>
              </w:rPr>
              <w:t xml:space="preserve">≥ 95%</w:t>
            </w:r>
          </w:p>
        </w:tc>
      </w:tr>
      <w:tr>
        <w:tc>
          <w:tcPr>
            <w:tcW w:type="dxa" w:w="4400"/>
            <w:tcBorders>
              <w:top w:val="single" w:color="D8C9CB" w:sz="4"/>
              <w:left w:val="single" w:color="D8C9CB" w:sz="4"/>
              <w:bottom w:val="single" w:color="D8C9CB" w:sz="4"/>
              <w:right w:val="single" w:color="D8C9CB" w:sz="4"/>
            </w:tcBorders>
            <w:tcMar>
              <w:top w:type="dxa" w:w="80"/>
              <w:left w:type="dxa" w:w="120"/>
              <w:bottom w:type="dxa" w:w="80"/>
              <w:right w:type="dxa" w:w="120"/>
            </w:tcMar>
          </w:tcPr>
          <w:p>
            <w:pPr>
              <w:spacing w:after="0" w:before="0" w:line="260"/>
            </w:pPr>
            <w:r>
              <w:rPr>
                <w:rFonts w:ascii="Georgia" w:cs="Georgia" w:eastAsia="Georgia" w:hAnsi="Georgia"/>
                <w:b w:val="false"/>
                <w:bCs w:val="false"/>
                <w:color w:val="1D1D1D"/>
                <w:sz w:val="20"/>
                <w:szCs w:val="20"/>
              </w:rPr>
              <w:t xml:space="preserve">Low and low-intermediate risk MGUS do not undergo BM examination or imaging.</w:t>
            </w:r>
          </w:p>
        </w:tc>
        <w:tc>
          <w:tcPr>
            <w:tcW w:type="dxa" w:w="2800"/>
            <w:tcBorders>
              <w:top w:val="single" w:color="D8C9CB" w:sz="4"/>
              <w:left w:val="single" w:color="D8C9CB" w:sz="4"/>
              <w:bottom w:val="single" w:color="D8C9CB" w:sz="4"/>
              <w:right w:val="single" w:color="D8C9CB" w:sz="4"/>
            </w:tcBorders>
            <w:tcMar>
              <w:top w:type="dxa" w:w="80"/>
              <w:left w:type="dxa" w:w="120"/>
              <w:bottom w:type="dxa" w:w="80"/>
              <w:right w:type="dxa" w:w="120"/>
            </w:tcMar>
          </w:tcPr>
          <w:p>
            <w:pPr>
              <w:spacing w:after="0" w:before="0" w:line="260"/>
            </w:pPr>
            <w:r>
              <w:rPr>
                <w:rFonts w:ascii="Georgia" w:cs="Georgia" w:eastAsia="Georgia" w:hAnsi="Georgia"/>
                <w:b w:val="false"/>
                <w:bCs w:val="false"/>
                <w:color w:val="1D1D1D"/>
                <w:sz w:val="20"/>
                <w:szCs w:val="20"/>
              </w:rPr>
              <w:t xml:space="preserve">Clinic letters</w:t>
            </w:r>
          </w:p>
        </w:tc>
        <w:tc>
          <w:tcPr>
            <w:tcW w:type="dxa" w:w="1826"/>
            <w:tcBorders>
              <w:top w:val="single" w:color="D8C9CB" w:sz="4"/>
              <w:left w:val="single" w:color="D8C9CB" w:sz="4"/>
              <w:bottom w:val="single" w:color="D8C9CB" w:sz="4"/>
              <w:right w:val="single" w:color="D8C9CB" w:sz="4"/>
            </w:tcBorders>
            <w:tcMar>
              <w:top w:type="dxa" w:w="80"/>
              <w:left w:type="dxa" w:w="120"/>
              <w:bottom w:type="dxa" w:w="80"/>
              <w:right w:type="dxa" w:w="120"/>
            </w:tcMar>
          </w:tcPr>
          <w:p>
            <w:pPr>
              <w:spacing w:after="0" w:before="0" w:line="260"/>
            </w:pPr>
            <w:r>
              <w:rPr>
                <w:rFonts w:ascii="Georgia" w:cs="Georgia" w:eastAsia="Georgia" w:hAnsi="Georgia"/>
                <w:b w:val="false"/>
                <w:bCs w:val="false"/>
                <w:color w:val="1D1D1D"/>
                <w:sz w:val="20"/>
                <w:szCs w:val="20"/>
              </w:rPr>
              <w:t xml:space="preserve">≥ 90%</w:t>
            </w:r>
          </w:p>
        </w:tc>
      </w:tr>
      <w:tr>
        <w:tc>
          <w:tcPr>
            <w:tcW w:type="dxa" w:w="4400"/>
            <w:tcBorders>
              <w:top w:val="single" w:color="D8C9CB" w:sz="4"/>
              <w:left w:val="single" w:color="D8C9CB" w:sz="4"/>
              <w:bottom w:val="single" w:color="D8C9CB" w:sz="4"/>
              <w:right w:val="single" w:color="D8C9CB" w:sz="4"/>
            </w:tcBorders>
            <w:tcMar>
              <w:top w:type="dxa" w:w="80"/>
              <w:left w:type="dxa" w:w="120"/>
              <w:bottom w:type="dxa" w:w="80"/>
              <w:right w:type="dxa" w:w="120"/>
            </w:tcMar>
          </w:tcPr>
          <w:p>
            <w:pPr>
              <w:spacing w:after="0" w:before="0" w:line="260"/>
            </w:pPr>
            <w:r>
              <w:rPr>
                <w:rFonts w:ascii="Georgia" w:cs="Georgia" w:eastAsia="Georgia" w:hAnsi="Georgia"/>
                <w:b w:val="false"/>
                <w:bCs w:val="false"/>
                <w:color w:val="1D1D1D"/>
                <w:sz w:val="20"/>
                <w:szCs w:val="20"/>
              </w:rPr>
              <w:t xml:space="preserve">High-intermediate and high-risk MGUS undergo BM examination and WB imaging.</w:t>
            </w:r>
          </w:p>
        </w:tc>
        <w:tc>
          <w:tcPr>
            <w:tcW w:type="dxa" w:w="2800"/>
            <w:tcBorders>
              <w:top w:val="single" w:color="D8C9CB" w:sz="4"/>
              <w:left w:val="single" w:color="D8C9CB" w:sz="4"/>
              <w:bottom w:val="single" w:color="D8C9CB" w:sz="4"/>
              <w:right w:val="single" w:color="D8C9CB" w:sz="4"/>
            </w:tcBorders>
            <w:tcMar>
              <w:top w:type="dxa" w:w="80"/>
              <w:left w:type="dxa" w:w="120"/>
              <w:bottom w:type="dxa" w:w="80"/>
              <w:right w:type="dxa" w:w="120"/>
            </w:tcMar>
          </w:tcPr>
          <w:p>
            <w:pPr>
              <w:spacing w:after="0" w:before="0" w:line="260"/>
            </w:pPr>
            <w:r>
              <w:rPr>
                <w:rFonts w:ascii="Georgia" w:cs="Georgia" w:eastAsia="Georgia" w:hAnsi="Georgia"/>
                <w:b w:val="false"/>
                <w:bCs w:val="false"/>
                <w:color w:val="1D1D1D"/>
                <w:sz w:val="20"/>
                <w:szCs w:val="20"/>
              </w:rPr>
              <w:t xml:space="preserve">Clinic letters, BM records</w:t>
            </w:r>
          </w:p>
        </w:tc>
        <w:tc>
          <w:tcPr>
            <w:tcW w:type="dxa" w:w="1826"/>
            <w:tcBorders>
              <w:top w:val="single" w:color="D8C9CB" w:sz="4"/>
              <w:left w:val="single" w:color="D8C9CB" w:sz="4"/>
              <w:bottom w:val="single" w:color="D8C9CB" w:sz="4"/>
              <w:right w:val="single" w:color="D8C9CB" w:sz="4"/>
            </w:tcBorders>
            <w:tcMar>
              <w:top w:type="dxa" w:w="80"/>
              <w:left w:type="dxa" w:w="120"/>
              <w:bottom w:type="dxa" w:w="80"/>
              <w:right w:type="dxa" w:w="120"/>
            </w:tcMar>
          </w:tcPr>
          <w:p>
            <w:pPr>
              <w:spacing w:after="0" w:before="0" w:line="260"/>
            </w:pPr>
            <w:r>
              <w:rPr>
                <w:rFonts w:ascii="Georgia" w:cs="Georgia" w:eastAsia="Georgia" w:hAnsi="Georgia"/>
                <w:b w:val="false"/>
                <w:bCs w:val="false"/>
                <w:color w:val="1D1D1D"/>
                <w:sz w:val="20"/>
                <w:szCs w:val="20"/>
              </w:rPr>
              <w:t xml:space="preserve">≥ 90%</w:t>
            </w:r>
          </w:p>
        </w:tc>
      </w:tr>
      <w:tr>
        <w:tc>
          <w:tcPr>
            <w:tcW w:type="dxa" w:w="4400"/>
            <w:tcBorders>
              <w:top w:val="single" w:color="D8C9CB" w:sz="4"/>
              <w:left w:val="single" w:color="D8C9CB" w:sz="4"/>
              <w:bottom w:val="single" w:color="D8C9CB" w:sz="4"/>
              <w:right w:val="single" w:color="D8C9CB" w:sz="4"/>
            </w:tcBorders>
            <w:tcMar>
              <w:top w:type="dxa" w:w="80"/>
              <w:left w:type="dxa" w:w="120"/>
              <w:bottom w:type="dxa" w:w="80"/>
              <w:right w:type="dxa" w:w="120"/>
            </w:tcMar>
          </w:tcPr>
          <w:p>
            <w:pPr>
              <w:spacing w:after="0" w:before="0" w:line="260"/>
            </w:pPr>
            <w:r>
              <w:rPr>
                <w:rFonts w:ascii="Georgia" w:cs="Georgia" w:eastAsia="Georgia" w:hAnsi="Georgia"/>
                <w:b w:val="false"/>
                <w:bCs w:val="false"/>
                <w:color w:val="1D1D1D"/>
                <w:sz w:val="20"/>
                <w:szCs w:val="20"/>
              </w:rPr>
              <w:t xml:space="preserve">MGCS treated with systemic chemotherapy is discussed at MDT.</w:t>
            </w:r>
          </w:p>
        </w:tc>
        <w:tc>
          <w:tcPr>
            <w:tcW w:type="dxa" w:w="2800"/>
            <w:tcBorders>
              <w:top w:val="single" w:color="D8C9CB" w:sz="4"/>
              <w:left w:val="single" w:color="D8C9CB" w:sz="4"/>
              <w:bottom w:val="single" w:color="D8C9CB" w:sz="4"/>
              <w:right w:val="single" w:color="D8C9CB" w:sz="4"/>
            </w:tcBorders>
            <w:tcMar>
              <w:top w:type="dxa" w:w="80"/>
              <w:left w:type="dxa" w:w="120"/>
              <w:bottom w:type="dxa" w:w="80"/>
              <w:right w:type="dxa" w:w="120"/>
            </w:tcMar>
          </w:tcPr>
          <w:p>
            <w:pPr>
              <w:spacing w:after="0" w:before="0" w:line="260"/>
            </w:pPr>
            <w:r>
              <w:rPr>
                <w:rFonts w:ascii="Georgia" w:cs="Georgia" w:eastAsia="Georgia" w:hAnsi="Georgia"/>
                <w:b w:val="false"/>
                <w:bCs w:val="false"/>
                <w:color w:val="1D1D1D"/>
                <w:sz w:val="20"/>
                <w:szCs w:val="20"/>
              </w:rPr>
              <w:t xml:space="preserve">MDT records</w:t>
            </w:r>
          </w:p>
        </w:tc>
        <w:tc>
          <w:tcPr>
            <w:tcW w:type="dxa" w:w="1826"/>
            <w:tcBorders>
              <w:top w:val="single" w:color="D8C9CB" w:sz="4"/>
              <w:left w:val="single" w:color="D8C9CB" w:sz="4"/>
              <w:bottom w:val="single" w:color="D8C9CB" w:sz="4"/>
              <w:right w:val="single" w:color="D8C9CB" w:sz="4"/>
            </w:tcBorders>
            <w:tcMar>
              <w:top w:type="dxa" w:w="80"/>
              <w:left w:type="dxa" w:w="120"/>
              <w:bottom w:type="dxa" w:w="80"/>
              <w:right w:type="dxa" w:w="120"/>
            </w:tcMar>
          </w:tcPr>
          <w:p>
            <w:pPr>
              <w:spacing w:after="0" w:before="0" w:line="260"/>
            </w:pPr>
            <w:r>
              <w:rPr>
                <w:rFonts w:ascii="Georgia" w:cs="Georgia" w:eastAsia="Georgia" w:hAnsi="Georgia"/>
                <w:b w:val="false"/>
                <w:bCs w:val="false"/>
                <w:color w:val="1D1D1D"/>
                <w:sz w:val="20"/>
                <w:szCs w:val="20"/>
              </w:rPr>
              <w:t xml:space="preserve">100%</w:t>
            </w:r>
          </w:p>
        </w:tc>
      </w:tr>
      <w:tr>
        <w:tc>
          <w:tcPr>
            <w:tcW w:type="dxa" w:w="4400"/>
            <w:tcBorders>
              <w:top w:val="single" w:color="D8C9CB" w:sz="4"/>
              <w:left w:val="single" w:color="D8C9CB" w:sz="4"/>
              <w:bottom w:val="single" w:color="D8C9CB" w:sz="4"/>
              <w:right w:val="single" w:color="D8C9CB" w:sz="4"/>
            </w:tcBorders>
            <w:tcMar>
              <w:top w:type="dxa" w:w="80"/>
              <w:left w:type="dxa" w:w="120"/>
              <w:bottom w:type="dxa" w:w="80"/>
              <w:right w:type="dxa" w:w="120"/>
            </w:tcMar>
          </w:tcPr>
          <w:p>
            <w:pPr>
              <w:spacing w:after="0" w:before="0" w:line="260"/>
            </w:pPr>
            <w:r>
              <w:rPr>
                <w:rFonts w:ascii="Georgia" w:cs="Georgia" w:eastAsia="Georgia" w:hAnsi="Georgia"/>
                <w:b w:val="false"/>
                <w:bCs w:val="false"/>
                <w:color w:val="1D1D1D"/>
                <w:sz w:val="20"/>
                <w:szCs w:val="20"/>
              </w:rPr>
              <w:t xml:space="preserve">Patients receive clear information and psychological support at diagnosis.</w:t>
            </w:r>
          </w:p>
        </w:tc>
        <w:tc>
          <w:tcPr>
            <w:tcW w:type="dxa" w:w="2800"/>
            <w:tcBorders>
              <w:top w:val="single" w:color="D8C9CB" w:sz="4"/>
              <w:left w:val="single" w:color="D8C9CB" w:sz="4"/>
              <w:bottom w:val="single" w:color="D8C9CB" w:sz="4"/>
              <w:right w:val="single" w:color="D8C9CB" w:sz="4"/>
            </w:tcBorders>
            <w:tcMar>
              <w:top w:type="dxa" w:w="80"/>
              <w:left w:type="dxa" w:w="120"/>
              <w:bottom w:type="dxa" w:w="80"/>
              <w:right w:type="dxa" w:w="120"/>
            </w:tcMar>
          </w:tcPr>
          <w:p>
            <w:pPr>
              <w:spacing w:after="0" w:before="0" w:line="260"/>
            </w:pPr>
            <w:r>
              <w:rPr>
                <w:rFonts w:ascii="Georgia" w:cs="Georgia" w:eastAsia="Georgia" w:hAnsi="Georgia"/>
                <w:b w:val="false"/>
                <w:bCs w:val="false"/>
                <w:color w:val="1D1D1D"/>
                <w:sz w:val="20"/>
                <w:szCs w:val="20"/>
              </w:rPr>
              <w:t xml:space="preserve">Patient questionnaire</w:t>
            </w:r>
          </w:p>
        </w:tc>
        <w:tc>
          <w:tcPr>
            <w:tcW w:type="dxa" w:w="1826"/>
            <w:tcBorders>
              <w:top w:val="single" w:color="D8C9CB" w:sz="4"/>
              <w:left w:val="single" w:color="D8C9CB" w:sz="4"/>
              <w:bottom w:val="single" w:color="D8C9CB" w:sz="4"/>
              <w:right w:val="single" w:color="D8C9CB" w:sz="4"/>
            </w:tcBorders>
            <w:tcMar>
              <w:top w:type="dxa" w:w="80"/>
              <w:left w:type="dxa" w:w="120"/>
              <w:bottom w:type="dxa" w:w="80"/>
              <w:right w:type="dxa" w:w="120"/>
            </w:tcMar>
          </w:tcPr>
          <w:p>
            <w:pPr>
              <w:spacing w:after="0" w:before="0" w:line="260"/>
            </w:pPr>
            <w:r>
              <w:rPr>
                <w:rFonts w:ascii="Georgia" w:cs="Georgia" w:eastAsia="Georgia" w:hAnsi="Georgia"/>
                <w:b w:val="false"/>
                <w:bCs w:val="false"/>
                <w:color w:val="1D1D1D"/>
                <w:sz w:val="20"/>
                <w:szCs w:val="20"/>
              </w:rPr>
              <w:t xml:space="preserve">≥ 90%</w:t>
            </w:r>
          </w:p>
        </w:tc>
      </w:tr>
    </w:tbl>
    <w:p>
      <w:pPr>
        <w:spacing w:after="80" w:before="180"/>
      </w:pPr>
      <w:r>
        <w:rPr>
          <w:rFonts w:ascii="Georgia" w:cs="Georgia" w:eastAsia="Georgia" w:hAnsi="Georgia"/>
          <w:b/>
          <w:bCs/>
          <w:color w:val="1D1D1D"/>
          <w:sz w:val="24"/>
          <w:szCs w:val="24"/>
        </w:rPr>
        <w:t xml:space="preserve">SMM audit standards (BSH 2024 derived)</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400"/>
        <w:gridCol w:w="2800"/>
        <w:gridCol w:w="1826"/>
      </w:tblGrid>
      <w:tr>
        <w:trPr>
          <w:tblHeader/>
        </w:trPr>
        <w:tc>
          <w:tcPr>
            <w:tcW w:type="dxa" w:w="4400"/>
            <w:tcBorders>
              <w:top w:val="single" w:color="D8C9CB" w:sz="4"/>
              <w:left w:val="single" w:color="D8C9CB" w:sz="4"/>
              <w:bottom w:val="single" w:color="D8C9CB" w:sz="4"/>
              <w:right w:val="single" w:color="D8C9CB" w:sz="4"/>
            </w:tcBorders>
            <w:shd w:fill="F5E9EB" w:val="clear"/>
            <w:tcMar>
              <w:top w:type="dxa" w:w="80"/>
              <w:left w:type="dxa" w:w="120"/>
              <w:bottom w:type="dxa" w:w="80"/>
              <w:right w:type="dxa" w:w="120"/>
            </w:tcMar>
          </w:tcPr>
          <w:p>
            <w:pPr>
              <w:spacing w:after="0" w:before="0" w:line="260"/>
            </w:pPr>
            <w:r>
              <w:rPr>
                <w:rFonts w:ascii="Georgia" w:cs="Georgia" w:eastAsia="Georgia" w:hAnsi="Georgia"/>
                <w:b/>
                <w:bCs/>
                <w:color w:val="7A1F2B"/>
                <w:sz w:val="20"/>
                <w:szCs w:val="20"/>
              </w:rPr>
              <w:t xml:space="preserve">Standard</w:t>
            </w:r>
          </w:p>
        </w:tc>
        <w:tc>
          <w:tcPr>
            <w:tcW w:type="dxa" w:w="2800"/>
            <w:tcBorders>
              <w:top w:val="single" w:color="D8C9CB" w:sz="4"/>
              <w:left w:val="single" w:color="D8C9CB" w:sz="4"/>
              <w:bottom w:val="single" w:color="D8C9CB" w:sz="4"/>
              <w:right w:val="single" w:color="D8C9CB" w:sz="4"/>
            </w:tcBorders>
            <w:shd w:fill="F5E9EB" w:val="clear"/>
            <w:tcMar>
              <w:top w:type="dxa" w:w="80"/>
              <w:left w:type="dxa" w:w="120"/>
              <w:bottom w:type="dxa" w:w="80"/>
              <w:right w:type="dxa" w:w="120"/>
            </w:tcMar>
          </w:tcPr>
          <w:p>
            <w:pPr>
              <w:spacing w:after="0" w:before="0" w:line="260"/>
            </w:pPr>
            <w:r>
              <w:rPr>
                <w:rFonts w:ascii="Georgia" w:cs="Georgia" w:eastAsia="Georgia" w:hAnsi="Georgia"/>
                <w:b/>
                <w:bCs/>
                <w:color w:val="7A1F2B"/>
                <w:sz w:val="20"/>
                <w:szCs w:val="20"/>
              </w:rPr>
              <w:t xml:space="preserve">Data source</w:t>
            </w:r>
          </w:p>
        </w:tc>
        <w:tc>
          <w:tcPr>
            <w:tcW w:type="dxa" w:w="1826"/>
            <w:tcBorders>
              <w:top w:val="single" w:color="D8C9CB" w:sz="4"/>
              <w:left w:val="single" w:color="D8C9CB" w:sz="4"/>
              <w:bottom w:val="single" w:color="D8C9CB" w:sz="4"/>
              <w:right w:val="single" w:color="D8C9CB" w:sz="4"/>
            </w:tcBorders>
            <w:shd w:fill="F5E9EB" w:val="clear"/>
            <w:tcMar>
              <w:top w:type="dxa" w:w="80"/>
              <w:left w:type="dxa" w:w="120"/>
              <w:bottom w:type="dxa" w:w="80"/>
              <w:right w:type="dxa" w:w="120"/>
            </w:tcMar>
          </w:tcPr>
          <w:p>
            <w:pPr>
              <w:spacing w:after="0" w:before="0" w:line="260"/>
            </w:pPr>
            <w:r>
              <w:rPr>
                <w:rFonts w:ascii="Georgia" w:cs="Georgia" w:eastAsia="Georgia" w:hAnsi="Georgia"/>
                <w:b/>
                <w:bCs/>
                <w:color w:val="7A1F2B"/>
                <w:sz w:val="20"/>
                <w:szCs w:val="20"/>
              </w:rPr>
              <w:t xml:space="preserve">Target</w:t>
            </w:r>
          </w:p>
        </w:tc>
      </w:tr>
      <w:tr>
        <w:tc>
          <w:tcPr>
            <w:tcW w:type="dxa" w:w="4400"/>
            <w:tcBorders>
              <w:top w:val="single" w:color="D8C9CB" w:sz="4"/>
              <w:left w:val="single" w:color="D8C9CB" w:sz="4"/>
              <w:bottom w:val="single" w:color="D8C9CB" w:sz="4"/>
              <w:right w:val="single" w:color="D8C9CB" w:sz="4"/>
            </w:tcBorders>
            <w:tcMar>
              <w:top w:type="dxa" w:w="80"/>
              <w:left w:type="dxa" w:w="120"/>
              <w:bottom w:type="dxa" w:w="80"/>
              <w:right w:type="dxa" w:w="120"/>
            </w:tcMar>
          </w:tcPr>
          <w:p>
            <w:pPr>
              <w:spacing w:after="0" w:before="0" w:line="260"/>
            </w:pPr>
            <w:r>
              <w:rPr>
                <w:rFonts w:ascii="Georgia" w:cs="Georgia" w:eastAsia="Georgia" w:hAnsi="Georgia"/>
                <w:b w:val="false"/>
                <w:bCs w:val="false"/>
                <w:color w:val="1D1D1D"/>
                <w:sz w:val="20"/>
                <w:szCs w:val="20"/>
              </w:rPr>
              <w:t xml:space="preserve">Screening blood tests completed: FBC, U&amp;E, Ca, immunoglobulins, SPE, IFE, SFLC.</w:t>
            </w:r>
          </w:p>
        </w:tc>
        <w:tc>
          <w:tcPr>
            <w:tcW w:type="dxa" w:w="2800"/>
            <w:tcBorders>
              <w:top w:val="single" w:color="D8C9CB" w:sz="4"/>
              <w:left w:val="single" w:color="D8C9CB" w:sz="4"/>
              <w:bottom w:val="single" w:color="D8C9CB" w:sz="4"/>
              <w:right w:val="single" w:color="D8C9CB" w:sz="4"/>
            </w:tcBorders>
            <w:tcMar>
              <w:top w:type="dxa" w:w="80"/>
              <w:left w:type="dxa" w:w="120"/>
              <w:bottom w:type="dxa" w:w="80"/>
              <w:right w:type="dxa" w:w="120"/>
            </w:tcMar>
          </w:tcPr>
          <w:p>
            <w:pPr>
              <w:spacing w:after="0" w:before="0" w:line="260"/>
            </w:pPr>
            <w:r>
              <w:rPr>
                <w:rFonts w:ascii="Georgia" w:cs="Georgia" w:eastAsia="Georgia" w:hAnsi="Georgia"/>
                <w:b w:val="false"/>
                <w:bCs w:val="false"/>
                <w:color w:val="1D1D1D"/>
                <w:sz w:val="20"/>
                <w:szCs w:val="20"/>
              </w:rPr>
              <w:t xml:space="preserve">Laboratory records</w:t>
            </w:r>
          </w:p>
        </w:tc>
        <w:tc>
          <w:tcPr>
            <w:tcW w:type="dxa" w:w="1826"/>
            <w:tcBorders>
              <w:top w:val="single" w:color="D8C9CB" w:sz="4"/>
              <w:left w:val="single" w:color="D8C9CB" w:sz="4"/>
              <w:bottom w:val="single" w:color="D8C9CB" w:sz="4"/>
              <w:right w:val="single" w:color="D8C9CB" w:sz="4"/>
            </w:tcBorders>
            <w:tcMar>
              <w:top w:type="dxa" w:w="80"/>
              <w:left w:type="dxa" w:w="120"/>
              <w:bottom w:type="dxa" w:w="80"/>
              <w:right w:type="dxa" w:w="120"/>
            </w:tcMar>
          </w:tcPr>
          <w:p>
            <w:pPr>
              <w:spacing w:after="0" w:before="0" w:line="260"/>
            </w:pPr>
            <w:r>
              <w:rPr>
                <w:rFonts w:ascii="Georgia" w:cs="Georgia" w:eastAsia="Georgia" w:hAnsi="Georgia"/>
                <w:b w:val="false"/>
                <w:bCs w:val="false"/>
                <w:color w:val="1D1D1D"/>
                <w:sz w:val="20"/>
                <w:szCs w:val="20"/>
              </w:rPr>
              <w:t xml:space="preserve">≥ 98%</w:t>
            </w:r>
          </w:p>
        </w:tc>
      </w:tr>
      <w:tr>
        <w:tc>
          <w:tcPr>
            <w:tcW w:type="dxa" w:w="4400"/>
            <w:tcBorders>
              <w:top w:val="single" w:color="D8C9CB" w:sz="4"/>
              <w:left w:val="single" w:color="D8C9CB" w:sz="4"/>
              <w:bottom w:val="single" w:color="D8C9CB" w:sz="4"/>
              <w:right w:val="single" w:color="D8C9CB" w:sz="4"/>
            </w:tcBorders>
            <w:tcMar>
              <w:top w:type="dxa" w:w="80"/>
              <w:left w:type="dxa" w:w="120"/>
              <w:bottom w:type="dxa" w:w="80"/>
              <w:right w:type="dxa" w:w="120"/>
            </w:tcMar>
          </w:tcPr>
          <w:p>
            <w:pPr>
              <w:spacing w:after="0" w:before="0" w:line="260"/>
            </w:pPr>
            <w:r>
              <w:rPr>
                <w:rFonts w:ascii="Georgia" w:cs="Georgia" w:eastAsia="Georgia" w:hAnsi="Georgia"/>
                <w:b w:val="false"/>
                <w:bCs w:val="false"/>
                <w:color w:val="1D1D1D"/>
                <w:sz w:val="20"/>
                <w:szCs w:val="20"/>
              </w:rPr>
              <w:t xml:space="preserve">Diagnostic BM aspirate and trephine taken with plasma cell phenotyping.</w:t>
            </w:r>
          </w:p>
        </w:tc>
        <w:tc>
          <w:tcPr>
            <w:tcW w:type="dxa" w:w="2800"/>
            <w:tcBorders>
              <w:top w:val="single" w:color="D8C9CB" w:sz="4"/>
              <w:left w:val="single" w:color="D8C9CB" w:sz="4"/>
              <w:bottom w:val="single" w:color="D8C9CB" w:sz="4"/>
              <w:right w:val="single" w:color="D8C9CB" w:sz="4"/>
            </w:tcBorders>
            <w:tcMar>
              <w:top w:type="dxa" w:w="80"/>
              <w:left w:type="dxa" w:w="120"/>
              <w:bottom w:type="dxa" w:w="80"/>
              <w:right w:type="dxa" w:w="120"/>
            </w:tcMar>
          </w:tcPr>
          <w:p>
            <w:pPr>
              <w:spacing w:after="0" w:before="0" w:line="260"/>
            </w:pPr>
            <w:r>
              <w:rPr>
                <w:rFonts w:ascii="Georgia" w:cs="Georgia" w:eastAsia="Georgia" w:hAnsi="Georgia"/>
                <w:b w:val="false"/>
                <w:bCs w:val="false"/>
                <w:color w:val="1D1D1D"/>
                <w:sz w:val="20"/>
                <w:szCs w:val="20"/>
              </w:rPr>
              <w:t xml:space="preserve">BM records</w:t>
            </w:r>
          </w:p>
        </w:tc>
        <w:tc>
          <w:tcPr>
            <w:tcW w:type="dxa" w:w="1826"/>
            <w:tcBorders>
              <w:top w:val="single" w:color="D8C9CB" w:sz="4"/>
              <w:left w:val="single" w:color="D8C9CB" w:sz="4"/>
              <w:bottom w:val="single" w:color="D8C9CB" w:sz="4"/>
              <w:right w:val="single" w:color="D8C9CB" w:sz="4"/>
            </w:tcBorders>
            <w:tcMar>
              <w:top w:type="dxa" w:w="80"/>
              <w:left w:type="dxa" w:w="120"/>
              <w:bottom w:type="dxa" w:w="80"/>
              <w:right w:type="dxa" w:w="120"/>
            </w:tcMar>
          </w:tcPr>
          <w:p>
            <w:pPr>
              <w:spacing w:after="0" w:before="0" w:line="260"/>
            </w:pPr>
            <w:r>
              <w:rPr>
                <w:rFonts w:ascii="Georgia" w:cs="Georgia" w:eastAsia="Georgia" w:hAnsi="Georgia"/>
                <w:b w:val="false"/>
                <w:bCs w:val="false"/>
                <w:color w:val="1D1D1D"/>
                <w:sz w:val="20"/>
                <w:szCs w:val="20"/>
              </w:rPr>
              <w:t xml:space="preserve">≥ 95%</w:t>
            </w:r>
          </w:p>
        </w:tc>
      </w:tr>
      <w:tr>
        <w:tc>
          <w:tcPr>
            <w:tcW w:type="dxa" w:w="4400"/>
            <w:tcBorders>
              <w:top w:val="single" w:color="D8C9CB" w:sz="4"/>
              <w:left w:val="single" w:color="D8C9CB" w:sz="4"/>
              <w:bottom w:val="single" w:color="D8C9CB" w:sz="4"/>
              <w:right w:val="single" w:color="D8C9CB" w:sz="4"/>
            </w:tcBorders>
            <w:tcMar>
              <w:top w:type="dxa" w:w="80"/>
              <w:left w:type="dxa" w:w="120"/>
              <w:bottom w:type="dxa" w:w="80"/>
              <w:right w:type="dxa" w:w="120"/>
            </w:tcMar>
          </w:tcPr>
          <w:p>
            <w:pPr>
              <w:spacing w:after="0" w:before="0" w:line="260"/>
            </w:pPr>
            <w:r>
              <w:rPr>
                <w:rFonts w:ascii="Georgia" w:cs="Georgia" w:eastAsia="Georgia" w:hAnsi="Georgia"/>
                <w:b w:val="false"/>
                <w:bCs w:val="false"/>
                <w:color w:val="1D1D1D"/>
                <w:sz w:val="20"/>
                <w:szCs w:val="20"/>
              </w:rPr>
              <w:t xml:space="preserve">Cross-sectional imaging performed (WB-MRI, PET-CT or low-dose WB-CT); skeletal survey not used.</w:t>
            </w:r>
          </w:p>
        </w:tc>
        <w:tc>
          <w:tcPr>
            <w:tcW w:type="dxa" w:w="2800"/>
            <w:tcBorders>
              <w:top w:val="single" w:color="D8C9CB" w:sz="4"/>
              <w:left w:val="single" w:color="D8C9CB" w:sz="4"/>
              <w:bottom w:val="single" w:color="D8C9CB" w:sz="4"/>
              <w:right w:val="single" w:color="D8C9CB" w:sz="4"/>
            </w:tcBorders>
            <w:tcMar>
              <w:top w:type="dxa" w:w="80"/>
              <w:left w:type="dxa" w:w="120"/>
              <w:bottom w:type="dxa" w:w="80"/>
              <w:right w:type="dxa" w:w="120"/>
            </w:tcMar>
          </w:tcPr>
          <w:p>
            <w:pPr>
              <w:spacing w:after="0" w:before="0" w:line="260"/>
            </w:pPr>
            <w:r>
              <w:rPr>
                <w:rFonts w:ascii="Georgia" w:cs="Georgia" w:eastAsia="Georgia" w:hAnsi="Georgia"/>
                <w:b w:val="false"/>
                <w:bCs w:val="false"/>
                <w:color w:val="1D1D1D"/>
                <w:sz w:val="20"/>
                <w:szCs w:val="20"/>
              </w:rPr>
              <w:t xml:space="preserve">Imaging records</w:t>
            </w:r>
          </w:p>
        </w:tc>
        <w:tc>
          <w:tcPr>
            <w:tcW w:type="dxa" w:w="1826"/>
            <w:tcBorders>
              <w:top w:val="single" w:color="D8C9CB" w:sz="4"/>
              <w:left w:val="single" w:color="D8C9CB" w:sz="4"/>
              <w:bottom w:val="single" w:color="D8C9CB" w:sz="4"/>
              <w:right w:val="single" w:color="D8C9CB" w:sz="4"/>
            </w:tcBorders>
            <w:tcMar>
              <w:top w:type="dxa" w:w="80"/>
              <w:left w:type="dxa" w:w="120"/>
              <w:bottom w:type="dxa" w:w="80"/>
              <w:right w:type="dxa" w:w="120"/>
            </w:tcMar>
          </w:tcPr>
          <w:p>
            <w:pPr>
              <w:spacing w:after="0" w:before="0" w:line="260"/>
            </w:pPr>
            <w:r>
              <w:rPr>
                <w:rFonts w:ascii="Georgia" w:cs="Georgia" w:eastAsia="Georgia" w:hAnsi="Georgia"/>
                <w:b w:val="false"/>
                <w:bCs w:val="false"/>
                <w:color w:val="1D1D1D"/>
                <w:sz w:val="20"/>
                <w:szCs w:val="20"/>
              </w:rPr>
              <w:t xml:space="preserve">≥ 95%</w:t>
            </w:r>
          </w:p>
        </w:tc>
      </w:tr>
      <w:tr>
        <w:tc>
          <w:tcPr>
            <w:tcW w:type="dxa" w:w="4400"/>
            <w:tcBorders>
              <w:top w:val="single" w:color="D8C9CB" w:sz="4"/>
              <w:left w:val="single" w:color="D8C9CB" w:sz="4"/>
              <w:bottom w:val="single" w:color="D8C9CB" w:sz="4"/>
              <w:right w:val="single" w:color="D8C9CB" w:sz="4"/>
            </w:tcBorders>
            <w:tcMar>
              <w:top w:type="dxa" w:w="80"/>
              <w:left w:type="dxa" w:w="120"/>
              <w:bottom w:type="dxa" w:w="80"/>
              <w:right w:type="dxa" w:w="120"/>
            </w:tcMar>
          </w:tcPr>
          <w:p>
            <w:pPr>
              <w:spacing w:after="0" w:before="0" w:line="260"/>
            </w:pPr>
            <w:r>
              <w:rPr>
                <w:rFonts w:ascii="Georgia" w:cs="Georgia" w:eastAsia="Georgia" w:hAnsi="Georgia"/>
                <w:b w:val="false"/>
                <w:bCs w:val="false"/>
                <w:color w:val="1D1D1D"/>
                <w:sz w:val="20"/>
                <w:szCs w:val="20"/>
              </w:rPr>
              <w:t xml:space="preserve">Interphase FISH on CD138-selected cells for the standard HRCA panel.</w:t>
            </w:r>
          </w:p>
        </w:tc>
        <w:tc>
          <w:tcPr>
            <w:tcW w:type="dxa" w:w="2800"/>
            <w:tcBorders>
              <w:top w:val="single" w:color="D8C9CB" w:sz="4"/>
              <w:left w:val="single" w:color="D8C9CB" w:sz="4"/>
              <w:bottom w:val="single" w:color="D8C9CB" w:sz="4"/>
              <w:right w:val="single" w:color="D8C9CB" w:sz="4"/>
            </w:tcBorders>
            <w:tcMar>
              <w:top w:type="dxa" w:w="80"/>
              <w:left w:type="dxa" w:w="120"/>
              <w:bottom w:type="dxa" w:w="80"/>
              <w:right w:type="dxa" w:w="120"/>
            </w:tcMar>
          </w:tcPr>
          <w:p>
            <w:pPr>
              <w:spacing w:after="0" w:before="0" w:line="260"/>
            </w:pPr>
            <w:r>
              <w:rPr>
                <w:rFonts w:ascii="Georgia" w:cs="Georgia" w:eastAsia="Georgia" w:hAnsi="Georgia"/>
                <w:b w:val="false"/>
                <w:bCs w:val="false"/>
                <w:color w:val="1D1D1D"/>
                <w:sz w:val="20"/>
                <w:szCs w:val="20"/>
              </w:rPr>
              <w:t xml:space="preserve">Cytogenetics records</w:t>
            </w:r>
          </w:p>
        </w:tc>
        <w:tc>
          <w:tcPr>
            <w:tcW w:type="dxa" w:w="1826"/>
            <w:tcBorders>
              <w:top w:val="single" w:color="D8C9CB" w:sz="4"/>
              <w:left w:val="single" w:color="D8C9CB" w:sz="4"/>
              <w:bottom w:val="single" w:color="D8C9CB" w:sz="4"/>
              <w:right w:val="single" w:color="D8C9CB" w:sz="4"/>
            </w:tcBorders>
            <w:tcMar>
              <w:top w:type="dxa" w:w="80"/>
              <w:left w:type="dxa" w:w="120"/>
              <w:bottom w:type="dxa" w:w="80"/>
              <w:right w:type="dxa" w:w="120"/>
            </w:tcMar>
          </w:tcPr>
          <w:p>
            <w:pPr>
              <w:spacing w:after="0" w:before="0" w:line="260"/>
            </w:pPr>
            <w:r>
              <w:rPr>
                <w:rFonts w:ascii="Georgia" w:cs="Georgia" w:eastAsia="Georgia" w:hAnsi="Georgia"/>
                <w:b w:val="false"/>
                <w:bCs w:val="false"/>
                <w:color w:val="1D1D1D"/>
                <w:sz w:val="20"/>
                <w:szCs w:val="20"/>
              </w:rPr>
              <w:t xml:space="preserve">≥ 90%</w:t>
            </w:r>
          </w:p>
        </w:tc>
      </w:tr>
      <w:tr>
        <w:tc>
          <w:tcPr>
            <w:tcW w:type="dxa" w:w="4400"/>
            <w:tcBorders>
              <w:top w:val="single" w:color="D8C9CB" w:sz="4"/>
              <w:left w:val="single" w:color="D8C9CB" w:sz="4"/>
              <w:bottom w:val="single" w:color="D8C9CB" w:sz="4"/>
              <w:right w:val="single" w:color="D8C9CB" w:sz="4"/>
            </w:tcBorders>
            <w:tcMar>
              <w:top w:type="dxa" w:w="80"/>
              <w:left w:type="dxa" w:w="120"/>
              <w:bottom w:type="dxa" w:w="80"/>
              <w:right w:type="dxa" w:w="120"/>
            </w:tcMar>
          </w:tcPr>
          <w:p>
            <w:pPr>
              <w:spacing w:after="0" w:before="0" w:line="260"/>
            </w:pPr>
            <w:r>
              <w:rPr>
                <w:rFonts w:ascii="Georgia" w:cs="Georgia" w:eastAsia="Georgia" w:hAnsi="Georgia"/>
                <w:b w:val="false"/>
                <w:bCs w:val="false"/>
                <w:color w:val="1D1D1D"/>
                <w:sz w:val="20"/>
                <w:szCs w:val="20"/>
              </w:rPr>
              <w:t xml:space="preserve">Tumour burden tests performed: β2-M, LDH, albumin.</w:t>
            </w:r>
          </w:p>
        </w:tc>
        <w:tc>
          <w:tcPr>
            <w:tcW w:type="dxa" w:w="2800"/>
            <w:tcBorders>
              <w:top w:val="single" w:color="D8C9CB" w:sz="4"/>
              <w:left w:val="single" w:color="D8C9CB" w:sz="4"/>
              <w:bottom w:val="single" w:color="D8C9CB" w:sz="4"/>
              <w:right w:val="single" w:color="D8C9CB" w:sz="4"/>
            </w:tcBorders>
            <w:tcMar>
              <w:top w:type="dxa" w:w="80"/>
              <w:left w:type="dxa" w:w="120"/>
              <w:bottom w:type="dxa" w:w="80"/>
              <w:right w:type="dxa" w:w="120"/>
            </w:tcMar>
          </w:tcPr>
          <w:p>
            <w:pPr>
              <w:spacing w:after="0" w:before="0" w:line="260"/>
            </w:pPr>
            <w:r>
              <w:rPr>
                <w:rFonts w:ascii="Georgia" w:cs="Georgia" w:eastAsia="Georgia" w:hAnsi="Georgia"/>
                <w:b w:val="false"/>
                <w:bCs w:val="false"/>
                <w:color w:val="1D1D1D"/>
                <w:sz w:val="20"/>
                <w:szCs w:val="20"/>
              </w:rPr>
              <w:t xml:space="preserve">Laboratory records</w:t>
            </w:r>
          </w:p>
        </w:tc>
        <w:tc>
          <w:tcPr>
            <w:tcW w:type="dxa" w:w="1826"/>
            <w:tcBorders>
              <w:top w:val="single" w:color="D8C9CB" w:sz="4"/>
              <w:left w:val="single" w:color="D8C9CB" w:sz="4"/>
              <w:bottom w:val="single" w:color="D8C9CB" w:sz="4"/>
              <w:right w:val="single" w:color="D8C9CB" w:sz="4"/>
            </w:tcBorders>
            <w:tcMar>
              <w:top w:type="dxa" w:w="80"/>
              <w:left w:type="dxa" w:w="120"/>
              <w:bottom w:type="dxa" w:w="80"/>
              <w:right w:type="dxa" w:w="120"/>
            </w:tcMar>
          </w:tcPr>
          <w:p>
            <w:pPr>
              <w:spacing w:after="0" w:before="0" w:line="260"/>
            </w:pPr>
            <w:r>
              <w:rPr>
                <w:rFonts w:ascii="Georgia" w:cs="Georgia" w:eastAsia="Georgia" w:hAnsi="Georgia"/>
                <w:b w:val="false"/>
                <w:bCs w:val="false"/>
                <w:color w:val="1D1D1D"/>
                <w:sz w:val="20"/>
                <w:szCs w:val="20"/>
              </w:rPr>
              <w:t xml:space="preserve">≥ 95%</w:t>
            </w:r>
          </w:p>
        </w:tc>
      </w:tr>
      <w:tr>
        <w:tc>
          <w:tcPr>
            <w:tcW w:type="dxa" w:w="4400"/>
            <w:tcBorders>
              <w:top w:val="single" w:color="D8C9CB" w:sz="4"/>
              <w:left w:val="single" w:color="D8C9CB" w:sz="4"/>
              <w:bottom w:val="single" w:color="D8C9CB" w:sz="4"/>
              <w:right w:val="single" w:color="D8C9CB" w:sz="4"/>
            </w:tcBorders>
            <w:tcMar>
              <w:top w:type="dxa" w:w="80"/>
              <w:left w:type="dxa" w:w="120"/>
              <w:bottom w:type="dxa" w:w="80"/>
              <w:right w:type="dxa" w:w="120"/>
            </w:tcMar>
          </w:tcPr>
          <w:p>
            <w:pPr>
              <w:spacing w:after="0" w:before="0" w:line="260"/>
            </w:pPr>
            <w:r>
              <w:rPr>
                <w:rFonts w:ascii="Georgia" w:cs="Georgia" w:eastAsia="Georgia" w:hAnsi="Georgia"/>
                <w:b w:val="false"/>
                <w:bCs w:val="false"/>
                <w:color w:val="1D1D1D"/>
                <w:sz w:val="20"/>
                <w:szCs w:val="20"/>
              </w:rPr>
              <w:t xml:space="preserve">Renal biopsy performed where MM suspected as renal cause and SFLC below 500 mg/L.</w:t>
            </w:r>
          </w:p>
        </w:tc>
        <w:tc>
          <w:tcPr>
            <w:tcW w:type="dxa" w:w="2800"/>
            <w:tcBorders>
              <w:top w:val="single" w:color="D8C9CB" w:sz="4"/>
              <w:left w:val="single" w:color="D8C9CB" w:sz="4"/>
              <w:bottom w:val="single" w:color="D8C9CB" w:sz="4"/>
              <w:right w:val="single" w:color="D8C9CB" w:sz="4"/>
            </w:tcBorders>
            <w:tcMar>
              <w:top w:type="dxa" w:w="80"/>
              <w:left w:type="dxa" w:w="120"/>
              <w:bottom w:type="dxa" w:w="80"/>
              <w:right w:type="dxa" w:w="120"/>
            </w:tcMar>
          </w:tcPr>
          <w:p>
            <w:pPr>
              <w:spacing w:after="0" w:before="0" w:line="260"/>
            </w:pPr>
            <w:r>
              <w:rPr>
                <w:rFonts w:ascii="Georgia" w:cs="Georgia" w:eastAsia="Georgia" w:hAnsi="Georgia"/>
                <w:b w:val="false"/>
                <w:bCs w:val="false"/>
                <w:color w:val="1D1D1D"/>
                <w:sz w:val="20"/>
                <w:szCs w:val="20"/>
              </w:rPr>
              <w:t xml:space="preserve">Renal records</w:t>
            </w:r>
          </w:p>
        </w:tc>
        <w:tc>
          <w:tcPr>
            <w:tcW w:type="dxa" w:w="1826"/>
            <w:tcBorders>
              <w:top w:val="single" w:color="D8C9CB" w:sz="4"/>
              <w:left w:val="single" w:color="D8C9CB" w:sz="4"/>
              <w:bottom w:val="single" w:color="D8C9CB" w:sz="4"/>
              <w:right w:val="single" w:color="D8C9CB" w:sz="4"/>
            </w:tcBorders>
            <w:tcMar>
              <w:top w:type="dxa" w:w="80"/>
              <w:left w:type="dxa" w:w="120"/>
              <w:bottom w:type="dxa" w:w="80"/>
              <w:right w:type="dxa" w:w="120"/>
            </w:tcMar>
          </w:tcPr>
          <w:p>
            <w:pPr>
              <w:spacing w:after="0" w:before="0" w:line="260"/>
            </w:pPr>
            <w:r>
              <w:rPr>
                <w:rFonts w:ascii="Georgia" w:cs="Georgia" w:eastAsia="Georgia" w:hAnsi="Georgia"/>
                <w:b w:val="false"/>
                <w:bCs w:val="false"/>
                <w:color w:val="1D1D1D"/>
                <w:sz w:val="20"/>
                <w:szCs w:val="20"/>
              </w:rPr>
              <w:t xml:space="preserve">≥ 80%</w:t>
            </w:r>
          </w:p>
        </w:tc>
      </w:tr>
      <w:tr>
        <w:tc>
          <w:tcPr>
            <w:tcW w:type="dxa" w:w="4400"/>
            <w:tcBorders>
              <w:top w:val="single" w:color="D8C9CB" w:sz="4"/>
              <w:left w:val="single" w:color="D8C9CB" w:sz="4"/>
              <w:bottom w:val="single" w:color="D8C9CB" w:sz="4"/>
              <w:right w:val="single" w:color="D8C9CB" w:sz="4"/>
            </w:tcBorders>
            <w:tcMar>
              <w:top w:type="dxa" w:w="80"/>
              <w:left w:type="dxa" w:w="120"/>
              <w:bottom w:type="dxa" w:w="80"/>
              <w:right w:type="dxa" w:w="120"/>
            </w:tcMar>
          </w:tcPr>
          <w:p>
            <w:pPr>
              <w:spacing w:after="0" w:before="0" w:line="260"/>
            </w:pPr>
            <w:r>
              <w:rPr>
                <w:rFonts w:ascii="Georgia" w:cs="Georgia" w:eastAsia="Georgia" w:hAnsi="Georgia"/>
                <w:b w:val="false"/>
                <w:bCs w:val="false"/>
                <w:color w:val="1D1D1D"/>
                <w:sz w:val="20"/>
                <w:szCs w:val="20"/>
              </w:rPr>
              <w:t xml:space="preserve">Cases discussed at MDT.</w:t>
            </w:r>
          </w:p>
        </w:tc>
        <w:tc>
          <w:tcPr>
            <w:tcW w:type="dxa" w:w="2800"/>
            <w:tcBorders>
              <w:top w:val="single" w:color="D8C9CB" w:sz="4"/>
              <w:left w:val="single" w:color="D8C9CB" w:sz="4"/>
              <w:bottom w:val="single" w:color="D8C9CB" w:sz="4"/>
              <w:right w:val="single" w:color="D8C9CB" w:sz="4"/>
            </w:tcBorders>
            <w:tcMar>
              <w:top w:type="dxa" w:w="80"/>
              <w:left w:type="dxa" w:w="120"/>
              <w:bottom w:type="dxa" w:w="80"/>
              <w:right w:type="dxa" w:w="120"/>
            </w:tcMar>
          </w:tcPr>
          <w:p>
            <w:pPr>
              <w:spacing w:after="0" w:before="0" w:line="260"/>
            </w:pPr>
            <w:r>
              <w:rPr>
                <w:rFonts w:ascii="Georgia" w:cs="Georgia" w:eastAsia="Georgia" w:hAnsi="Georgia"/>
                <w:b w:val="false"/>
                <w:bCs w:val="false"/>
                <w:color w:val="1D1D1D"/>
                <w:sz w:val="20"/>
                <w:szCs w:val="20"/>
              </w:rPr>
              <w:t xml:space="preserve">MDT records</w:t>
            </w:r>
          </w:p>
        </w:tc>
        <w:tc>
          <w:tcPr>
            <w:tcW w:type="dxa" w:w="1826"/>
            <w:tcBorders>
              <w:top w:val="single" w:color="D8C9CB" w:sz="4"/>
              <w:left w:val="single" w:color="D8C9CB" w:sz="4"/>
              <w:bottom w:val="single" w:color="D8C9CB" w:sz="4"/>
              <w:right w:val="single" w:color="D8C9CB" w:sz="4"/>
            </w:tcBorders>
            <w:tcMar>
              <w:top w:type="dxa" w:w="80"/>
              <w:left w:type="dxa" w:w="120"/>
              <w:bottom w:type="dxa" w:w="80"/>
              <w:right w:type="dxa" w:w="120"/>
            </w:tcMar>
          </w:tcPr>
          <w:p>
            <w:pPr>
              <w:spacing w:after="0" w:before="0" w:line="260"/>
            </w:pPr>
            <w:r>
              <w:rPr>
                <w:rFonts w:ascii="Georgia" w:cs="Georgia" w:eastAsia="Georgia" w:hAnsi="Georgia"/>
                <w:b w:val="false"/>
                <w:bCs w:val="false"/>
                <w:color w:val="1D1D1D"/>
                <w:sz w:val="20"/>
                <w:szCs w:val="20"/>
              </w:rPr>
              <w:t xml:space="preserve">100%</w:t>
            </w:r>
          </w:p>
        </w:tc>
      </w:tr>
      <w:tr>
        <w:tc>
          <w:tcPr>
            <w:tcW w:type="dxa" w:w="4400"/>
            <w:tcBorders>
              <w:top w:val="single" w:color="D8C9CB" w:sz="4"/>
              <w:left w:val="single" w:color="D8C9CB" w:sz="4"/>
              <w:bottom w:val="single" w:color="D8C9CB" w:sz="4"/>
              <w:right w:val="single" w:color="D8C9CB" w:sz="4"/>
            </w:tcBorders>
            <w:tcMar>
              <w:top w:type="dxa" w:w="80"/>
              <w:left w:type="dxa" w:w="120"/>
              <w:bottom w:type="dxa" w:w="80"/>
              <w:right w:type="dxa" w:w="120"/>
            </w:tcMar>
          </w:tcPr>
          <w:p>
            <w:pPr>
              <w:spacing w:after="0" w:before="0" w:line="260"/>
            </w:pPr>
            <w:r>
              <w:rPr>
                <w:rFonts w:ascii="Georgia" w:cs="Georgia" w:eastAsia="Georgia" w:hAnsi="Georgia"/>
                <w:b w:val="false"/>
                <w:bCs w:val="false"/>
                <w:color w:val="1D1D1D"/>
                <w:sz w:val="20"/>
                <w:szCs w:val="20"/>
              </w:rPr>
              <w:t xml:space="preserve">Risk stratification uses Mayo 20-2-20 (2018) or IMWG 2020.</w:t>
            </w:r>
          </w:p>
        </w:tc>
        <w:tc>
          <w:tcPr>
            <w:tcW w:type="dxa" w:w="2800"/>
            <w:tcBorders>
              <w:top w:val="single" w:color="D8C9CB" w:sz="4"/>
              <w:left w:val="single" w:color="D8C9CB" w:sz="4"/>
              <w:bottom w:val="single" w:color="D8C9CB" w:sz="4"/>
              <w:right w:val="single" w:color="D8C9CB" w:sz="4"/>
            </w:tcBorders>
            <w:tcMar>
              <w:top w:type="dxa" w:w="80"/>
              <w:left w:type="dxa" w:w="120"/>
              <w:bottom w:type="dxa" w:w="80"/>
              <w:right w:type="dxa" w:w="120"/>
            </w:tcMar>
          </w:tcPr>
          <w:p>
            <w:pPr>
              <w:spacing w:after="0" w:before="0" w:line="260"/>
            </w:pPr>
            <w:r>
              <w:rPr>
                <w:rFonts w:ascii="Georgia" w:cs="Georgia" w:eastAsia="Georgia" w:hAnsi="Georgia"/>
                <w:b w:val="false"/>
                <w:bCs w:val="false"/>
                <w:color w:val="1D1D1D"/>
                <w:sz w:val="20"/>
                <w:szCs w:val="20"/>
              </w:rPr>
              <w:t xml:space="preserve">Clinic letters</w:t>
            </w:r>
          </w:p>
        </w:tc>
        <w:tc>
          <w:tcPr>
            <w:tcW w:type="dxa" w:w="1826"/>
            <w:tcBorders>
              <w:top w:val="single" w:color="D8C9CB" w:sz="4"/>
              <w:left w:val="single" w:color="D8C9CB" w:sz="4"/>
              <w:bottom w:val="single" w:color="D8C9CB" w:sz="4"/>
              <w:right w:val="single" w:color="D8C9CB" w:sz="4"/>
            </w:tcBorders>
            <w:tcMar>
              <w:top w:type="dxa" w:w="80"/>
              <w:left w:type="dxa" w:w="120"/>
              <w:bottom w:type="dxa" w:w="80"/>
              <w:right w:type="dxa" w:w="120"/>
            </w:tcMar>
          </w:tcPr>
          <w:p>
            <w:pPr>
              <w:spacing w:after="0" w:before="0" w:line="260"/>
            </w:pPr>
            <w:r>
              <w:rPr>
                <w:rFonts w:ascii="Georgia" w:cs="Georgia" w:eastAsia="Georgia" w:hAnsi="Georgia"/>
                <w:b w:val="false"/>
                <w:bCs w:val="false"/>
                <w:color w:val="1D1D1D"/>
                <w:sz w:val="20"/>
                <w:szCs w:val="20"/>
              </w:rPr>
              <w:t xml:space="preserve">≥ 95%</w:t>
            </w:r>
          </w:p>
        </w:tc>
      </w:tr>
      <w:tr>
        <w:tc>
          <w:tcPr>
            <w:tcW w:type="dxa" w:w="4400"/>
            <w:tcBorders>
              <w:top w:val="single" w:color="D8C9CB" w:sz="4"/>
              <w:left w:val="single" w:color="D8C9CB" w:sz="4"/>
              <w:bottom w:val="single" w:color="D8C9CB" w:sz="4"/>
              <w:right w:val="single" w:color="D8C9CB" w:sz="4"/>
            </w:tcBorders>
            <w:tcMar>
              <w:top w:type="dxa" w:w="80"/>
              <w:left w:type="dxa" w:w="120"/>
              <w:bottom w:type="dxa" w:w="80"/>
              <w:right w:type="dxa" w:w="120"/>
            </w:tcMar>
          </w:tcPr>
          <w:p>
            <w:pPr>
              <w:spacing w:after="0" w:before="0" w:line="260"/>
            </w:pPr>
            <w:r>
              <w:rPr>
                <w:rFonts w:ascii="Georgia" w:cs="Georgia" w:eastAsia="Georgia" w:hAnsi="Georgia"/>
                <w:b w:val="false"/>
                <w:bCs w:val="false"/>
                <w:color w:val="1D1D1D"/>
                <w:sz w:val="20"/>
                <w:szCs w:val="20"/>
              </w:rPr>
              <w:t xml:space="preserve">Patients with evolving disease are re-staged.</w:t>
            </w:r>
          </w:p>
        </w:tc>
        <w:tc>
          <w:tcPr>
            <w:tcW w:type="dxa" w:w="2800"/>
            <w:tcBorders>
              <w:top w:val="single" w:color="D8C9CB" w:sz="4"/>
              <w:left w:val="single" w:color="D8C9CB" w:sz="4"/>
              <w:bottom w:val="single" w:color="D8C9CB" w:sz="4"/>
              <w:right w:val="single" w:color="D8C9CB" w:sz="4"/>
            </w:tcBorders>
            <w:tcMar>
              <w:top w:type="dxa" w:w="80"/>
              <w:left w:type="dxa" w:w="120"/>
              <w:bottom w:type="dxa" w:w="80"/>
              <w:right w:type="dxa" w:w="120"/>
            </w:tcMar>
          </w:tcPr>
          <w:p>
            <w:pPr>
              <w:spacing w:after="0" w:before="0" w:line="260"/>
            </w:pPr>
            <w:r>
              <w:rPr>
                <w:rFonts w:ascii="Georgia" w:cs="Georgia" w:eastAsia="Georgia" w:hAnsi="Georgia"/>
                <w:b w:val="false"/>
                <w:bCs w:val="false"/>
                <w:color w:val="1D1D1D"/>
                <w:sz w:val="20"/>
                <w:szCs w:val="20"/>
              </w:rPr>
              <w:t xml:space="preserve">Clinic letters</w:t>
            </w:r>
          </w:p>
        </w:tc>
        <w:tc>
          <w:tcPr>
            <w:tcW w:type="dxa" w:w="1826"/>
            <w:tcBorders>
              <w:top w:val="single" w:color="D8C9CB" w:sz="4"/>
              <w:left w:val="single" w:color="D8C9CB" w:sz="4"/>
              <w:bottom w:val="single" w:color="D8C9CB" w:sz="4"/>
              <w:right w:val="single" w:color="D8C9CB" w:sz="4"/>
            </w:tcBorders>
            <w:tcMar>
              <w:top w:type="dxa" w:w="80"/>
              <w:left w:type="dxa" w:w="120"/>
              <w:bottom w:type="dxa" w:w="80"/>
              <w:right w:type="dxa" w:w="120"/>
            </w:tcMar>
          </w:tcPr>
          <w:p>
            <w:pPr>
              <w:spacing w:after="0" w:before="0" w:line="260"/>
            </w:pPr>
            <w:r>
              <w:rPr>
                <w:rFonts w:ascii="Georgia" w:cs="Georgia" w:eastAsia="Georgia" w:hAnsi="Georgia"/>
                <w:b w:val="false"/>
                <w:bCs w:val="false"/>
                <w:color w:val="1D1D1D"/>
                <w:sz w:val="20"/>
                <w:szCs w:val="20"/>
              </w:rPr>
              <w:t xml:space="preserve">≥ 90%</w:t>
            </w:r>
          </w:p>
        </w:tc>
      </w:tr>
      <w:tr>
        <w:tc>
          <w:tcPr>
            <w:tcW w:type="dxa" w:w="4400"/>
            <w:tcBorders>
              <w:top w:val="single" w:color="D8C9CB" w:sz="4"/>
              <w:left w:val="single" w:color="D8C9CB" w:sz="4"/>
              <w:bottom w:val="single" w:color="D8C9CB" w:sz="4"/>
              <w:right w:val="single" w:color="D8C9CB" w:sz="4"/>
            </w:tcBorders>
            <w:tcMar>
              <w:top w:type="dxa" w:w="80"/>
              <w:left w:type="dxa" w:w="120"/>
              <w:bottom w:type="dxa" w:w="80"/>
              <w:right w:type="dxa" w:w="120"/>
            </w:tcMar>
          </w:tcPr>
          <w:p>
            <w:pPr>
              <w:spacing w:after="0" w:before="0" w:line="260"/>
            </w:pPr>
            <w:r>
              <w:rPr>
                <w:rFonts w:ascii="Georgia" w:cs="Georgia" w:eastAsia="Georgia" w:hAnsi="Georgia"/>
                <w:b w:val="false"/>
                <w:bCs w:val="false"/>
                <w:color w:val="1D1D1D"/>
                <w:sz w:val="20"/>
                <w:szCs w:val="20"/>
              </w:rPr>
              <w:t xml:space="preserve">Vaccinations recorded and offered per BSH/UK DoH guidance.</w:t>
            </w:r>
          </w:p>
        </w:tc>
        <w:tc>
          <w:tcPr>
            <w:tcW w:type="dxa" w:w="2800"/>
            <w:tcBorders>
              <w:top w:val="single" w:color="D8C9CB" w:sz="4"/>
              <w:left w:val="single" w:color="D8C9CB" w:sz="4"/>
              <w:bottom w:val="single" w:color="D8C9CB" w:sz="4"/>
              <w:right w:val="single" w:color="D8C9CB" w:sz="4"/>
            </w:tcBorders>
            <w:tcMar>
              <w:top w:type="dxa" w:w="80"/>
              <w:left w:type="dxa" w:w="120"/>
              <w:bottom w:type="dxa" w:w="80"/>
              <w:right w:type="dxa" w:w="120"/>
            </w:tcMar>
          </w:tcPr>
          <w:p>
            <w:pPr>
              <w:spacing w:after="0" w:before="0" w:line="260"/>
            </w:pPr>
            <w:r>
              <w:rPr>
                <w:rFonts w:ascii="Georgia" w:cs="Georgia" w:eastAsia="Georgia" w:hAnsi="Georgia"/>
                <w:b w:val="false"/>
                <w:bCs w:val="false"/>
                <w:color w:val="1D1D1D"/>
                <w:sz w:val="20"/>
                <w:szCs w:val="20"/>
              </w:rPr>
              <w:t xml:space="preserve">Vaccination records</w:t>
            </w:r>
          </w:p>
        </w:tc>
        <w:tc>
          <w:tcPr>
            <w:tcW w:type="dxa" w:w="1826"/>
            <w:tcBorders>
              <w:top w:val="single" w:color="D8C9CB" w:sz="4"/>
              <w:left w:val="single" w:color="D8C9CB" w:sz="4"/>
              <w:bottom w:val="single" w:color="D8C9CB" w:sz="4"/>
              <w:right w:val="single" w:color="D8C9CB" w:sz="4"/>
            </w:tcBorders>
            <w:tcMar>
              <w:top w:type="dxa" w:w="80"/>
              <w:left w:type="dxa" w:w="120"/>
              <w:bottom w:type="dxa" w:w="80"/>
              <w:right w:type="dxa" w:w="120"/>
            </w:tcMar>
          </w:tcPr>
          <w:p>
            <w:pPr>
              <w:spacing w:after="0" w:before="0" w:line="260"/>
            </w:pPr>
            <w:r>
              <w:rPr>
                <w:rFonts w:ascii="Georgia" w:cs="Georgia" w:eastAsia="Georgia" w:hAnsi="Georgia"/>
                <w:b w:val="false"/>
                <w:bCs w:val="false"/>
                <w:color w:val="1D1D1D"/>
                <w:sz w:val="20"/>
                <w:szCs w:val="20"/>
              </w:rPr>
              <w:t xml:space="preserve">≥ 90%</w:t>
            </w:r>
          </w:p>
        </w:tc>
      </w:tr>
      <w:tr>
        <w:tc>
          <w:tcPr>
            <w:tcW w:type="dxa" w:w="4400"/>
            <w:tcBorders>
              <w:top w:val="single" w:color="D8C9CB" w:sz="4"/>
              <w:left w:val="single" w:color="D8C9CB" w:sz="4"/>
              <w:bottom w:val="single" w:color="D8C9CB" w:sz="4"/>
              <w:right w:val="single" w:color="D8C9CB" w:sz="4"/>
            </w:tcBorders>
            <w:tcMar>
              <w:top w:type="dxa" w:w="80"/>
              <w:left w:type="dxa" w:w="120"/>
              <w:bottom w:type="dxa" w:w="80"/>
              <w:right w:type="dxa" w:w="120"/>
            </w:tcMar>
          </w:tcPr>
          <w:p>
            <w:pPr>
              <w:spacing w:after="0" w:before="0" w:line="260"/>
            </w:pPr>
            <w:r>
              <w:rPr>
                <w:rFonts w:ascii="Georgia" w:cs="Georgia" w:eastAsia="Georgia" w:hAnsi="Georgia"/>
                <w:b w:val="false"/>
                <w:bCs w:val="false"/>
                <w:color w:val="1D1D1D"/>
                <w:sz w:val="20"/>
                <w:szCs w:val="20"/>
              </w:rPr>
              <w:t xml:space="preserve">Monitoring schedules matched to risk group.</w:t>
            </w:r>
          </w:p>
        </w:tc>
        <w:tc>
          <w:tcPr>
            <w:tcW w:type="dxa" w:w="2800"/>
            <w:tcBorders>
              <w:top w:val="single" w:color="D8C9CB" w:sz="4"/>
              <w:left w:val="single" w:color="D8C9CB" w:sz="4"/>
              <w:bottom w:val="single" w:color="D8C9CB" w:sz="4"/>
              <w:right w:val="single" w:color="D8C9CB" w:sz="4"/>
            </w:tcBorders>
            <w:tcMar>
              <w:top w:type="dxa" w:w="80"/>
              <w:left w:type="dxa" w:w="120"/>
              <w:bottom w:type="dxa" w:w="80"/>
              <w:right w:type="dxa" w:w="120"/>
            </w:tcMar>
          </w:tcPr>
          <w:p>
            <w:pPr>
              <w:spacing w:after="0" w:before="0" w:line="260"/>
            </w:pPr>
            <w:r>
              <w:rPr>
                <w:rFonts w:ascii="Georgia" w:cs="Georgia" w:eastAsia="Georgia" w:hAnsi="Georgia"/>
                <w:b w:val="false"/>
                <w:bCs w:val="false"/>
                <w:color w:val="1D1D1D"/>
                <w:sz w:val="20"/>
                <w:szCs w:val="20"/>
              </w:rPr>
              <w:t xml:space="preserve">Clinic letters</w:t>
            </w:r>
          </w:p>
        </w:tc>
        <w:tc>
          <w:tcPr>
            <w:tcW w:type="dxa" w:w="1826"/>
            <w:tcBorders>
              <w:top w:val="single" w:color="D8C9CB" w:sz="4"/>
              <w:left w:val="single" w:color="D8C9CB" w:sz="4"/>
              <w:bottom w:val="single" w:color="D8C9CB" w:sz="4"/>
              <w:right w:val="single" w:color="D8C9CB" w:sz="4"/>
            </w:tcBorders>
            <w:tcMar>
              <w:top w:type="dxa" w:w="80"/>
              <w:left w:type="dxa" w:w="120"/>
              <w:bottom w:type="dxa" w:w="80"/>
              <w:right w:type="dxa" w:w="120"/>
            </w:tcMar>
          </w:tcPr>
          <w:p>
            <w:pPr>
              <w:spacing w:after="0" w:before="0" w:line="260"/>
            </w:pPr>
            <w:r>
              <w:rPr>
                <w:rFonts w:ascii="Georgia" w:cs="Georgia" w:eastAsia="Georgia" w:hAnsi="Georgia"/>
                <w:b w:val="false"/>
                <w:bCs w:val="false"/>
                <w:color w:val="1D1D1D"/>
                <w:sz w:val="20"/>
                <w:szCs w:val="20"/>
              </w:rPr>
              <w:t xml:space="preserve">≥ 90%</w:t>
            </w:r>
          </w:p>
        </w:tc>
      </w:tr>
    </w:tbl>
    <w:p>
      <w:pPr>
        <w:spacing w:after="80" w:before="180"/>
      </w:pPr>
      <w:r>
        <w:rPr>
          <w:rFonts w:ascii="Georgia" w:cs="Georgia" w:eastAsia="Georgia" w:hAnsi="Georgia"/>
          <w:b/>
          <w:bCs/>
          <w:color w:val="1D1D1D"/>
          <w:sz w:val="24"/>
          <w:szCs w:val="24"/>
        </w:rPr>
        <w:t xml:space="preserve">NDMM and relapsed-disease audit standards (BSH/UKMS 2024–2025 derived)</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400"/>
        <w:gridCol w:w="2800"/>
        <w:gridCol w:w="1826"/>
      </w:tblGrid>
      <w:tr>
        <w:trPr>
          <w:tblHeader/>
        </w:trPr>
        <w:tc>
          <w:tcPr>
            <w:tcW w:type="dxa" w:w="4400"/>
            <w:tcBorders>
              <w:top w:val="single" w:color="D8C9CB" w:sz="4"/>
              <w:left w:val="single" w:color="D8C9CB" w:sz="4"/>
              <w:bottom w:val="single" w:color="D8C9CB" w:sz="4"/>
              <w:right w:val="single" w:color="D8C9CB" w:sz="4"/>
            </w:tcBorders>
            <w:shd w:fill="F5E9EB" w:val="clear"/>
            <w:tcMar>
              <w:top w:type="dxa" w:w="80"/>
              <w:left w:type="dxa" w:w="120"/>
              <w:bottom w:type="dxa" w:w="80"/>
              <w:right w:type="dxa" w:w="120"/>
            </w:tcMar>
          </w:tcPr>
          <w:p>
            <w:pPr>
              <w:spacing w:after="0" w:before="0" w:line="260"/>
            </w:pPr>
            <w:r>
              <w:rPr>
                <w:rFonts w:ascii="Georgia" w:cs="Georgia" w:eastAsia="Georgia" w:hAnsi="Georgia"/>
                <w:b/>
                <w:bCs/>
                <w:color w:val="7A1F2B"/>
                <w:sz w:val="20"/>
                <w:szCs w:val="20"/>
              </w:rPr>
              <w:t xml:space="preserve">Standard</w:t>
            </w:r>
          </w:p>
        </w:tc>
        <w:tc>
          <w:tcPr>
            <w:tcW w:type="dxa" w:w="2800"/>
            <w:tcBorders>
              <w:top w:val="single" w:color="D8C9CB" w:sz="4"/>
              <w:left w:val="single" w:color="D8C9CB" w:sz="4"/>
              <w:bottom w:val="single" w:color="D8C9CB" w:sz="4"/>
              <w:right w:val="single" w:color="D8C9CB" w:sz="4"/>
            </w:tcBorders>
            <w:shd w:fill="F5E9EB" w:val="clear"/>
            <w:tcMar>
              <w:top w:type="dxa" w:w="80"/>
              <w:left w:type="dxa" w:w="120"/>
              <w:bottom w:type="dxa" w:w="80"/>
              <w:right w:type="dxa" w:w="120"/>
            </w:tcMar>
          </w:tcPr>
          <w:p>
            <w:pPr>
              <w:spacing w:after="0" w:before="0" w:line="260"/>
            </w:pPr>
            <w:r>
              <w:rPr>
                <w:rFonts w:ascii="Georgia" w:cs="Georgia" w:eastAsia="Georgia" w:hAnsi="Georgia"/>
                <w:b/>
                <w:bCs/>
                <w:color w:val="7A1F2B"/>
                <w:sz w:val="20"/>
                <w:szCs w:val="20"/>
              </w:rPr>
              <w:t xml:space="preserve">Data source</w:t>
            </w:r>
          </w:p>
        </w:tc>
        <w:tc>
          <w:tcPr>
            <w:tcW w:type="dxa" w:w="1826"/>
            <w:tcBorders>
              <w:top w:val="single" w:color="D8C9CB" w:sz="4"/>
              <w:left w:val="single" w:color="D8C9CB" w:sz="4"/>
              <w:bottom w:val="single" w:color="D8C9CB" w:sz="4"/>
              <w:right w:val="single" w:color="D8C9CB" w:sz="4"/>
            </w:tcBorders>
            <w:shd w:fill="F5E9EB" w:val="clear"/>
            <w:tcMar>
              <w:top w:type="dxa" w:w="80"/>
              <w:left w:type="dxa" w:w="120"/>
              <w:bottom w:type="dxa" w:w="80"/>
              <w:right w:type="dxa" w:w="120"/>
            </w:tcMar>
          </w:tcPr>
          <w:p>
            <w:pPr>
              <w:spacing w:after="0" w:before="0" w:line="260"/>
            </w:pPr>
            <w:r>
              <w:rPr>
                <w:rFonts w:ascii="Georgia" w:cs="Georgia" w:eastAsia="Georgia" w:hAnsi="Georgia"/>
                <w:b/>
                <w:bCs/>
                <w:color w:val="7A1F2B"/>
                <w:sz w:val="20"/>
                <w:szCs w:val="20"/>
              </w:rPr>
              <w:t xml:space="preserve">Target</w:t>
            </w:r>
          </w:p>
        </w:tc>
      </w:tr>
      <w:tr>
        <w:tc>
          <w:tcPr>
            <w:tcW w:type="dxa" w:w="4400"/>
            <w:tcBorders>
              <w:top w:val="single" w:color="D8C9CB" w:sz="4"/>
              <w:left w:val="single" w:color="D8C9CB" w:sz="4"/>
              <w:bottom w:val="single" w:color="D8C9CB" w:sz="4"/>
              <w:right w:val="single" w:color="D8C9CB" w:sz="4"/>
            </w:tcBorders>
            <w:tcMar>
              <w:top w:type="dxa" w:w="80"/>
              <w:left w:type="dxa" w:w="120"/>
              <w:bottom w:type="dxa" w:w="80"/>
              <w:right w:type="dxa" w:w="120"/>
            </w:tcMar>
          </w:tcPr>
          <w:p>
            <w:pPr>
              <w:spacing w:after="0" w:before="0" w:line="260"/>
            </w:pPr>
            <w:r>
              <w:rPr>
                <w:rFonts w:ascii="Georgia" w:cs="Georgia" w:eastAsia="Georgia" w:hAnsi="Georgia"/>
                <w:b w:val="false"/>
                <w:bCs w:val="false"/>
                <w:color w:val="1D1D1D"/>
                <w:sz w:val="20"/>
                <w:szCs w:val="20"/>
              </w:rPr>
              <w:t xml:space="preserve">Complete NDMM diagnostic workup including FISH, β2M, albumin, LDH, imaging and MDT.</w:t>
            </w:r>
          </w:p>
        </w:tc>
        <w:tc>
          <w:tcPr>
            <w:tcW w:type="dxa" w:w="2800"/>
            <w:tcBorders>
              <w:top w:val="single" w:color="D8C9CB" w:sz="4"/>
              <w:left w:val="single" w:color="D8C9CB" w:sz="4"/>
              <w:bottom w:val="single" w:color="D8C9CB" w:sz="4"/>
              <w:right w:val="single" w:color="D8C9CB" w:sz="4"/>
            </w:tcBorders>
            <w:tcMar>
              <w:top w:type="dxa" w:w="80"/>
              <w:left w:type="dxa" w:w="120"/>
              <w:bottom w:type="dxa" w:w="80"/>
              <w:right w:type="dxa" w:w="120"/>
            </w:tcMar>
          </w:tcPr>
          <w:p>
            <w:pPr>
              <w:spacing w:after="0" w:before="0" w:line="260"/>
            </w:pPr>
            <w:r>
              <w:rPr>
                <w:rFonts w:ascii="Georgia" w:cs="Georgia" w:eastAsia="Georgia" w:hAnsi="Georgia"/>
                <w:b w:val="false"/>
                <w:bCs w:val="false"/>
                <w:color w:val="1D1D1D"/>
                <w:sz w:val="20"/>
                <w:szCs w:val="20"/>
              </w:rPr>
              <w:t xml:space="preserve">MDT records, clinic letters</w:t>
            </w:r>
          </w:p>
        </w:tc>
        <w:tc>
          <w:tcPr>
            <w:tcW w:type="dxa" w:w="1826"/>
            <w:tcBorders>
              <w:top w:val="single" w:color="D8C9CB" w:sz="4"/>
              <w:left w:val="single" w:color="D8C9CB" w:sz="4"/>
              <w:bottom w:val="single" w:color="D8C9CB" w:sz="4"/>
              <w:right w:val="single" w:color="D8C9CB" w:sz="4"/>
            </w:tcBorders>
            <w:tcMar>
              <w:top w:type="dxa" w:w="80"/>
              <w:left w:type="dxa" w:w="120"/>
              <w:bottom w:type="dxa" w:w="80"/>
              <w:right w:type="dxa" w:w="120"/>
            </w:tcMar>
          </w:tcPr>
          <w:p>
            <w:pPr>
              <w:spacing w:after="0" w:before="0" w:line="260"/>
            </w:pPr>
            <w:r>
              <w:rPr>
                <w:rFonts w:ascii="Georgia" w:cs="Georgia" w:eastAsia="Georgia" w:hAnsi="Georgia"/>
                <w:b w:val="false"/>
                <w:bCs w:val="false"/>
                <w:color w:val="1D1D1D"/>
                <w:sz w:val="20"/>
                <w:szCs w:val="20"/>
              </w:rPr>
              <w:t xml:space="preserve">≥ 95%</w:t>
            </w:r>
          </w:p>
        </w:tc>
      </w:tr>
      <w:tr>
        <w:tc>
          <w:tcPr>
            <w:tcW w:type="dxa" w:w="4400"/>
            <w:tcBorders>
              <w:top w:val="single" w:color="D8C9CB" w:sz="4"/>
              <w:left w:val="single" w:color="D8C9CB" w:sz="4"/>
              <w:bottom w:val="single" w:color="D8C9CB" w:sz="4"/>
              <w:right w:val="single" w:color="D8C9CB" w:sz="4"/>
            </w:tcBorders>
            <w:tcMar>
              <w:top w:type="dxa" w:w="80"/>
              <w:left w:type="dxa" w:w="120"/>
              <w:bottom w:type="dxa" w:w="80"/>
              <w:right w:type="dxa" w:w="120"/>
            </w:tcMar>
          </w:tcPr>
          <w:p>
            <w:pPr>
              <w:spacing w:after="0" w:before="0" w:line="260"/>
            </w:pPr>
            <w:r>
              <w:rPr>
                <w:rFonts w:ascii="Georgia" w:cs="Georgia" w:eastAsia="Georgia" w:hAnsi="Georgia"/>
                <w:b w:val="false"/>
                <w:bCs w:val="false"/>
                <w:color w:val="1D1D1D"/>
                <w:sz w:val="20"/>
                <w:szCs w:val="20"/>
              </w:rPr>
              <w:t xml:space="preserve">Extended FISH panel reported within 4 weeks of adequate first BM sample (8 weeks if repeat needed).</w:t>
            </w:r>
          </w:p>
        </w:tc>
        <w:tc>
          <w:tcPr>
            <w:tcW w:type="dxa" w:w="2800"/>
            <w:tcBorders>
              <w:top w:val="single" w:color="D8C9CB" w:sz="4"/>
              <w:left w:val="single" w:color="D8C9CB" w:sz="4"/>
              <w:bottom w:val="single" w:color="D8C9CB" w:sz="4"/>
              <w:right w:val="single" w:color="D8C9CB" w:sz="4"/>
            </w:tcBorders>
            <w:tcMar>
              <w:top w:type="dxa" w:w="80"/>
              <w:left w:type="dxa" w:w="120"/>
              <w:bottom w:type="dxa" w:w="80"/>
              <w:right w:type="dxa" w:w="120"/>
            </w:tcMar>
          </w:tcPr>
          <w:p>
            <w:pPr>
              <w:spacing w:after="0" w:before="0" w:line="260"/>
            </w:pPr>
            <w:r>
              <w:rPr>
                <w:rFonts w:ascii="Georgia" w:cs="Georgia" w:eastAsia="Georgia" w:hAnsi="Georgia"/>
                <w:b w:val="false"/>
                <w:bCs w:val="false"/>
                <w:color w:val="1D1D1D"/>
                <w:sz w:val="20"/>
                <w:szCs w:val="20"/>
              </w:rPr>
              <w:t xml:space="preserve">Cytogenetics turnaround records</w:t>
            </w:r>
          </w:p>
        </w:tc>
        <w:tc>
          <w:tcPr>
            <w:tcW w:type="dxa" w:w="1826"/>
            <w:tcBorders>
              <w:top w:val="single" w:color="D8C9CB" w:sz="4"/>
              <w:left w:val="single" w:color="D8C9CB" w:sz="4"/>
              <w:bottom w:val="single" w:color="D8C9CB" w:sz="4"/>
              <w:right w:val="single" w:color="D8C9CB" w:sz="4"/>
            </w:tcBorders>
            <w:tcMar>
              <w:top w:type="dxa" w:w="80"/>
              <w:left w:type="dxa" w:w="120"/>
              <w:bottom w:type="dxa" w:w="80"/>
              <w:right w:type="dxa" w:w="120"/>
            </w:tcMar>
          </w:tcPr>
          <w:p>
            <w:pPr>
              <w:spacing w:after="0" w:before="0" w:line="260"/>
            </w:pPr>
            <w:r>
              <w:rPr>
                <w:rFonts w:ascii="Georgia" w:cs="Georgia" w:eastAsia="Georgia" w:hAnsi="Georgia"/>
                <w:b w:val="false"/>
                <w:bCs w:val="false"/>
                <w:color w:val="1D1D1D"/>
                <w:sz w:val="20"/>
                <w:szCs w:val="20"/>
              </w:rPr>
              <w:t xml:space="preserve">≥ 80%</w:t>
            </w:r>
          </w:p>
        </w:tc>
      </w:tr>
      <w:tr>
        <w:tc>
          <w:tcPr>
            <w:tcW w:type="dxa" w:w="4400"/>
            <w:tcBorders>
              <w:top w:val="single" w:color="D8C9CB" w:sz="4"/>
              <w:left w:val="single" w:color="D8C9CB" w:sz="4"/>
              <w:bottom w:val="single" w:color="D8C9CB" w:sz="4"/>
              <w:right w:val="single" w:color="D8C9CB" w:sz="4"/>
            </w:tcBorders>
            <w:tcMar>
              <w:top w:type="dxa" w:w="80"/>
              <w:left w:type="dxa" w:w="120"/>
              <w:bottom w:type="dxa" w:w="80"/>
              <w:right w:type="dxa" w:w="120"/>
            </w:tcMar>
          </w:tcPr>
          <w:p>
            <w:pPr>
              <w:spacing w:after="0" w:before="0" w:line="260"/>
            </w:pPr>
            <w:r>
              <w:rPr>
                <w:rFonts w:ascii="Georgia" w:cs="Georgia" w:eastAsia="Georgia" w:hAnsi="Georgia"/>
                <w:b w:val="false"/>
                <w:bCs w:val="false"/>
                <w:color w:val="1D1D1D"/>
                <w:sz w:val="20"/>
                <w:szCs w:val="20"/>
              </w:rPr>
              <w:t xml:space="preserve">Modern WB imaging (WB-MRI or PET-CT) performed at diagnosis where access permits.</w:t>
            </w:r>
          </w:p>
        </w:tc>
        <w:tc>
          <w:tcPr>
            <w:tcW w:type="dxa" w:w="2800"/>
            <w:tcBorders>
              <w:top w:val="single" w:color="D8C9CB" w:sz="4"/>
              <w:left w:val="single" w:color="D8C9CB" w:sz="4"/>
              <w:bottom w:val="single" w:color="D8C9CB" w:sz="4"/>
              <w:right w:val="single" w:color="D8C9CB" w:sz="4"/>
            </w:tcBorders>
            <w:tcMar>
              <w:top w:type="dxa" w:w="80"/>
              <w:left w:type="dxa" w:w="120"/>
              <w:bottom w:type="dxa" w:w="80"/>
              <w:right w:type="dxa" w:w="120"/>
            </w:tcMar>
          </w:tcPr>
          <w:p>
            <w:pPr>
              <w:spacing w:after="0" w:before="0" w:line="260"/>
            </w:pPr>
            <w:r>
              <w:rPr>
                <w:rFonts w:ascii="Georgia" w:cs="Georgia" w:eastAsia="Georgia" w:hAnsi="Georgia"/>
                <w:b w:val="false"/>
                <w:bCs w:val="false"/>
                <w:color w:val="1D1D1D"/>
                <w:sz w:val="20"/>
                <w:szCs w:val="20"/>
              </w:rPr>
              <w:t xml:space="preserve">Imaging records</w:t>
            </w:r>
          </w:p>
        </w:tc>
        <w:tc>
          <w:tcPr>
            <w:tcW w:type="dxa" w:w="1826"/>
            <w:tcBorders>
              <w:top w:val="single" w:color="D8C9CB" w:sz="4"/>
              <w:left w:val="single" w:color="D8C9CB" w:sz="4"/>
              <w:bottom w:val="single" w:color="D8C9CB" w:sz="4"/>
              <w:right w:val="single" w:color="D8C9CB" w:sz="4"/>
            </w:tcBorders>
            <w:tcMar>
              <w:top w:type="dxa" w:w="80"/>
              <w:left w:type="dxa" w:w="120"/>
              <w:bottom w:type="dxa" w:w="80"/>
              <w:right w:type="dxa" w:w="120"/>
            </w:tcMar>
          </w:tcPr>
          <w:p>
            <w:pPr>
              <w:spacing w:after="0" w:before="0" w:line="260"/>
            </w:pPr>
            <w:r>
              <w:rPr>
                <w:rFonts w:ascii="Georgia" w:cs="Georgia" w:eastAsia="Georgia" w:hAnsi="Georgia"/>
                <w:b w:val="false"/>
                <w:bCs w:val="false"/>
                <w:color w:val="1D1D1D"/>
                <w:sz w:val="20"/>
                <w:szCs w:val="20"/>
              </w:rPr>
              <w:t xml:space="preserve">≥ 90%</w:t>
            </w:r>
          </w:p>
        </w:tc>
      </w:tr>
      <w:tr>
        <w:tc>
          <w:tcPr>
            <w:tcW w:type="dxa" w:w="4400"/>
            <w:tcBorders>
              <w:top w:val="single" w:color="D8C9CB" w:sz="4"/>
              <w:left w:val="single" w:color="D8C9CB" w:sz="4"/>
              <w:bottom w:val="single" w:color="D8C9CB" w:sz="4"/>
              <w:right w:val="single" w:color="D8C9CB" w:sz="4"/>
            </w:tcBorders>
            <w:tcMar>
              <w:top w:type="dxa" w:w="80"/>
              <w:left w:type="dxa" w:w="120"/>
              <w:bottom w:type="dxa" w:w="80"/>
              <w:right w:type="dxa" w:w="120"/>
            </w:tcMar>
          </w:tcPr>
          <w:p>
            <w:pPr>
              <w:spacing w:after="0" w:before="0" w:line="260"/>
            </w:pPr>
            <w:r>
              <w:rPr>
                <w:rFonts w:ascii="Georgia" w:cs="Georgia" w:eastAsia="Georgia" w:hAnsi="Georgia"/>
                <w:b w:val="false"/>
                <w:bCs w:val="false"/>
                <w:color w:val="1D1D1D"/>
                <w:sz w:val="20"/>
                <w:szCs w:val="20"/>
              </w:rPr>
              <w:t xml:space="preserve">Transplant-eligible NDMM receives a NICE-commissioned induction regimen with documented MDT rationale.</w:t>
            </w:r>
          </w:p>
        </w:tc>
        <w:tc>
          <w:tcPr>
            <w:tcW w:type="dxa" w:w="2800"/>
            <w:tcBorders>
              <w:top w:val="single" w:color="D8C9CB" w:sz="4"/>
              <w:left w:val="single" w:color="D8C9CB" w:sz="4"/>
              <w:bottom w:val="single" w:color="D8C9CB" w:sz="4"/>
              <w:right w:val="single" w:color="D8C9CB" w:sz="4"/>
            </w:tcBorders>
            <w:tcMar>
              <w:top w:type="dxa" w:w="80"/>
              <w:left w:type="dxa" w:w="120"/>
              <w:bottom w:type="dxa" w:w="80"/>
              <w:right w:type="dxa" w:w="120"/>
            </w:tcMar>
          </w:tcPr>
          <w:p>
            <w:pPr>
              <w:spacing w:after="0" w:before="0" w:line="260"/>
            </w:pPr>
            <w:r>
              <w:rPr>
                <w:rFonts w:ascii="Georgia" w:cs="Georgia" w:eastAsia="Georgia" w:hAnsi="Georgia"/>
                <w:b w:val="false"/>
                <w:bCs w:val="false"/>
                <w:color w:val="1D1D1D"/>
                <w:sz w:val="20"/>
                <w:szCs w:val="20"/>
              </w:rPr>
              <w:t xml:space="preserve">Blueteq / pharmacy records</w:t>
            </w:r>
          </w:p>
        </w:tc>
        <w:tc>
          <w:tcPr>
            <w:tcW w:type="dxa" w:w="1826"/>
            <w:tcBorders>
              <w:top w:val="single" w:color="D8C9CB" w:sz="4"/>
              <w:left w:val="single" w:color="D8C9CB" w:sz="4"/>
              <w:bottom w:val="single" w:color="D8C9CB" w:sz="4"/>
              <w:right w:val="single" w:color="D8C9CB" w:sz="4"/>
            </w:tcBorders>
            <w:tcMar>
              <w:top w:type="dxa" w:w="80"/>
              <w:left w:type="dxa" w:w="120"/>
              <w:bottom w:type="dxa" w:w="80"/>
              <w:right w:type="dxa" w:w="120"/>
            </w:tcMar>
          </w:tcPr>
          <w:p>
            <w:pPr>
              <w:spacing w:after="0" w:before="0" w:line="260"/>
            </w:pPr>
            <w:r>
              <w:rPr>
                <w:rFonts w:ascii="Georgia" w:cs="Georgia" w:eastAsia="Georgia" w:hAnsi="Georgia"/>
                <w:b w:val="false"/>
                <w:bCs w:val="false"/>
                <w:color w:val="1D1D1D"/>
                <w:sz w:val="20"/>
                <w:szCs w:val="20"/>
              </w:rPr>
              <w:t xml:space="preserve">≥ 95%</w:t>
            </w:r>
          </w:p>
        </w:tc>
      </w:tr>
      <w:tr>
        <w:tc>
          <w:tcPr>
            <w:tcW w:type="dxa" w:w="4400"/>
            <w:tcBorders>
              <w:top w:val="single" w:color="D8C9CB" w:sz="4"/>
              <w:left w:val="single" w:color="D8C9CB" w:sz="4"/>
              <w:bottom w:val="single" w:color="D8C9CB" w:sz="4"/>
              <w:right w:val="single" w:color="D8C9CB" w:sz="4"/>
            </w:tcBorders>
            <w:tcMar>
              <w:top w:type="dxa" w:w="80"/>
              <w:left w:type="dxa" w:w="120"/>
              <w:bottom w:type="dxa" w:w="80"/>
              <w:right w:type="dxa" w:w="120"/>
            </w:tcMar>
          </w:tcPr>
          <w:p>
            <w:pPr>
              <w:spacing w:after="0" w:before="0" w:line="260"/>
            </w:pPr>
            <w:r>
              <w:rPr>
                <w:rFonts w:ascii="Georgia" w:cs="Georgia" w:eastAsia="Georgia" w:hAnsi="Georgia"/>
                <w:b w:val="false"/>
                <w:bCs w:val="false"/>
                <w:color w:val="1D1D1D"/>
                <w:sz w:val="20"/>
                <w:szCs w:val="20"/>
              </w:rPr>
              <w:t xml:space="preserve">Lenalidomide maintenance (TA680) offered to all eligible patients after ASCT.</w:t>
            </w:r>
          </w:p>
        </w:tc>
        <w:tc>
          <w:tcPr>
            <w:tcW w:type="dxa" w:w="2800"/>
            <w:tcBorders>
              <w:top w:val="single" w:color="D8C9CB" w:sz="4"/>
              <w:left w:val="single" w:color="D8C9CB" w:sz="4"/>
              <w:bottom w:val="single" w:color="D8C9CB" w:sz="4"/>
              <w:right w:val="single" w:color="D8C9CB" w:sz="4"/>
            </w:tcBorders>
            <w:tcMar>
              <w:top w:type="dxa" w:w="80"/>
              <w:left w:type="dxa" w:w="120"/>
              <w:bottom w:type="dxa" w:w="80"/>
              <w:right w:type="dxa" w:w="120"/>
            </w:tcMar>
          </w:tcPr>
          <w:p>
            <w:pPr>
              <w:spacing w:after="0" w:before="0" w:line="260"/>
            </w:pPr>
            <w:r>
              <w:rPr>
                <w:rFonts w:ascii="Georgia" w:cs="Georgia" w:eastAsia="Georgia" w:hAnsi="Georgia"/>
                <w:b w:val="false"/>
                <w:bCs w:val="false"/>
                <w:color w:val="1D1D1D"/>
                <w:sz w:val="20"/>
                <w:szCs w:val="20"/>
              </w:rPr>
              <w:t xml:space="preserve">Pharmacy records</w:t>
            </w:r>
          </w:p>
        </w:tc>
        <w:tc>
          <w:tcPr>
            <w:tcW w:type="dxa" w:w="1826"/>
            <w:tcBorders>
              <w:top w:val="single" w:color="D8C9CB" w:sz="4"/>
              <w:left w:val="single" w:color="D8C9CB" w:sz="4"/>
              <w:bottom w:val="single" w:color="D8C9CB" w:sz="4"/>
              <w:right w:val="single" w:color="D8C9CB" w:sz="4"/>
            </w:tcBorders>
            <w:tcMar>
              <w:top w:type="dxa" w:w="80"/>
              <w:left w:type="dxa" w:w="120"/>
              <w:bottom w:type="dxa" w:w="80"/>
              <w:right w:type="dxa" w:w="120"/>
            </w:tcMar>
          </w:tcPr>
          <w:p>
            <w:pPr>
              <w:spacing w:after="0" w:before="0" w:line="260"/>
            </w:pPr>
            <w:r>
              <w:rPr>
                <w:rFonts w:ascii="Georgia" w:cs="Georgia" w:eastAsia="Georgia" w:hAnsi="Georgia"/>
                <w:b w:val="false"/>
                <w:bCs w:val="false"/>
                <w:color w:val="1D1D1D"/>
                <w:sz w:val="20"/>
                <w:szCs w:val="20"/>
              </w:rPr>
              <w:t xml:space="preserve">≥ 90%</w:t>
            </w:r>
          </w:p>
        </w:tc>
      </w:tr>
      <w:tr>
        <w:tc>
          <w:tcPr>
            <w:tcW w:type="dxa" w:w="4400"/>
            <w:tcBorders>
              <w:top w:val="single" w:color="D8C9CB" w:sz="4"/>
              <w:left w:val="single" w:color="D8C9CB" w:sz="4"/>
              <w:bottom w:val="single" w:color="D8C9CB" w:sz="4"/>
              <w:right w:val="single" w:color="D8C9CB" w:sz="4"/>
            </w:tcBorders>
            <w:tcMar>
              <w:top w:type="dxa" w:w="80"/>
              <w:left w:type="dxa" w:w="120"/>
              <w:bottom w:type="dxa" w:w="80"/>
              <w:right w:type="dxa" w:w="120"/>
            </w:tcMar>
          </w:tcPr>
          <w:p>
            <w:pPr>
              <w:spacing w:after="0" w:before="0" w:line="260"/>
            </w:pPr>
            <w:r>
              <w:rPr>
                <w:rFonts w:ascii="Georgia" w:cs="Georgia" w:eastAsia="Georgia" w:hAnsi="Georgia"/>
                <w:b w:val="false"/>
                <w:bCs w:val="false"/>
                <w:color w:val="1D1D1D"/>
                <w:sz w:val="20"/>
                <w:szCs w:val="20"/>
              </w:rPr>
              <w:t xml:space="preserve">At relapse, repeat FISH and TP53 testing performed where treatment selection may be informed.</w:t>
            </w:r>
          </w:p>
        </w:tc>
        <w:tc>
          <w:tcPr>
            <w:tcW w:type="dxa" w:w="2800"/>
            <w:tcBorders>
              <w:top w:val="single" w:color="D8C9CB" w:sz="4"/>
              <w:left w:val="single" w:color="D8C9CB" w:sz="4"/>
              <w:bottom w:val="single" w:color="D8C9CB" w:sz="4"/>
              <w:right w:val="single" w:color="D8C9CB" w:sz="4"/>
            </w:tcBorders>
            <w:tcMar>
              <w:top w:type="dxa" w:w="80"/>
              <w:left w:type="dxa" w:w="120"/>
              <w:bottom w:type="dxa" w:w="80"/>
              <w:right w:type="dxa" w:w="120"/>
            </w:tcMar>
          </w:tcPr>
          <w:p>
            <w:pPr>
              <w:spacing w:after="0" w:before="0" w:line="260"/>
            </w:pPr>
            <w:r>
              <w:rPr>
                <w:rFonts w:ascii="Georgia" w:cs="Georgia" w:eastAsia="Georgia" w:hAnsi="Georgia"/>
                <w:b w:val="false"/>
                <w:bCs w:val="false"/>
                <w:color w:val="1D1D1D"/>
                <w:sz w:val="20"/>
                <w:szCs w:val="20"/>
              </w:rPr>
              <w:t xml:space="preserve">Cytogenetics records</w:t>
            </w:r>
          </w:p>
        </w:tc>
        <w:tc>
          <w:tcPr>
            <w:tcW w:type="dxa" w:w="1826"/>
            <w:tcBorders>
              <w:top w:val="single" w:color="D8C9CB" w:sz="4"/>
              <w:left w:val="single" w:color="D8C9CB" w:sz="4"/>
              <w:bottom w:val="single" w:color="D8C9CB" w:sz="4"/>
              <w:right w:val="single" w:color="D8C9CB" w:sz="4"/>
            </w:tcBorders>
            <w:tcMar>
              <w:top w:type="dxa" w:w="80"/>
              <w:left w:type="dxa" w:w="120"/>
              <w:bottom w:type="dxa" w:w="80"/>
              <w:right w:type="dxa" w:w="120"/>
            </w:tcMar>
          </w:tcPr>
          <w:p>
            <w:pPr>
              <w:spacing w:after="0" w:before="0" w:line="260"/>
            </w:pPr>
            <w:r>
              <w:rPr>
                <w:rFonts w:ascii="Georgia" w:cs="Georgia" w:eastAsia="Georgia" w:hAnsi="Georgia"/>
                <w:b w:val="false"/>
                <w:bCs w:val="false"/>
                <w:color w:val="1D1D1D"/>
                <w:sz w:val="20"/>
                <w:szCs w:val="20"/>
              </w:rPr>
              <w:t xml:space="preserve">≥ 80%</w:t>
            </w:r>
          </w:p>
        </w:tc>
      </w:tr>
      <w:tr>
        <w:tc>
          <w:tcPr>
            <w:tcW w:type="dxa" w:w="4400"/>
            <w:tcBorders>
              <w:top w:val="single" w:color="D8C9CB" w:sz="4"/>
              <w:left w:val="single" w:color="D8C9CB" w:sz="4"/>
              <w:bottom w:val="single" w:color="D8C9CB" w:sz="4"/>
              <w:right w:val="single" w:color="D8C9CB" w:sz="4"/>
            </w:tcBorders>
            <w:tcMar>
              <w:top w:type="dxa" w:w="80"/>
              <w:left w:type="dxa" w:w="120"/>
              <w:bottom w:type="dxa" w:w="80"/>
              <w:right w:type="dxa" w:w="120"/>
            </w:tcMar>
          </w:tcPr>
          <w:p>
            <w:pPr>
              <w:spacing w:after="0" w:before="0" w:line="260"/>
            </w:pPr>
            <w:r>
              <w:rPr>
                <w:rFonts w:ascii="Georgia" w:cs="Georgia" w:eastAsia="Georgia" w:hAnsi="Georgia"/>
                <w:b w:val="false"/>
                <w:bCs w:val="false"/>
                <w:color w:val="1D1D1D"/>
                <w:sz w:val="20"/>
                <w:szCs w:val="20"/>
              </w:rPr>
              <w:t xml:space="preserve">Bispecific and CAR-T referrals routed through approved centres with structured pre-assessment.</w:t>
            </w:r>
          </w:p>
        </w:tc>
        <w:tc>
          <w:tcPr>
            <w:tcW w:type="dxa" w:w="2800"/>
            <w:tcBorders>
              <w:top w:val="single" w:color="D8C9CB" w:sz="4"/>
              <w:left w:val="single" w:color="D8C9CB" w:sz="4"/>
              <w:bottom w:val="single" w:color="D8C9CB" w:sz="4"/>
              <w:right w:val="single" w:color="D8C9CB" w:sz="4"/>
            </w:tcBorders>
            <w:tcMar>
              <w:top w:type="dxa" w:w="80"/>
              <w:left w:type="dxa" w:w="120"/>
              <w:bottom w:type="dxa" w:w="80"/>
              <w:right w:type="dxa" w:w="120"/>
            </w:tcMar>
          </w:tcPr>
          <w:p>
            <w:pPr>
              <w:spacing w:after="0" w:before="0" w:line="260"/>
            </w:pPr>
            <w:r>
              <w:rPr>
                <w:rFonts w:ascii="Georgia" w:cs="Georgia" w:eastAsia="Georgia" w:hAnsi="Georgia"/>
                <w:b w:val="false"/>
                <w:bCs w:val="false"/>
                <w:color w:val="1D1D1D"/>
                <w:sz w:val="20"/>
                <w:szCs w:val="20"/>
              </w:rPr>
              <w:t xml:space="preserve">Referral records</w:t>
            </w:r>
          </w:p>
        </w:tc>
        <w:tc>
          <w:tcPr>
            <w:tcW w:type="dxa" w:w="1826"/>
            <w:tcBorders>
              <w:top w:val="single" w:color="D8C9CB" w:sz="4"/>
              <w:left w:val="single" w:color="D8C9CB" w:sz="4"/>
              <w:bottom w:val="single" w:color="D8C9CB" w:sz="4"/>
              <w:right w:val="single" w:color="D8C9CB" w:sz="4"/>
            </w:tcBorders>
            <w:tcMar>
              <w:top w:type="dxa" w:w="80"/>
              <w:left w:type="dxa" w:w="120"/>
              <w:bottom w:type="dxa" w:w="80"/>
              <w:right w:type="dxa" w:w="120"/>
            </w:tcMar>
          </w:tcPr>
          <w:p>
            <w:pPr>
              <w:spacing w:after="0" w:before="0" w:line="260"/>
            </w:pPr>
            <w:r>
              <w:rPr>
                <w:rFonts w:ascii="Georgia" w:cs="Georgia" w:eastAsia="Georgia" w:hAnsi="Georgia"/>
                <w:b w:val="false"/>
                <w:bCs w:val="false"/>
                <w:color w:val="1D1D1D"/>
                <w:sz w:val="20"/>
                <w:szCs w:val="20"/>
              </w:rPr>
              <w:t xml:space="preserve">100%</w:t>
            </w:r>
          </w:p>
        </w:tc>
      </w:tr>
      <w:tr>
        <w:tc>
          <w:tcPr>
            <w:tcW w:type="dxa" w:w="4400"/>
            <w:tcBorders>
              <w:top w:val="single" w:color="D8C9CB" w:sz="4"/>
              <w:left w:val="single" w:color="D8C9CB" w:sz="4"/>
              <w:bottom w:val="single" w:color="D8C9CB" w:sz="4"/>
              <w:right w:val="single" w:color="D8C9CB" w:sz="4"/>
            </w:tcBorders>
            <w:tcMar>
              <w:top w:type="dxa" w:w="80"/>
              <w:left w:type="dxa" w:w="120"/>
              <w:bottom w:type="dxa" w:w="80"/>
              <w:right w:type="dxa" w:w="120"/>
            </w:tcMar>
          </w:tcPr>
          <w:p>
            <w:pPr>
              <w:spacing w:after="0" w:before="0" w:line="260"/>
            </w:pPr>
            <w:r>
              <w:rPr>
                <w:rFonts w:ascii="Georgia" w:cs="Georgia" w:eastAsia="Georgia" w:hAnsi="Georgia"/>
                <w:b w:val="false"/>
                <w:bCs w:val="false"/>
                <w:color w:val="1D1D1D"/>
                <w:sz w:val="20"/>
                <w:szCs w:val="20"/>
              </w:rPr>
              <w:t xml:space="preserve">Bisphosphonates reinstated at frank relapse if previously stopped.</w:t>
            </w:r>
          </w:p>
        </w:tc>
        <w:tc>
          <w:tcPr>
            <w:tcW w:type="dxa" w:w="2800"/>
            <w:tcBorders>
              <w:top w:val="single" w:color="D8C9CB" w:sz="4"/>
              <w:left w:val="single" w:color="D8C9CB" w:sz="4"/>
              <w:bottom w:val="single" w:color="D8C9CB" w:sz="4"/>
              <w:right w:val="single" w:color="D8C9CB" w:sz="4"/>
            </w:tcBorders>
            <w:tcMar>
              <w:top w:type="dxa" w:w="80"/>
              <w:left w:type="dxa" w:w="120"/>
              <w:bottom w:type="dxa" w:w="80"/>
              <w:right w:type="dxa" w:w="120"/>
            </w:tcMar>
          </w:tcPr>
          <w:p>
            <w:pPr>
              <w:spacing w:after="0" w:before="0" w:line="260"/>
            </w:pPr>
            <w:r>
              <w:rPr>
                <w:rFonts w:ascii="Georgia" w:cs="Georgia" w:eastAsia="Georgia" w:hAnsi="Georgia"/>
                <w:b w:val="false"/>
                <w:bCs w:val="false"/>
                <w:color w:val="1D1D1D"/>
                <w:sz w:val="20"/>
                <w:szCs w:val="20"/>
              </w:rPr>
              <w:t xml:space="preserve">Prescribing records</w:t>
            </w:r>
          </w:p>
        </w:tc>
        <w:tc>
          <w:tcPr>
            <w:tcW w:type="dxa" w:w="1826"/>
            <w:tcBorders>
              <w:top w:val="single" w:color="D8C9CB" w:sz="4"/>
              <w:left w:val="single" w:color="D8C9CB" w:sz="4"/>
              <w:bottom w:val="single" w:color="D8C9CB" w:sz="4"/>
              <w:right w:val="single" w:color="D8C9CB" w:sz="4"/>
            </w:tcBorders>
            <w:tcMar>
              <w:top w:type="dxa" w:w="80"/>
              <w:left w:type="dxa" w:w="120"/>
              <w:bottom w:type="dxa" w:w="80"/>
              <w:right w:type="dxa" w:w="120"/>
            </w:tcMar>
          </w:tcPr>
          <w:p>
            <w:pPr>
              <w:spacing w:after="0" w:before="0" w:line="260"/>
            </w:pPr>
            <w:r>
              <w:rPr>
                <w:rFonts w:ascii="Georgia" w:cs="Georgia" w:eastAsia="Georgia" w:hAnsi="Georgia"/>
                <w:b w:val="false"/>
                <w:bCs w:val="false"/>
                <w:color w:val="1D1D1D"/>
                <w:sz w:val="20"/>
                <w:szCs w:val="20"/>
              </w:rPr>
              <w:t xml:space="preserve">≥ 90%</w:t>
            </w:r>
          </w:p>
        </w:tc>
      </w:tr>
      <w:tr>
        <w:tc>
          <w:tcPr>
            <w:tcW w:type="dxa" w:w="4400"/>
            <w:tcBorders>
              <w:top w:val="single" w:color="D8C9CB" w:sz="4"/>
              <w:left w:val="single" w:color="D8C9CB" w:sz="4"/>
              <w:bottom w:val="single" w:color="D8C9CB" w:sz="4"/>
              <w:right w:val="single" w:color="D8C9CB" w:sz="4"/>
            </w:tcBorders>
            <w:tcMar>
              <w:top w:type="dxa" w:w="80"/>
              <w:left w:type="dxa" w:w="120"/>
              <w:bottom w:type="dxa" w:w="80"/>
              <w:right w:type="dxa" w:w="120"/>
            </w:tcMar>
          </w:tcPr>
          <w:p>
            <w:pPr>
              <w:spacing w:after="0" w:before="0" w:line="260"/>
            </w:pPr>
            <w:r>
              <w:rPr>
                <w:rFonts w:ascii="Georgia" w:cs="Georgia" w:eastAsia="Georgia" w:hAnsi="Georgia"/>
                <w:b w:val="false"/>
                <w:bCs w:val="false"/>
                <w:color w:val="1D1D1D"/>
                <w:sz w:val="20"/>
                <w:szCs w:val="20"/>
              </w:rPr>
              <w:t xml:space="preserve">Holistic needs assessment at diagnosis, at start of each line of therapy, and at relapse.</w:t>
            </w:r>
          </w:p>
        </w:tc>
        <w:tc>
          <w:tcPr>
            <w:tcW w:type="dxa" w:w="2800"/>
            <w:tcBorders>
              <w:top w:val="single" w:color="D8C9CB" w:sz="4"/>
              <w:left w:val="single" w:color="D8C9CB" w:sz="4"/>
              <w:bottom w:val="single" w:color="D8C9CB" w:sz="4"/>
              <w:right w:val="single" w:color="D8C9CB" w:sz="4"/>
            </w:tcBorders>
            <w:tcMar>
              <w:top w:type="dxa" w:w="80"/>
              <w:left w:type="dxa" w:w="120"/>
              <w:bottom w:type="dxa" w:w="80"/>
              <w:right w:type="dxa" w:w="120"/>
            </w:tcMar>
          </w:tcPr>
          <w:p>
            <w:pPr>
              <w:spacing w:after="0" w:before="0" w:line="260"/>
            </w:pPr>
            <w:r>
              <w:rPr>
                <w:rFonts w:ascii="Georgia" w:cs="Georgia" w:eastAsia="Georgia" w:hAnsi="Georgia"/>
                <w:b w:val="false"/>
                <w:bCs w:val="false"/>
                <w:color w:val="1D1D1D"/>
                <w:sz w:val="20"/>
                <w:szCs w:val="20"/>
              </w:rPr>
              <w:t xml:space="preserve">CNS records</w:t>
            </w:r>
          </w:p>
        </w:tc>
        <w:tc>
          <w:tcPr>
            <w:tcW w:type="dxa" w:w="1826"/>
            <w:tcBorders>
              <w:top w:val="single" w:color="D8C9CB" w:sz="4"/>
              <w:left w:val="single" w:color="D8C9CB" w:sz="4"/>
              <w:bottom w:val="single" w:color="D8C9CB" w:sz="4"/>
              <w:right w:val="single" w:color="D8C9CB" w:sz="4"/>
            </w:tcBorders>
            <w:tcMar>
              <w:top w:type="dxa" w:w="80"/>
              <w:left w:type="dxa" w:w="120"/>
              <w:bottom w:type="dxa" w:w="80"/>
              <w:right w:type="dxa" w:w="120"/>
            </w:tcMar>
          </w:tcPr>
          <w:p>
            <w:pPr>
              <w:spacing w:after="0" w:before="0" w:line="260"/>
            </w:pPr>
            <w:r>
              <w:rPr>
                <w:rFonts w:ascii="Georgia" w:cs="Georgia" w:eastAsia="Georgia" w:hAnsi="Georgia"/>
                <w:b w:val="false"/>
                <w:bCs w:val="false"/>
                <w:color w:val="1D1D1D"/>
                <w:sz w:val="20"/>
                <w:szCs w:val="20"/>
              </w:rPr>
              <w:t xml:space="preserve">≥ 90%</w:t>
            </w:r>
          </w:p>
        </w:tc>
      </w:tr>
    </w:tbl>
    <w:p>
      <w:pPr>
        <w:spacing w:after="80" w:before="180"/>
      </w:pPr>
      <w:r>
        <w:rPr>
          <w:rFonts w:ascii="Georgia" w:cs="Georgia" w:eastAsia="Georgia" w:hAnsi="Georgia"/>
          <w:b/>
          <w:bCs/>
          <w:color w:val="1D1D1D"/>
          <w:sz w:val="24"/>
          <w:szCs w:val="24"/>
        </w:rPr>
        <w:t xml:space="preserve">Local implementation checklist (MHA-suggested)</w:t>
      </w:r>
    </w:p>
    <w:p>
      <w:pPr>
        <w:pStyle w:val="ListParagraph"/>
        <w:numPr>
          <w:ilvl w:val="0"/>
          <w:numId w:val="2"/>
        </w:numPr>
        <w:spacing w:after="40" w:before="40" w:line="280"/>
      </w:pPr>
      <w:r>
        <w:rPr>
          <w:rFonts w:ascii="Georgia" w:cs="Georgia" w:eastAsia="Georgia" w:hAnsi="Georgia"/>
          <w:b w:val="false"/>
          <w:bCs w:val="false"/>
          <w:i w:val="false"/>
          <w:iCs w:val="false"/>
          <w:color w:val="1D1D1D"/>
          <w:sz w:val="22"/>
          <w:szCs w:val="22"/>
        </w:rPr>
        <w:t xml:space="preserve">Confirm pathway for laboratory flagging of new M-proteins and abnormal SFLC ratios.</w:t>
      </w:r>
    </w:p>
    <w:p>
      <w:pPr>
        <w:pStyle w:val="ListParagraph"/>
        <w:numPr>
          <w:ilvl w:val="0"/>
          <w:numId w:val="2"/>
        </w:numPr>
        <w:spacing w:after="40" w:before="40" w:line="280"/>
      </w:pPr>
      <w:r>
        <w:rPr>
          <w:rFonts w:ascii="Georgia" w:cs="Georgia" w:eastAsia="Georgia" w:hAnsi="Georgia"/>
          <w:b w:val="false"/>
          <w:bCs w:val="false"/>
          <w:i w:val="false"/>
          <w:iCs w:val="false"/>
          <w:color w:val="1D1D1D"/>
          <w:sz w:val="22"/>
          <w:szCs w:val="22"/>
        </w:rPr>
        <w:t xml:space="preserve">Define risk stratification responsibility (primary versus secondary care) and document in local guideline.</w:t>
      </w:r>
    </w:p>
    <w:p>
      <w:pPr>
        <w:pStyle w:val="ListParagraph"/>
        <w:numPr>
          <w:ilvl w:val="0"/>
          <w:numId w:val="2"/>
        </w:numPr>
        <w:spacing w:after="40" w:before="40" w:line="280"/>
      </w:pPr>
      <w:r>
        <w:rPr>
          <w:rFonts w:ascii="Georgia" w:cs="Georgia" w:eastAsia="Georgia" w:hAnsi="Georgia"/>
          <w:b w:val="false"/>
          <w:bCs w:val="false"/>
          <w:i w:val="false"/>
          <w:iCs w:val="false"/>
          <w:color w:val="1D1D1D"/>
          <w:sz w:val="22"/>
          <w:szCs w:val="22"/>
        </w:rPr>
        <w:t xml:space="preserve">Establish virtual clinic capacity for high-intermediate and high-risk MGUS monitoring.</w:t>
      </w:r>
    </w:p>
    <w:p>
      <w:pPr>
        <w:pStyle w:val="ListParagraph"/>
        <w:numPr>
          <w:ilvl w:val="0"/>
          <w:numId w:val="2"/>
        </w:numPr>
        <w:spacing w:after="40" w:before="40" w:line="280"/>
      </w:pPr>
      <w:r>
        <w:rPr>
          <w:rFonts w:ascii="Georgia" w:cs="Georgia" w:eastAsia="Georgia" w:hAnsi="Georgia"/>
          <w:b w:val="false"/>
          <w:bCs w:val="false"/>
          <w:i w:val="false"/>
          <w:iCs w:val="false"/>
          <w:color w:val="1D1D1D"/>
          <w:sz w:val="22"/>
          <w:szCs w:val="22"/>
        </w:rPr>
        <w:t xml:space="preserve">Confirm imaging capacity for WB-MRI and PET-CT; pathway for repeat imaging in evolving SMM and at biochemical relapse.</w:t>
      </w:r>
    </w:p>
    <w:p>
      <w:pPr>
        <w:pStyle w:val="ListParagraph"/>
        <w:numPr>
          <w:ilvl w:val="0"/>
          <w:numId w:val="2"/>
        </w:numPr>
        <w:spacing w:after="40" w:before="40" w:line="280"/>
      </w:pPr>
      <w:r>
        <w:rPr>
          <w:rFonts w:ascii="Georgia" w:cs="Georgia" w:eastAsia="Georgia" w:hAnsi="Georgia"/>
          <w:b w:val="false"/>
          <w:bCs w:val="false"/>
          <w:i w:val="false"/>
          <w:iCs w:val="false"/>
          <w:color w:val="1D1D1D"/>
          <w:sz w:val="22"/>
          <w:szCs w:val="22"/>
        </w:rPr>
        <w:t xml:space="preserve">Local cytogenetic and FISH turnaround times benchmarked against the BSH 2024 four-week target (eight weeks if repeat biopsy required).</w:t>
      </w:r>
    </w:p>
    <w:p>
      <w:pPr>
        <w:pStyle w:val="ListParagraph"/>
        <w:numPr>
          <w:ilvl w:val="0"/>
          <w:numId w:val="2"/>
        </w:numPr>
        <w:spacing w:after="40" w:before="40" w:line="280"/>
      </w:pPr>
      <w:r>
        <w:rPr>
          <w:rFonts w:ascii="Georgia" w:cs="Georgia" w:eastAsia="Georgia" w:hAnsi="Georgia"/>
          <w:b w:val="false"/>
          <w:bCs w:val="false"/>
          <w:i w:val="false"/>
          <w:iCs w:val="false"/>
          <w:color w:val="1D1D1D"/>
          <w:sz w:val="22"/>
          <w:szCs w:val="22"/>
        </w:rPr>
        <w:t xml:space="preserve">MDT structure with renal, cardiology and amyloidosis input where MGRS or amyloidosis is identified.</w:t>
      </w:r>
    </w:p>
    <w:p>
      <w:pPr>
        <w:pStyle w:val="ListParagraph"/>
        <w:numPr>
          <w:ilvl w:val="0"/>
          <w:numId w:val="2"/>
        </w:numPr>
        <w:spacing w:after="40" w:before="40" w:line="280"/>
      </w:pPr>
      <w:r>
        <w:rPr>
          <w:rFonts w:ascii="Georgia" w:cs="Georgia" w:eastAsia="Georgia" w:hAnsi="Georgia"/>
          <w:b w:val="false"/>
          <w:bCs w:val="false"/>
          <w:i w:val="false"/>
          <w:iCs w:val="false"/>
          <w:color w:val="1D1D1D"/>
          <w:sz w:val="22"/>
          <w:szCs w:val="22"/>
        </w:rPr>
        <w:t xml:space="preserve">Bispecific and CAR-T pathway: referral route, bridging therapy, supportive care, IVIg, infection prophylaxis.</w:t>
      </w:r>
    </w:p>
    <w:p>
      <w:pPr>
        <w:pStyle w:val="ListParagraph"/>
        <w:numPr>
          <w:ilvl w:val="0"/>
          <w:numId w:val="2"/>
        </w:numPr>
        <w:spacing w:after="40" w:before="40" w:line="280"/>
      </w:pPr>
      <w:r>
        <w:rPr>
          <w:rFonts w:ascii="Georgia" w:cs="Georgia" w:eastAsia="Georgia" w:hAnsi="Georgia"/>
          <w:b w:val="false"/>
          <w:bCs w:val="false"/>
          <w:i w:val="false"/>
          <w:iCs w:val="false"/>
          <w:color w:val="1D1D1D"/>
          <w:sz w:val="22"/>
          <w:szCs w:val="22"/>
        </w:rPr>
        <w:t xml:space="preserve">Survivorship and holistic needs assessment integrated into routine follow-up.</w:t>
      </w:r>
    </w:p>
    <w:p>
      <w:pPr>
        <w:pStyle w:val="ListParagraph"/>
        <w:numPr>
          <w:ilvl w:val="0"/>
          <w:numId w:val="2"/>
        </w:numPr>
        <w:spacing w:after="40" w:before="40" w:line="280"/>
      </w:pPr>
      <w:r>
        <w:rPr>
          <w:rFonts w:ascii="Georgia" w:cs="Georgia" w:eastAsia="Georgia" w:hAnsi="Georgia"/>
          <w:b w:val="false"/>
          <w:bCs w:val="false"/>
          <w:i w:val="false"/>
          <w:iCs w:val="false"/>
          <w:color w:val="1D1D1D"/>
          <w:sz w:val="22"/>
          <w:szCs w:val="22"/>
        </w:rPr>
        <w:t xml:space="preserve">Annual audit cycle against the BSH 2023 MGUS, BSH 2024 SMM and BSH/UKMS 2024–2025 NDMM/imaging/relapse audit templates.</w:t>
      </w:r>
    </w:p>
    <w:p>
      <w:pPr>
        <w:spacing w:after="80" w:before="180"/>
      </w:pPr>
      <w:r>
        <w:rPr>
          <w:rFonts w:ascii="Georgia" w:cs="Georgia" w:eastAsia="Georgia" w:hAnsi="Georgia"/>
          <w:b/>
          <w:bCs/>
          <w:color w:val="1D1D1D"/>
          <w:sz w:val="24"/>
          <w:szCs w:val="24"/>
        </w:rPr>
        <w:t xml:space="preserve">Pre-publication governance checklist (must be cleared before live deployment)</w:t>
      </w:r>
    </w:p>
    <w:p>
      <w:pPr>
        <w:pStyle w:val="ListParagraph"/>
        <w:numPr>
          <w:ilvl w:val="0"/>
          <w:numId w:val="2"/>
        </w:numPr>
        <w:spacing w:after="40" w:before="40" w:line="280"/>
      </w:pPr>
      <w:r>
        <w:rPr>
          <w:rFonts w:ascii="Georgia" w:cs="Georgia" w:eastAsia="Georgia" w:hAnsi="Georgia"/>
          <w:b w:val="false"/>
          <w:bCs w:val="false"/>
          <w:i w:val="false"/>
          <w:iCs w:val="false"/>
          <w:color w:val="1D1D1D"/>
          <w:sz w:val="22"/>
          <w:szCs w:val="22"/>
        </w:rPr>
        <w:t xml:space="preserve">Live NICE TA verification completed for every named regimen.</w:t>
      </w:r>
    </w:p>
    <w:p>
      <w:pPr>
        <w:pStyle w:val="ListParagraph"/>
        <w:numPr>
          <w:ilvl w:val="0"/>
          <w:numId w:val="2"/>
        </w:numPr>
        <w:spacing w:after="40" w:before="40" w:line="280"/>
      </w:pPr>
      <w:r>
        <w:rPr>
          <w:rFonts w:ascii="Georgia" w:cs="Georgia" w:eastAsia="Georgia" w:hAnsi="Georgia"/>
          <w:b w:val="false"/>
          <w:bCs w:val="false"/>
          <w:i w:val="false"/>
          <w:iCs w:val="false"/>
          <w:color w:val="1D1D1D"/>
          <w:sz w:val="22"/>
          <w:szCs w:val="22"/>
        </w:rPr>
        <w:t xml:space="preserve">Blueteq form requirements and NHS England commissioning status checked for every regimen presented as available.</w:t>
      </w:r>
    </w:p>
    <w:p>
      <w:pPr>
        <w:pStyle w:val="ListParagraph"/>
        <w:numPr>
          <w:ilvl w:val="0"/>
          <w:numId w:val="2"/>
        </w:numPr>
        <w:spacing w:after="40" w:before="40" w:line="280"/>
      </w:pPr>
      <w:r>
        <w:rPr>
          <w:rFonts w:ascii="Georgia" w:cs="Georgia" w:eastAsia="Georgia" w:hAnsi="Georgia"/>
          <w:b w:val="false"/>
          <w:bCs w:val="false"/>
          <w:i w:val="false"/>
          <w:iCs w:val="false"/>
          <w:color w:val="1D1D1D"/>
          <w:sz w:val="22"/>
          <w:szCs w:val="22"/>
        </w:rPr>
        <w:t xml:space="preserve">Regimen access statements (routine, managed-access, in-development, terminated, off-label) checked by consultant haematologist and pharmacist before sign-off.</w:t>
      </w:r>
    </w:p>
    <w:p>
      <w:pPr>
        <w:pStyle w:val="ListParagraph"/>
        <w:numPr>
          <w:ilvl w:val="0"/>
          <w:numId w:val="2"/>
        </w:numPr>
        <w:spacing w:after="40" w:before="40" w:line="280"/>
      </w:pPr>
      <w:r>
        <w:rPr>
          <w:rFonts w:ascii="Georgia" w:cs="Georgia" w:eastAsia="Georgia" w:hAnsi="Georgia"/>
          <w:b w:val="false"/>
          <w:bCs w:val="false"/>
          <w:i w:val="false"/>
          <w:iCs w:val="false"/>
          <w:color w:val="1D1D1D"/>
          <w:sz w:val="22"/>
          <w:szCs w:val="22"/>
        </w:rPr>
        <w:t xml:space="preserve">Doses checked against current SmPC, local Trust e-prescribing protocols and renal/hepatic adjustment rules. Dose blocks remain marked as educational only.</w:t>
      </w:r>
    </w:p>
    <w:p>
      <w:pPr>
        <w:pStyle w:val="ListParagraph"/>
        <w:numPr>
          <w:ilvl w:val="0"/>
          <w:numId w:val="2"/>
        </w:numPr>
        <w:spacing w:after="40" w:before="40" w:line="280"/>
      </w:pPr>
      <w:r>
        <w:rPr>
          <w:rFonts w:ascii="Georgia" w:cs="Georgia" w:eastAsia="Georgia" w:hAnsi="Georgia"/>
          <w:b w:val="false"/>
          <w:bCs w:val="false"/>
          <w:i w:val="false"/>
          <w:iCs w:val="false"/>
          <w:color w:val="1D1D1D"/>
          <w:sz w:val="22"/>
          <w:szCs w:val="22"/>
        </w:rPr>
        <w:t xml:space="preserve">Algorithm asset links (HTML to JPEG or SVG) verified — no broken links to assets that are not present in the repository.</w:t>
      </w:r>
    </w:p>
    <w:p>
      <w:pPr>
        <w:pStyle w:val="ListParagraph"/>
        <w:numPr>
          <w:ilvl w:val="0"/>
          <w:numId w:val="2"/>
        </w:numPr>
        <w:spacing w:after="40" w:before="40" w:line="280"/>
      </w:pPr>
      <w:r>
        <w:rPr>
          <w:rFonts w:ascii="Georgia" w:cs="Georgia" w:eastAsia="Georgia" w:hAnsi="Georgia"/>
          <w:b w:val="false"/>
          <w:bCs w:val="false"/>
          <w:i w:val="false"/>
          <w:iCs w:val="false"/>
          <w:color w:val="1D1D1D"/>
          <w:sz w:val="22"/>
          <w:szCs w:val="22"/>
        </w:rPr>
        <w:t xml:space="preserve">Quick-ref card and full guideline cross-checked for consistency on TA numbers, line of therapy, and regimen access.</w:t>
      </w:r>
    </w:p>
    <w:p>
      <w:pPr>
        <w:pStyle w:val="ListParagraph"/>
        <w:numPr>
          <w:ilvl w:val="0"/>
          <w:numId w:val="2"/>
        </w:numPr>
        <w:spacing w:after="40" w:before="40" w:line="280"/>
      </w:pPr>
      <w:r>
        <w:rPr>
          <w:rFonts w:ascii="Georgia" w:cs="Georgia" w:eastAsia="Georgia" w:hAnsi="Georgia"/>
          <w:b w:val="false"/>
          <w:bCs w:val="false"/>
          <w:i w:val="false"/>
          <w:iCs w:val="false"/>
          <w:color w:val="1D1D1D"/>
          <w:sz w:val="22"/>
          <w:szCs w:val="22"/>
        </w:rPr>
        <w:t xml:space="preserve">References checked for DOI, PMID and year accuracy.</w:t>
      </w:r>
    </w:p>
    <w:p>
      <w:pPr>
        <w:pStyle w:val="ListParagraph"/>
        <w:numPr>
          <w:ilvl w:val="0"/>
          <w:numId w:val="2"/>
        </w:numPr>
        <w:spacing w:after="40" w:before="40" w:line="280"/>
      </w:pPr>
      <w:r>
        <w:rPr>
          <w:rFonts w:ascii="Georgia" w:cs="Georgia" w:eastAsia="Georgia" w:hAnsi="Georgia"/>
          <w:b w:val="false"/>
          <w:bCs w:val="false"/>
          <w:i w:val="false"/>
          <w:iCs w:val="false"/>
          <w:color w:val="1D1D1D"/>
          <w:sz w:val="22"/>
          <w:szCs w:val="22"/>
        </w:rPr>
        <w:t xml:space="preserve">NICE horizon-scanning section (Section 1A) re-checked against live NICE pages immediately before deployment.</w:t>
      </w:r>
    </w:p>
    <w:p>
      <w:pPr>
        <w:pStyle w:val="ListParagraph"/>
        <w:numPr>
          <w:ilvl w:val="0"/>
          <w:numId w:val="2"/>
        </w:numPr>
        <w:spacing w:after="40" w:before="40" w:line="280"/>
      </w:pPr>
      <w:r>
        <w:rPr>
          <w:rFonts w:ascii="Georgia" w:cs="Georgia" w:eastAsia="Georgia" w:hAnsi="Georgia"/>
          <w:b w:val="false"/>
          <w:bCs w:val="false"/>
          <w:i w:val="false"/>
          <w:iCs w:val="false"/>
          <w:color w:val="1D1D1D"/>
          <w:sz w:val="22"/>
          <w:szCs w:val="22"/>
        </w:rPr>
        <w:t xml:space="preserve">Distinction confirmed between currently recommended, managed-access, in-development, awaiting-development, discontinued and terminated appraisals.</w:t>
      </w:r>
    </w:p>
    <w:p>
      <w:pPr>
        <w:pStyle w:val="ListParagraph"/>
        <w:numPr>
          <w:ilvl w:val="0"/>
          <w:numId w:val="2"/>
        </w:numPr>
        <w:spacing w:after="40" w:before="40" w:line="280"/>
      </w:pPr>
      <w:r>
        <w:rPr>
          <w:rFonts w:ascii="Georgia" w:cs="Georgia" w:eastAsia="Georgia" w:hAnsi="Georgia"/>
          <w:b w:val="false"/>
          <w:bCs w:val="false"/>
          <w:i w:val="false"/>
          <w:iCs w:val="false"/>
          <w:color w:val="1D1D1D"/>
          <w:sz w:val="22"/>
          <w:szCs w:val="22"/>
        </w:rPr>
        <w:t xml:space="preserve">D-VRd identifier confirmed as GID-TA10726 / ID3843 unless NICE has since issued final TA guidance with a new TA number, in which case replace throughout.</w:t>
      </w:r>
    </w:p>
    <w:p>
      <w:pPr>
        <w:pStyle w:val="ListParagraph"/>
        <w:numPr>
          <w:ilvl w:val="0"/>
          <w:numId w:val="2"/>
        </w:numPr>
        <w:spacing w:after="40" w:before="40" w:line="280"/>
      </w:pPr>
      <w:r>
        <w:rPr>
          <w:rFonts w:ascii="Georgia" w:cs="Georgia" w:eastAsia="Georgia" w:hAnsi="Georgia"/>
          <w:b w:val="false"/>
          <w:bCs w:val="false"/>
          <w:i w:val="false"/>
          <w:iCs w:val="false"/>
          <w:color w:val="1D1D1D"/>
          <w:sz w:val="22"/>
          <w:szCs w:val="22"/>
        </w:rPr>
        <w:t xml:space="preserve">Cilta-cel TA889 (terminated) and GID-TA10905 / ID4012 (in development, earlier line) kept separate in every reference throughout the document.</w:t>
      </w:r>
    </w:p>
    <w:p>
      <w:pPr>
        <w:pStyle w:val="ListParagraph"/>
        <w:numPr>
          <w:ilvl w:val="0"/>
          <w:numId w:val="2"/>
        </w:numPr>
        <w:spacing w:after="40" w:before="40" w:line="280"/>
      </w:pPr>
      <w:r>
        <w:rPr>
          <w:rFonts w:ascii="Georgia" w:cs="Georgia" w:eastAsia="Georgia" w:hAnsi="Georgia"/>
          <w:b w:val="false"/>
          <w:bCs w:val="false"/>
          <w:i w:val="false"/>
          <w:iCs w:val="false"/>
          <w:color w:val="1D1D1D"/>
          <w:sz w:val="22"/>
          <w:szCs w:val="22"/>
        </w:rPr>
        <w:t xml:space="preserve">Ixazomib maintenance GID-TA10843 / ID1517 labelled discontinued (February 2026), not in development, in every reference throughout the document.</w:t>
      </w:r>
    </w:p>
    <w:p>
      <w:pPr>
        <w:pStyle w:val="ListParagraph"/>
        <w:numPr>
          <w:ilvl w:val="0"/>
          <w:numId w:val="2"/>
        </w:numPr>
        <w:spacing w:after="40" w:before="40" w:line="280"/>
      </w:pPr>
      <w:r>
        <w:rPr>
          <w:rFonts w:ascii="Georgia" w:cs="Georgia" w:eastAsia="Georgia" w:hAnsi="Georgia"/>
          <w:b w:val="false"/>
          <w:bCs w:val="false"/>
          <w:i w:val="false"/>
          <w:iCs w:val="false"/>
          <w:color w:val="1D1D1D"/>
          <w:sz w:val="22"/>
          <w:szCs w:val="22"/>
        </w:rPr>
        <w:t xml:space="preserve">Quick-ref card carries the safety footer on every page; dose blocks within it carry the dose-example caveat.</w:t>
      </w:r>
    </w:p>
    <w:p>
      <w:pPr>
        <w:pStyle w:val="ListParagraph"/>
        <w:numPr>
          <w:ilvl w:val="0"/>
          <w:numId w:val="2"/>
        </w:numPr>
        <w:spacing w:after="40" w:before="40" w:line="280"/>
      </w:pPr>
      <w:r>
        <w:rPr>
          <w:rFonts w:ascii="Georgia" w:cs="Georgia" w:eastAsia="Georgia" w:hAnsi="Georgia"/>
          <w:b w:val="false"/>
          <w:bCs w:val="false"/>
          <w:i w:val="false"/>
          <w:iCs w:val="false"/>
          <w:color w:val="1D1D1D"/>
          <w:sz w:val="22"/>
          <w:szCs w:val="22"/>
        </w:rPr>
        <w:t xml:space="preserve">Pharmacy review of thromboprophylaxis, antiviral prophylaxis, antimicrobial prophylaxis, IVIg, steroid toxicity mitigation and renal dose-adjustment language confirmed.</w:t>
      </w:r>
    </w:p>
    <w:p>
      <w:pPr>
        <w:pStyle w:val="ListParagraph"/>
        <w:numPr>
          <w:ilvl w:val="0"/>
          <w:numId w:val="2"/>
        </w:numPr>
        <w:spacing w:after="40" w:before="40" w:line="280"/>
      </w:pPr>
      <w:r>
        <w:rPr>
          <w:rFonts w:ascii="Georgia" w:cs="Georgia" w:eastAsia="Georgia" w:hAnsi="Georgia"/>
          <w:b w:val="false"/>
          <w:bCs w:val="false"/>
          <w:i w:val="false"/>
          <w:iCs w:val="false"/>
          <w:color w:val="1D1D1D"/>
          <w:sz w:val="22"/>
          <w:szCs w:val="22"/>
        </w:rPr>
        <w:t xml:space="preserve">The draft label removed only after consultant review, pharmacy review, NICE TA re-verification and approved-centre confirmation are complete.</w:t>
      </w:r>
    </w:p>
    <w:p>
      <w:pPr>
        <w:spacing w:after="80" w:before="180"/>
      </w:pPr>
      <w:r>
        <w:rPr>
          <w:rFonts w:ascii="Georgia" w:cs="Georgia" w:eastAsia="Georgia" w:hAnsi="Georgia"/>
          <w:b/>
          <w:bCs/>
          <w:color w:val="1D1D1D"/>
          <w:sz w:val="24"/>
          <w:szCs w:val="24"/>
        </w:rPr>
        <w:t xml:space="preserve">Limitations and update plan</w:t>
      </w:r>
    </w:p>
    <w:p>
      <w:pPr>
        <w:pStyle w:val="ListParagraph"/>
        <w:numPr>
          <w:ilvl w:val="0"/>
          <w:numId w:val="2"/>
        </w:numPr>
        <w:spacing w:after="40" w:before="40" w:line="280"/>
      </w:pPr>
      <w:r>
        <w:rPr>
          <w:rFonts w:ascii="Georgia" w:cs="Georgia" w:eastAsia="Georgia" w:hAnsi="Georgia"/>
          <w:b w:val="false"/>
          <w:bCs w:val="false"/>
          <w:i w:val="false"/>
          <w:iCs w:val="false"/>
          <w:color w:val="1D1D1D"/>
          <w:sz w:val="22"/>
          <w:szCs w:val="22"/>
        </w:rPr>
        <w:t xml:space="preserve">This is an educational summary and does not replace specialist MDT decision making, current NICE technology appraisals, NHS England commissioning criteria or local trust protocols.</w:t>
      </w:r>
    </w:p>
    <w:p>
      <w:pPr>
        <w:pStyle w:val="ListParagraph"/>
        <w:numPr>
          <w:ilvl w:val="0"/>
          <w:numId w:val="2"/>
        </w:numPr>
        <w:spacing w:after="40" w:before="40" w:line="280"/>
      </w:pPr>
      <w:r>
        <w:rPr>
          <w:rFonts w:ascii="Georgia" w:cs="Georgia" w:eastAsia="Georgia" w:hAnsi="Georgia"/>
          <w:b w:val="false"/>
          <w:bCs w:val="false"/>
          <w:i w:val="false"/>
          <w:iCs w:val="false"/>
          <w:color w:val="1D1D1D"/>
          <w:sz w:val="22"/>
          <w:szCs w:val="22"/>
        </w:rPr>
        <w:t xml:space="preserve">NICE TA entries cited here reflect selected checks at May 2026; live NICE register verification is required before any prescribing decision and before each review cycle.</w:t>
      </w:r>
    </w:p>
    <w:p>
      <w:pPr>
        <w:pStyle w:val="ListParagraph"/>
        <w:numPr>
          <w:ilvl w:val="0"/>
          <w:numId w:val="2"/>
        </w:numPr>
        <w:spacing w:after="40" w:before="40" w:line="280"/>
      </w:pPr>
      <w:r>
        <w:rPr>
          <w:rFonts w:ascii="Georgia" w:cs="Georgia" w:eastAsia="Georgia" w:hAnsi="Georgia"/>
          <w:b w:val="false"/>
          <w:bCs w:val="false"/>
          <w:i w:val="false"/>
          <w:iCs w:val="false"/>
          <w:color w:val="1D1D1D"/>
          <w:sz w:val="22"/>
          <w:szCs w:val="22"/>
        </w:rPr>
        <w:t xml:space="preserve">Several relevant appraisals remain in development: GID-TA10726 / ID3843 (D-VRd), TA11465 (isatuximab combinations induction), GID-TA10905 / ID4012 (cilta-cel earlier line), GID-TA11846 / ID6639 (isatuximab maintenance). This document will be updated when relevant guidance is published.</w:t>
      </w:r>
    </w:p>
    <w:p>
      <w:pPr>
        <w:pStyle w:val="ListParagraph"/>
        <w:numPr>
          <w:ilvl w:val="0"/>
          <w:numId w:val="2"/>
        </w:numPr>
        <w:spacing w:after="40" w:before="40" w:line="280"/>
      </w:pPr>
      <w:r>
        <w:rPr>
          <w:rFonts w:ascii="Georgia" w:cs="Georgia" w:eastAsia="Georgia" w:hAnsi="Georgia"/>
          <w:b w:val="false"/>
          <w:bCs w:val="false"/>
          <w:i w:val="false"/>
          <w:iCs w:val="false"/>
          <w:color w:val="1D1D1D"/>
          <w:sz w:val="22"/>
          <w:szCs w:val="22"/>
        </w:rPr>
        <w:t xml:space="preserve">Ixazomib maintenance (GID-TA10843 / ID1517) was discontinued at NICE in February 2026 after prior suspension; it is no longer expected as a routine maintenance option.</w:t>
      </w:r>
    </w:p>
    <w:p>
      <w:pPr>
        <w:pStyle w:val="ListParagraph"/>
        <w:numPr>
          <w:ilvl w:val="0"/>
          <w:numId w:val="2"/>
        </w:numPr>
        <w:spacing w:after="40" w:before="40" w:line="280"/>
      </w:pPr>
      <w:r>
        <w:rPr>
          <w:rFonts w:ascii="Georgia" w:cs="Georgia" w:eastAsia="Georgia" w:hAnsi="Georgia"/>
          <w:b w:val="false"/>
          <w:bCs w:val="false"/>
          <w:i w:val="false"/>
          <w:iCs w:val="false"/>
          <w:color w:val="1D1D1D"/>
          <w:sz w:val="22"/>
          <w:szCs w:val="22"/>
        </w:rPr>
        <w:t xml:space="preserve">Belantamab + Pd (BPd, DREAMM-8) was appraised at TA1133 (February 2026); verify recommendation restrictions and ocular monitoring before pathway placement.</w:t>
      </w:r>
    </w:p>
    <w:p>
      <w:pPr>
        <w:pStyle w:val="ListParagraph"/>
        <w:numPr>
          <w:ilvl w:val="0"/>
          <w:numId w:val="2"/>
        </w:numPr>
        <w:spacing w:after="40" w:before="40" w:line="280"/>
      </w:pPr>
      <w:r>
        <w:rPr>
          <w:rFonts w:ascii="Georgia" w:cs="Georgia" w:eastAsia="Georgia" w:hAnsi="Georgia"/>
          <w:b w:val="false"/>
          <w:bCs w:val="false"/>
          <w:i w:val="false"/>
          <w:iCs w:val="false"/>
          <w:color w:val="1D1D1D"/>
          <w:sz w:val="22"/>
          <w:szCs w:val="22"/>
        </w:rPr>
        <w:t xml:space="preserve">Cilta-cel access in routine commissioning remains absent (TA889 terminated); the in-development earlier-line appraisal (GID-TA10905 / ID4012) is scheduled to begin in early July 2026.</w:t>
      </w:r>
    </w:p>
    <w:p>
      <w:pPr>
        <w:pStyle w:val="ListParagraph"/>
        <w:numPr>
          <w:ilvl w:val="0"/>
          <w:numId w:val="2"/>
        </w:numPr>
        <w:spacing w:after="40" w:before="40" w:line="280"/>
      </w:pPr>
      <w:r>
        <w:rPr>
          <w:rFonts w:ascii="Georgia" w:cs="Georgia" w:eastAsia="Georgia" w:hAnsi="Georgia"/>
          <w:b w:val="false"/>
          <w:bCs w:val="false"/>
          <w:i w:val="false"/>
          <w:iCs w:val="false"/>
          <w:color w:val="1D1D1D"/>
          <w:sz w:val="22"/>
          <w:szCs w:val="22"/>
        </w:rPr>
        <w:t xml:space="preserve">Venetoclax for t(11;14) is not NICE-commissioned for myeloma and is presented as off-label or specialist-centre use only.</w:t>
      </w:r>
    </w:p>
    <w:p>
      <w:pPr>
        <w:pStyle w:val="ListParagraph"/>
        <w:numPr>
          <w:ilvl w:val="0"/>
          <w:numId w:val="2"/>
        </w:numPr>
        <w:spacing w:after="40" w:before="40" w:line="280"/>
      </w:pPr>
      <w:r>
        <w:rPr>
          <w:rFonts w:ascii="Georgia" w:cs="Georgia" w:eastAsia="Georgia" w:hAnsi="Georgia"/>
          <w:b/>
          <w:bCs/>
          <w:i w:val="false"/>
          <w:iCs w:val="false"/>
          <w:color w:val="1D1D1D"/>
          <w:sz w:val="22"/>
          <w:szCs w:val="22"/>
        </w:rPr>
        <w:t xml:space="preserve">Update schedule: </w:t>
      </w:r>
      <w:r>
        <w:rPr>
          <w:rFonts w:ascii="Georgia" w:cs="Georgia" w:eastAsia="Georgia" w:hAnsi="Georgia"/>
          <w:b w:val="false"/>
          <w:bCs w:val="false"/>
          <w:i w:val="false"/>
          <w:iCs w:val="false"/>
          <w:color w:val="1D1D1D"/>
          <w:sz w:val="22"/>
          <w:szCs w:val="22"/>
        </w:rPr>
        <w:t xml:space="preserve">review immediately on any change to NICE horizon-scanning entries; otherwise May 2027 or sooner on relevant NICE, BSH/UKMS or EHA-EMN updates.</w:t>
      </w:r>
    </w:p>
    <w:p>
      <w:pPr>
        <w:pStyle w:val="Heading1"/>
        <w:spacing w:after="160" w:before="360"/>
      </w:pPr>
      <w:r>
        <w:rPr>
          <w:rFonts w:ascii="Georgia" w:cs="Georgia" w:eastAsia="Georgia" w:hAnsi="Georgia"/>
          <w:b/>
          <w:bCs/>
          <w:color w:val="7A1F2B"/>
          <w:sz w:val="30"/>
          <w:szCs w:val="30"/>
        </w:rPr>
        <w:t xml:space="preserve">14. </w:t>
      </w:r>
      <w:r>
        <w:rPr>
          <w:rFonts w:ascii="Georgia" w:cs="Georgia" w:eastAsia="Georgia" w:hAnsi="Georgia"/>
          <w:b/>
          <w:bCs/>
          <w:color w:val="7A1F2B"/>
          <w:sz w:val="30"/>
          <w:szCs w:val="30"/>
        </w:rPr>
        <w:t xml:space="preserve">References</w:t>
      </w:r>
    </w:p>
    <w:p>
      <w:pPr>
        <w:spacing w:after="80" w:before="80" w:line="300"/>
        <w:jc w:val="left"/>
      </w:pPr>
      <w:r>
        <w:rPr>
          <w:rFonts w:ascii="Georgia" w:cs="Georgia" w:eastAsia="Georgia" w:hAnsi="Georgia"/>
          <w:b w:val="false"/>
          <w:bCs w:val="false"/>
          <w:i/>
          <w:iCs/>
          <w:color w:val="4A4A4A"/>
          <w:sz w:val="22"/>
          <w:szCs w:val="22"/>
        </w:rPr>
        <w:t xml:space="preserve">References graded by credibility: A1 society guideline or NICE TA; A2 high-quality RCT or meta-analysis; B observational or secondary source.</w:t>
      </w:r>
    </w:p>
    <w:p>
      <w:pPr>
        <w:spacing w:after="60" w:before="60" w:line="300"/>
        <w:jc w:val="left"/>
      </w:pPr>
      <w:r>
        <w:rPr>
          <w:rFonts w:ascii="Georgia" w:cs="Georgia" w:eastAsia="Georgia" w:hAnsi="Georgia"/>
          <w:b/>
          <w:bCs/>
          <w:i w:val="false"/>
          <w:iCs w:val="false"/>
          <w:color w:val="1D1D1D"/>
          <w:sz w:val="22"/>
          <w:szCs w:val="22"/>
        </w:rPr>
        <w:t xml:space="preserve">1. </w:t>
      </w:r>
      <w:r>
        <w:rPr>
          <w:rFonts w:ascii="Georgia" w:cs="Georgia" w:eastAsia="Georgia" w:hAnsi="Georgia"/>
          <w:b w:val="false"/>
          <w:bCs w:val="false"/>
          <w:i w:val="false"/>
          <w:iCs w:val="false"/>
          <w:color w:val="1D1D1D"/>
          <w:sz w:val="22"/>
          <w:szCs w:val="22"/>
        </w:rPr>
        <w:t xml:space="preserve">Stern S, Chaudhuri S, Drayson M, Henshaw S, Karunanithi K, Willis F. Investigation and management of the monoclonal gammopathy of undetermined significance: a BSH Good Practice Paper. Br J Haematol 2023;202:734–744.</w:t>
      </w:r>
      <w:r>
        <w:rPr>
          <w:rFonts w:ascii="Georgia" w:cs="Georgia" w:eastAsia="Georgia" w:hAnsi="Georgia"/>
          <w:b/>
          <w:bCs/>
          <w:i w:val="false"/>
          <w:iCs w:val="false"/>
          <w:color w:val="2A6B3B"/>
          <w:sz w:val="22"/>
          <w:szCs w:val="22"/>
        </w:rPr>
        <w:t xml:space="preserve">  [A1]</w:t>
      </w:r>
    </w:p>
    <w:p>
      <w:pPr>
        <w:spacing w:after="60" w:before="60" w:line="300"/>
        <w:jc w:val="left"/>
      </w:pPr>
      <w:r>
        <w:rPr>
          <w:rFonts w:ascii="Georgia" w:cs="Georgia" w:eastAsia="Georgia" w:hAnsi="Georgia"/>
          <w:b/>
          <w:bCs/>
          <w:i w:val="false"/>
          <w:iCs w:val="false"/>
          <w:color w:val="1D1D1D"/>
          <w:sz w:val="22"/>
          <w:szCs w:val="22"/>
        </w:rPr>
        <w:t xml:space="preserve">2. </w:t>
      </w:r>
      <w:r>
        <w:rPr>
          <w:rFonts w:ascii="Georgia" w:cs="Georgia" w:eastAsia="Georgia" w:hAnsi="Georgia"/>
          <w:b w:val="false"/>
          <w:bCs w:val="false"/>
          <w:i w:val="false"/>
          <w:iCs w:val="false"/>
          <w:color w:val="1D1D1D"/>
          <w:sz w:val="22"/>
          <w:szCs w:val="22"/>
        </w:rPr>
        <w:t xml:space="preserve">Hughes D, Yong K, Ramasamy K, et al. Diagnosis and management of smouldering myeloma: a BSH Good Practice Paper. Br J Haematol 2024;204:1193–1206.</w:t>
      </w:r>
      <w:r>
        <w:rPr>
          <w:rFonts w:ascii="Georgia" w:cs="Georgia" w:eastAsia="Georgia" w:hAnsi="Georgia"/>
          <w:b/>
          <w:bCs/>
          <w:i w:val="false"/>
          <w:iCs w:val="false"/>
          <w:color w:val="2A6B3B"/>
          <w:sz w:val="22"/>
          <w:szCs w:val="22"/>
        </w:rPr>
        <w:t xml:space="preserve">  [A1]</w:t>
      </w:r>
    </w:p>
    <w:p>
      <w:pPr>
        <w:spacing w:after="60" w:before="60" w:line="300"/>
        <w:jc w:val="left"/>
      </w:pPr>
      <w:r>
        <w:rPr>
          <w:rFonts w:ascii="Georgia" w:cs="Georgia" w:eastAsia="Georgia" w:hAnsi="Georgia"/>
          <w:b/>
          <w:bCs/>
          <w:i w:val="false"/>
          <w:iCs w:val="false"/>
          <w:color w:val="1D1D1D"/>
          <w:sz w:val="22"/>
          <w:szCs w:val="22"/>
        </w:rPr>
        <w:t xml:space="preserve">3. </w:t>
      </w:r>
      <w:r>
        <w:rPr>
          <w:rFonts w:ascii="Georgia" w:cs="Georgia" w:eastAsia="Georgia" w:hAnsi="Georgia"/>
          <w:b w:val="false"/>
          <w:bCs w:val="false"/>
          <w:i w:val="false"/>
          <w:iCs w:val="false"/>
          <w:color w:val="1D1D1D"/>
          <w:sz w:val="22"/>
          <w:szCs w:val="22"/>
        </w:rPr>
        <w:t xml:space="preserve">Pinney J, Roufosse C, Kousios A, et al. Diagnosis and management of monoclonal gammopathy of renal significance: a BSH Good Practice Paper. Br J Haematol 2025;206:447–463.</w:t>
      </w:r>
      <w:r>
        <w:rPr>
          <w:rFonts w:ascii="Georgia" w:cs="Georgia" w:eastAsia="Georgia" w:hAnsi="Georgia"/>
          <w:b/>
          <w:bCs/>
          <w:i w:val="false"/>
          <w:iCs w:val="false"/>
          <w:color w:val="2A6B3B"/>
          <w:sz w:val="22"/>
          <w:szCs w:val="22"/>
        </w:rPr>
        <w:t xml:space="preserve">  [A1]</w:t>
      </w:r>
    </w:p>
    <w:p>
      <w:pPr>
        <w:spacing w:after="60" w:before="60" w:line="300"/>
        <w:jc w:val="left"/>
      </w:pPr>
      <w:r>
        <w:rPr>
          <w:rFonts w:ascii="Georgia" w:cs="Georgia" w:eastAsia="Georgia" w:hAnsi="Georgia"/>
          <w:b/>
          <w:bCs/>
          <w:i w:val="false"/>
          <w:iCs w:val="false"/>
          <w:color w:val="1D1D1D"/>
          <w:sz w:val="22"/>
          <w:szCs w:val="22"/>
        </w:rPr>
        <w:t xml:space="preserve">4. </w:t>
      </w:r>
      <w:r>
        <w:rPr>
          <w:rFonts w:ascii="Georgia" w:cs="Georgia" w:eastAsia="Georgia" w:hAnsi="Georgia"/>
          <w:b w:val="false"/>
          <w:bCs w:val="false"/>
          <w:i w:val="false"/>
          <w:iCs w:val="false"/>
          <w:color w:val="1D1D1D"/>
          <w:sz w:val="22"/>
          <w:szCs w:val="22"/>
        </w:rPr>
        <w:t xml:space="preserve">Kaiser M, Pratt G, Bygrave C, Bowles K, Stern S, Jenner M. Diagnosis and initial treatment of transplant-eligible high-risk myeloma: a BSH/UK Myeloma Society Good Practice Paper. Br J Haematol 2024;205:833–839.</w:t>
      </w:r>
      <w:r>
        <w:rPr>
          <w:rFonts w:ascii="Georgia" w:cs="Georgia" w:eastAsia="Georgia" w:hAnsi="Georgia"/>
          <w:b/>
          <w:bCs/>
          <w:i w:val="false"/>
          <w:iCs w:val="false"/>
          <w:color w:val="2A6B3B"/>
          <w:sz w:val="22"/>
          <w:szCs w:val="22"/>
        </w:rPr>
        <w:t xml:space="preserve">  [A1]</w:t>
      </w:r>
    </w:p>
    <w:p>
      <w:pPr>
        <w:spacing w:after="60" w:before="60" w:line="300"/>
        <w:jc w:val="left"/>
      </w:pPr>
      <w:r>
        <w:rPr>
          <w:rFonts w:ascii="Georgia" w:cs="Georgia" w:eastAsia="Georgia" w:hAnsi="Georgia"/>
          <w:b/>
          <w:bCs/>
          <w:i w:val="false"/>
          <w:iCs w:val="false"/>
          <w:color w:val="1D1D1D"/>
          <w:sz w:val="22"/>
          <w:szCs w:val="22"/>
        </w:rPr>
        <w:t xml:space="preserve">5. </w:t>
      </w:r>
      <w:r>
        <w:rPr>
          <w:rFonts w:ascii="Georgia" w:cs="Georgia" w:eastAsia="Georgia" w:hAnsi="Georgia"/>
          <w:b w:val="false"/>
          <w:bCs w:val="false"/>
          <w:i w:val="false"/>
          <w:iCs w:val="false"/>
          <w:color w:val="1D1D1D"/>
          <w:sz w:val="22"/>
          <w:szCs w:val="22"/>
        </w:rPr>
        <w:t xml:space="preserve">Kaiser M, Goh V, Stern S, et al. Advanced imaging for earlier diagnosis and morbidity prevention in multiple myeloma: a BSH/UK Myeloma Society Good Practice Paper. Br J Haematol 2024;205:1319–1325.</w:t>
      </w:r>
      <w:r>
        <w:rPr>
          <w:rFonts w:ascii="Georgia" w:cs="Georgia" w:eastAsia="Georgia" w:hAnsi="Georgia"/>
          <w:b/>
          <w:bCs/>
          <w:i w:val="false"/>
          <w:iCs w:val="false"/>
          <w:color w:val="2A6B3B"/>
          <w:sz w:val="22"/>
          <w:szCs w:val="22"/>
        </w:rPr>
        <w:t xml:space="preserve">  [A1]</w:t>
      </w:r>
    </w:p>
    <w:p>
      <w:pPr>
        <w:spacing w:after="60" w:before="60" w:line="300"/>
        <w:jc w:val="left"/>
      </w:pPr>
      <w:r>
        <w:rPr>
          <w:rFonts w:ascii="Georgia" w:cs="Georgia" w:eastAsia="Georgia" w:hAnsi="Georgia"/>
          <w:b/>
          <w:bCs/>
          <w:i w:val="false"/>
          <w:iCs w:val="false"/>
          <w:color w:val="1D1D1D"/>
          <w:sz w:val="22"/>
          <w:szCs w:val="22"/>
        </w:rPr>
        <w:t xml:space="preserve">6. </w:t>
      </w:r>
      <w:r>
        <w:rPr>
          <w:rFonts w:ascii="Georgia" w:cs="Georgia" w:eastAsia="Georgia" w:hAnsi="Georgia"/>
          <w:b w:val="false"/>
          <w:bCs w:val="false"/>
          <w:i w:val="false"/>
          <w:iCs w:val="false"/>
          <w:color w:val="1D1D1D"/>
          <w:sz w:val="22"/>
          <w:szCs w:val="22"/>
        </w:rPr>
        <w:t xml:space="preserve">Jenner M, Boyd K, Choudhuri S, Parrish C, Garg M, Stern S. Management of relapsed multiple myeloma: a BSH/UK Myeloma Society guideline. Br J Haematol 2025;207:2322–2354.</w:t>
      </w:r>
      <w:r>
        <w:rPr>
          <w:rFonts w:ascii="Georgia" w:cs="Georgia" w:eastAsia="Georgia" w:hAnsi="Georgia"/>
          <w:b/>
          <w:bCs/>
          <w:i w:val="false"/>
          <w:iCs w:val="false"/>
          <w:color w:val="2A6B3B"/>
          <w:sz w:val="22"/>
          <w:szCs w:val="22"/>
        </w:rPr>
        <w:t xml:space="preserve">  [A1]</w:t>
      </w:r>
    </w:p>
    <w:p>
      <w:pPr>
        <w:spacing w:after="60" w:before="60" w:line="300"/>
        <w:jc w:val="left"/>
      </w:pPr>
      <w:r>
        <w:rPr>
          <w:rFonts w:ascii="Georgia" w:cs="Georgia" w:eastAsia="Georgia" w:hAnsi="Georgia"/>
          <w:b/>
          <w:bCs/>
          <w:i w:val="false"/>
          <w:iCs w:val="false"/>
          <w:color w:val="1D1D1D"/>
          <w:sz w:val="22"/>
          <w:szCs w:val="22"/>
        </w:rPr>
        <w:t xml:space="preserve">7. </w:t>
      </w:r>
      <w:r>
        <w:rPr>
          <w:rFonts w:ascii="Georgia" w:cs="Georgia" w:eastAsia="Georgia" w:hAnsi="Georgia"/>
          <w:b w:val="false"/>
          <w:bCs w:val="false"/>
          <w:i w:val="false"/>
          <w:iCs w:val="false"/>
          <w:color w:val="1D1D1D"/>
          <w:sz w:val="22"/>
          <w:szCs w:val="22"/>
        </w:rPr>
        <w:t xml:space="preserve">Snowden JA, Greenfield DM, Bird JM, et al. Guidelines for screening and management of late and long-term consequences of myeloma and its treatment. Br J Haematol 2017;176:888–907.</w:t>
      </w:r>
      <w:r>
        <w:rPr>
          <w:rFonts w:ascii="Georgia" w:cs="Georgia" w:eastAsia="Georgia" w:hAnsi="Georgia"/>
          <w:b/>
          <w:bCs/>
          <w:i w:val="false"/>
          <w:iCs w:val="false"/>
          <w:color w:val="2A6B3B"/>
          <w:sz w:val="22"/>
          <w:szCs w:val="22"/>
        </w:rPr>
        <w:t xml:space="preserve">  [A1]</w:t>
      </w:r>
    </w:p>
    <w:p>
      <w:pPr>
        <w:spacing w:after="60" w:before="60" w:line="300"/>
        <w:jc w:val="left"/>
      </w:pPr>
      <w:r>
        <w:rPr>
          <w:rFonts w:ascii="Georgia" w:cs="Georgia" w:eastAsia="Georgia" w:hAnsi="Georgia"/>
          <w:b/>
          <w:bCs/>
          <w:i w:val="false"/>
          <w:iCs w:val="false"/>
          <w:color w:val="1D1D1D"/>
          <w:sz w:val="22"/>
          <w:szCs w:val="22"/>
        </w:rPr>
        <w:t xml:space="preserve">8. </w:t>
      </w:r>
      <w:r>
        <w:rPr>
          <w:rFonts w:ascii="Georgia" w:cs="Georgia" w:eastAsia="Georgia" w:hAnsi="Georgia"/>
          <w:b w:val="false"/>
          <w:bCs w:val="false"/>
          <w:i w:val="false"/>
          <w:iCs w:val="false"/>
          <w:color w:val="1D1D1D"/>
          <w:sz w:val="22"/>
          <w:szCs w:val="22"/>
        </w:rPr>
        <w:t xml:space="preserve">Sive J, Cuthill K, Hunter H, Kazmi M, Pratt G, Smith D. Guidelines on the diagnosis, investigation and initial treatment of myeloma: a BSH/UK Myeloma Forum guideline. Br J Haematol 2021;193:245–268.</w:t>
      </w:r>
      <w:r>
        <w:rPr>
          <w:rFonts w:ascii="Georgia" w:cs="Georgia" w:eastAsia="Georgia" w:hAnsi="Georgia"/>
          <w:b/>
          <w:bCs/>
          <w:i w:val="false"/>
          <w:iCs w:val="false"/>
          <w:color w:val="2A6B3B"/>
          <w:sz w:val="22"/>
          <w:szCs w:val="22"/>
        </w:rPr>
        <w:t xml:space="preserve">  [A1]</w:t>
      </w:r>
    </w:p>
    <w:p>
      <w:pPr>
        <w:spacing w:after="60" w:before="60" w:line="300"/>
        <w:jc w:val="left"/>
      </w:pPr>
      <w:r>
        <w:rPr>
          <w:rFonts w:ascii="Georgia" w:cs="Georgia" w:eastAsia="Georgia" w:hAnsi="Georgia"/>
          <w:b/>
          <w:bCs/>
          <w:i w:val="false"/>
          <w:iCs w:val="false"/>
          <w:color w:val="1D1D1D"/>
          <w:sz w:val="22"/>
          <w:szCs w:val="22"/>
        </w:rPr>
        <w:t xml:space="preserve">9. </w:t>
      </w:r>
      <w:r>
        <w:rPr>
          <w:rFonts w:ascii="Georgia" w:cs="Georgia" w:eastAsia="Georgia" w:hAnsi="Georgia"/>
          <w:b w:val="false"/>
          <w:bCs w:val="false"/>
          <w:i w:val="false"/>
          <w:iCs w:val="false"/>
          <w:color w:val="1D1D1D"/>
          <w:sz w:val="22"/>
          <w:szCs w:val="22"/>
        </w:rPr>
        <w:t xml:space="preserve">Rajkumar SV, Dimopoulos MA, Palumbo A, et al. International Myeloma Working Group updated criteria for the diagnosis of multiple myeloma. Lancet Oncol 2014;15:e538–548.</w:t>
      </w:r>
      <w:r>
        <w:rPr>
          <w:rFonts w:ascii="Georgia" w:cs="Georgia" w:eastAsia="Georgia" w:hAnsi="Georgia"/>
          <w:b/>
          <w:bCs/>
          <w:i w:val="false"/>
          <w:iCs w:val="false"/>
          <w:color w:val="2A6B3B"/>
          <w:sz w:val="22"/>
          <w:szCs w:val="22"/>
        </w:rPr>
        <w:t xml:space="preserve">  [A1]</w:t>
      </w:r>
    </w:p>
    <w:p>
      <w:pPr>
        <w:spacing w:after="60" w:before="60" w:line="300"/>
        <w:jc w:val="left"/>
      </w:pPr>
      <w:r>
        <w:rPr>
          <w:rFonts w:ascii="Georgia" w:cs="Georgia" w:eastAsia="Georgia" w:hAnsi="Georgia"/>
          <w:b/>
          <w:bCs/>
          <w:i w:val="false"/>
          <w:iCs w:val="false"/>
          <w:color w:val="1D1D1D"/>
          <w:sz w:val="22"/>
          <w:szCs w:val="22"/>
        </w:rPr>
        <w:t xml:space="preserve">10. </w:t>
      </w:r>
      <w:r>
        <w:rPr>
          <w:rFonts w:ascii="Georgia" w:cs="Georgia" w:eastAsia="Georgia" w:hAnsi="Georgia"/>
          <w:b w:val="false"/>
          <w:bCs w:val="false"/>
          <w:i w:val="false"/>
          <w:iCs w:val="false"/>
          <w:color w:val="1D1D1D"/>
          <w:sz w:val="22"/>
          <w:szCs w:val="22"/>
        </w:rPr>
        <w:t xml:space="preserve">Rajkumar SV, Kyle RA, Therneau TM, et al. Serum free light chain ratio is an independent risk factor for progression in MGUS. Blood 2005;106:812–817.</w:t>
      </w:r>
      <w:r>
        <w:rPr>
          <w:rFonts w:ascii="Georgia" w:cs="Georgia" w:eastAsia="Georgia" w:hAnsi="Georgia"/>
          <w:b/>
          <w:bCs/>
          <w:i w:val="false"/>
          <w:iCs w:val="false"/>
          <w:color w:val="1E5D8C"/>
          <w:sz w:val="22"/>
          <w:szCs w:val="22"/>
        </w:rPr>
        <w:t xml:space="preserve">  [A2]</w:t>
      </w:r>
    </w:p>
    <w:p>
      <w:pPr>
        <w:spacing w:after="60" w:before="60" w:line="300"/>
        <w:jc w:val="left"/>
      </w:pPr>
      <w:r>
        <w:rPr>
          <w:rFonts w:ascii="Georgia" w:cs="Georgia" w:eastAsia="Georgia" w:hAnsi="Georgia"/>
          <w:b/>
          <w:bCs/>
          <w:i w:val="false"/>
          <w:iCs w:val="false"/>
          <w:color w:val="1D1D1D"/>
          <w:sz w:val="22"/>
          <w:szCs w:val="22"/>
        </w:rPr>
        <w:t xml:space="preserve">11. </w:t>
      </w:r>
      <w:r>
        <w:rPr>
          <w:rFonts w:ascii="Georgia" w:cs="Georgia" w:eastAsia="Georgia" w:hAnsi="Georgia"/>
          <w:b w:val="false"/>
          <w:bCs w:val="false"/>
          <w:i w:val="false"/>
          <w:iCs w:val="false"/>
          <w:color w:val="1D1D1D"/>
          <w:sz w:val="22"/>
          <w:szCs w:val="22"/>
        </w:rPr>
        <w:t xml:space="preserve">Mateos MV, Kumar S, Dimopoulos MA, et al. International Myeloma Working Group risk stratification model for smouldering multiple myeloma. Blood Cancer J 2020;10:102.</w:t>
      </w:r>
      <w:r>
        <w:rPr>
          <w:rFonts w:ascii="Georgia" w:cs="Georgia" w:eastAsia="Georgia" w:hAnsi="Georgia"/>
          <w:b/>
          <w:bCs/>
          <w:i w:val="false"/>
          <w:iCs w:val="false"/>
          <w:color w:val="1E5D8C"/>
          <w:sz w:val="22"/>
          <w:szCs w:val="22"/>
        </w:rPr>
        <w:t xml:space="preserve">  [A2]</w:t>
      </w:r>
    </w:p>
    <w:p>
      <w:pPr>
        <w:spacing w:after="60" w:before="60" w:line="300"/>
        <w:jc w:val="left"/>
      </w:pPr>
      <w:r>
        <w:rPr>
          <w:rFonts w:ascii="Georgia" w:cs="Georgia" w:eastAsia="Georgia" w:hAnsi="Georgia"/>
          <w:b/>
          <w:bCs/>
          <w:i w:val="false"/>
          <w:iCs w:val="false"/>
          <w:color w:val="1D1D1D"/>
          <w:sz w:val="22"/>
          <w:szCs w:val="22"/>
        </w:rPr>
        <w:t xml:space="preserve">12. </w:t>
      </w:r>
      <w:r>
        <w:rPr>
          <w:rFonts w:ascii="Georgia" w:cs="Georgia" w:eastAsia="Georgia" w:hAnsi="Georgia"/>
          <w:b w:val="false"/>
          <w:bCs w:val="false"/>
          <w:i w:val="false"/>
          <w:iCs w:val="false"/>
          <w:color w:val="1D1D1D"/>
          <w:sz w:val="22"/>
          <w:szCs w:val="22"/>
        </w:rPr>
        <w:t xml:space="preserve">Lakshman A, Rajkumar SV, Buadi FK, et al. Risk stratification of smouldering MM incorporating revised IMWG diagnostic criteria. Blood Cancer J 2018;8:59.</w:t>
      </w:r>
      <w:r>
        <w:rPr>
          <w:rFonts w:ascii="Georgia" w:cs="Georgia" w:eastAsia="Georgia" w:hAnsi="Georgia"/>
          <w:b/>
          <w:bCs/>
          <w:i w:val="false"/>
          <w:iCs w:val="false"/>
          <w:color w:val="1E5D8C"/>
          <w:sz w:val="22"/>
          <w:szCs w:val="22"/>
        </w:rPr>
        <w:t xml:space="preserve">  [A2]</w:t>
      </w:r>
    </w:p>
    <w:p>
      <w:pPr>
        <w:spacing w:after="60" w:before="60" w:line="300"/>
        <w:jc w:val="left"/>
      </w:pPr>
      <w:r>
        <w:rPr>
          <w:rFonts w:ascii="Georgia" w:cs="Georgia" w:eastAsia="Georgia" w:hAnsi="Georgia"/>
          <w:b/>
          <w:bCs/>
          <w:i w:val="false"/>
          <w:iCs w:val="false"/>
          <w:color w:val="1D1D1D"/>
          <w:sz w:val="22"/>
          <w:szCs w:val="22"/>
        </w:rPr>
        <w:t xml:space="preserve">13. </w:t>
      </w:r>
      <w:r>
        <w:rPr>
          <w:rFonts w:ascii="Georgia" w:cs="Georgia" w:eastAsia="Georgia" w:hAnsi="Georgia"/>
          <w:b w:val="false"/>
          <w:bCs w:val="false"/>
          <w:i w:val="false"/>
          <w:iCs w:val="false"/>
          <w:color w:val="1D1D1D"/>
          <w:sz w:val="22"/>
          <w:szCs w:val="22"/>
        </w:rPr>
        <w:t xml:space="preserve">Fernandez de Larrea C, Kyle R, Rosinol L, et al. Primary plasma cell leukaemia: consensus definition by the IMWG. Blood Cancer J 2021;11:192.</w:t>
      </w:r>
      <w:r>
        <w:rPr>
          <w:rFonts w:ascii="Georgia" w:cs="Georgia" w:eastAsia="Georgia" w:hAnsi="Georgia"/>
          <w:b/>
          <w:bCs/>
          <w:i w:val="false"/>
          <w:iCs w:val="false"/>
          <w:color w:val="2A6B3B"/>
          <w:sz w:val="22"/>
          <w:szCs w:val="22"/>
        </w:rPr>
        <w:t xml:space="preserve">  [A1]</w:t>
      </w:r>
    </w:p>
    <w:p>
      <w:pPr>
        <w:spacing w:after="60" w:before="60" w:line="300"/>
        <w:jc w:val="left"/>
      </w:pPr>
      <w:r>
        <w:rPr>
          <w:rFonts w:ascii="Georgia" w:cs="Georgia" w:eastAsia="Georgia" w:hAnsi="Georgia"/>
          <w:b/>
          <w:bCs/>
          <w:i w:val="false"/>
          <w:iCs w:val="false"/>
          <w:color w:val="1D1D1D"/>
          <w:sz w:val="22"/>
          <w:szCs w:val="22"/>
        </w:rPr>
        <w:t xml:space="preserve">14. </w:t>
      </w:r>
      <w:r>
        <w:rPr>
          <w:rFonts w:ascii="Georgia" w:cs="Georgia" w:eastAsia="Georgia" w:hAnsi="Georgia"/>
          <w:b w:val="false"/>
          <w:bCs w:val="false"/>
          <w:i w:val="false"/>
          <w:iCs w:val="false"/>
          <w:color w:val="1D1D1D"/>
          <w:sz w:val="22"/>
          <w:szCs w:val="22"/>
        </w:rPr>
        <w:t xml:space="preserve">Greipp PR, San Miguel J, Durie BG, et al. International staging system for multiple myeloma. J Clin Oncol 2005;23:3412–3420.</w:t>
      </w:r>
      <w:r>
        <w:rPr>
          <w:rFonts w:ascii="Georgia" w:cs="Georgia" w:eastAsia="Georgia" w:hAnsi="Georgia"/>
          <w:b/>
          <w:bCs/>
          <w:i w:val="false"/>
          <w:iCs w:val="false"/>
          <w:color w:val="1E5D8C"/>
          <w:sz w:val="22"/>
          <w:szCs w:val="22"/>
        </w:rPr>
        <w:t xml:space="preserve">  [A2]</w:t>
      </w:r>
    </w:p>
    <w:p>
      <w:pPr>
        <w:spacing w:after="60" w:before="60" w:line="300"/>
        <w:jc w:val="left"/>
      </w:pPr>
      <w:r>
        <w:rPr>
          <w:rFonts w:ascii="Georgia" w:cs="Georgia" w:eastAsia="Georgia" w:hAnsi="Georgia"/>
          <w:b/>
          <w:bCs/>
          <w:i w:val="false"/>
          <w:iCs w:val="false"/>
          <w:color w:val="1D1D1D"/>
          <w:sz w:val="22"/>
          <w:szCs w:val="22"/>
        </w:rPr>
        <w:t xml:space="preserve">15. </w:t>
      </w:r>
      <w:r>
        <w:rPr>
          <w:rFonts w:ascii="Georgia" w:cs="Georgia" w:eastAsia="Georgia" w:hAnsi="Georgia"/>
          <w:b w:val="false"/>
          <w:bCs w:val="false"/>
          <w:i w:val="false"/>
          <w:iCs w:val="false"/>
          <w:color w:val="1D1D1D"/>
          <w:sz w:val="22"/>
          <w:szCs w:val="22"/>
        </w:rPr>
        <w:t xml:space="preserve">Palumbo A, Avet-Loiseau H, Oliva S, et al. Revised International Staging System for multiple myeloma: an IMWG report. J Clin Oncol 2015;33:2863–2869.</w:t>
      </w:r>
      <w:r>
        <w:rPr>
          <w:rFonts w:ascii="Georgia" w:cs="Georgia" w:eastAsia="Georgia" w:hAnsi="Georgia"/>
          <w:b/>
          <w:bCs/>
          <w:i w:val="false"/>
          <w:iCs w:val="false"/>
          <w:color w:val="1E5D8C"/>
          <w:sz w:val="22"/>
          <w:szCs w:val="22"/>
        </w:rPr>
        <w:t xml:space="preserve">  [A2]</w:t>
      </w:r>
    </w:p>
    <w:p>
      <w:pPr>
        <w:spacing w:after="60" w:before="60" w:line="300"/>
        <w:jc w:val="left"/>
      </w:pPr>
      <w:r>
        <w:rPr>
          <w:rFonts w:ascii="Georgia" w:cs="Georgia" w:eastAsia="Georgia" w:hAnsi="Georgia"/>
          <w:b/>
          <w:bCs/>
          <w:i w:val="false"/>
          <w:iCs w:val="false"/>
          <w:color w:val="1D1D1D"/>
          <w:sz w:val="22"/>
          <w:szCs w:val="22"/>
        </w:rPr>
        <w:t xml:space="preserve">16. </w:t>
      </w:r>
      <w:r>
        <w:rPr>
          <w:rFonts w:ascii="Georgia" w:cs="Georgia" w:eastAsia="Georgia" w:hAnsi="Georgia"/>
          <w:b w:val="false"/>
          <w:bCs w:val="false"/>
          <w:i w:val="false"/>
          <w:iCs w:val="false"/>
          <w:color w:val="1D1D1D"/>
          <w:sz w:val="22"/>
          <w:szCs w:val="22"/>
        </w:rPr>
        <w:t xml:space="preserve">D Agostino M, Cairns DA, Lahuerta JJ, et al. Second revision of the International Staging System (R2-ISS) for overall survival in multiple myeloma: a European Myeloma Network report within the HARMONY project. J Clin Oncol 2022;40:3406–3418.</w:t>
      </w:r>
      <w:r>
        <w:rPr>
          <w:rFonts w:ascii="Georgia" w:cs="Georgia" w:eastAsia="Georgia" w:hAnsi="Georgia"/>
          <w:b/>
          <w:bCs/>
          <w:i w:val="false"/>
          <w:iCs w:val="false"/>
          <w:color w:val="1E5D8C"/>
          <w:sz w:val="22"/>
          <w:szCs w:val="22"/>
        </w:rPr>
        <w:t xml:space="preserve">  [A2]</w:t>
      </w:r>
    </w:p>
    <w:p>
      <w:pPr>
        <w:spacing w:after="60" w:before="60" w:line="300"/>
        <w:jc w:val="left"/>
      </w:pPr>
      <w:r>
        <w:rPr>
          <w:rFonts w:ascii="Georgia" w:cs="Georgia" w:eastAsia="Georgia" w:hAnsi="Georgia"/>
          <w:b/>
          <w:bCs/>
          <w:i w:val="false"/>
          <w:iCs w:val="false"/>
          <w:color w:val="1D1D1D"/>
          <w:sz w:val="22"/>
          <w:szCs w:val="22"/>
        </w:rPr>
        <w:t xml:space="preserve">17. </w:t>
      </w:r>
      <w:r>
        <w:rPr>
          <w:rFonts w:ascii="Georgia" w:cs="Georgia" w:eastAsia="Georgia" w:hAnsi="Georgia"/>
          <w:b w:val="false"/>
          <w:bCs w:val="false"/>
          <w:i w:val="false"/>
          <w:iCs w:val="false"/>
          <w:color w:val="1D1D1D"/>
          <w:sz w:val="22"/>
          <w:szCs w:val="22"/>
        </w:rPr>
        <w:t xml:space="preserve">Dimopoulos MA, Moreau P, Terpos E, et al. Multiple myeloma: EHA-ESMO Clinical Practice Guidelines for diagnosis, treatment and follow-up. Ann Oncol 2021;32:309–322.</w:t>
      </w:r>
      <w:r>
        <w:rPr>
          <w:rFonts w:ascii="Georgia" w:cs="Georgia" w:eastAsia="Georgia" w:hAnsi="Georgia"/>
          <w:b/>
          <w:bCs/>
          <w:i w:val="false"/>
          <w:iCs w:val="false"/>
          <w:color w:val="2A6B3B"/>
          <w:sz w:val="22"/>
          <w:szCs w:val="22"/>
        </w:rPr>
        <w:t xml:space="preserve">  [A1]</w:t>
      </w:r>
    </w:p>
    <w:p>
      <w:pPr>
        <w:spacing w:after="60" w:before="60" w:line="300"/>
        <w:jc w:val="left"/>
      </w:pPr>
      <w:r>
        <w:rPr>
          <w:rFonts w:ascii="Georgia" w:cs="Georgia" w:eastAsia="Georgia" w:hAnsi="Georgia"/>
          <w:b/>
          <w:bCs/>
          <w:i w:val="false"/>
          <w:iCs w:val="false"/>
          <w:color w:val="1D1D1D"/>
          <w:sz w:val="22"/>
          <w:szCs w:val="22"/>
        </w:rPr>
        <w:t xml:space="preserve">18. </w:t>
      </w:r>
      <w:r>
        <w:rPr>
          <w:rFonts w:ascii="Georgia" w:cs="Georgia" w:eastAsia="Georgia" w:hAnsi="Georgia"/>
          <w:b w:val="false"/>
          <w:bCs w:val="false"/>
          <w:i w:val="false"/>
          <w:iCs w:val="false"/>
          <w:color w:val="1D1D1D"/>
          <w:sz w:val="22"/>
          <w:szCs w:val="22"/>
        </w:rPr>
        <w:t xml:space="preserve">Dimopoulos MA, Terpos E, Boccadoro M, Moreau P, Mateos MV, Zweegman S, et al. EHA–EMN Evidence-Based Guidelines for diagnosis, treatment and follow-up of patients with multiple myeloma. Nat Rev Clin Oncol 2025;22(9):680–700. doi:10.1038/s41571-025-01041-x. PMID: 40624367.</w:t>
      </w:r>
      <w:r>
        <w:rPr>
          <w:rFonts w:ascii="Georgia" w:cs="Georgia" w:eastAsia="Georgia" w:hAnsi="Georgia"/>
          <w:b/>
          <w:bCs/>
          <w:i w:val="false"/>
          <w:iCs w:val="false"/>
          <w:color w:val="2A6B3B"/>
          <w:sz w:val="22"/>
          <w:szCs w:val="22"/>
        </w:rPr>
        <w:t xml:space="preserve">  [A1]</w:t>
      </w:r>
    </w:p>
    <w:p>
      <w:pPr>
        <w:spacing w:after="60" w:before="60" w:line="300"/>
        <w:jc w:val="left"/>
      </w:pPr>
      <w:r>
        <w:rPr>
          <w:rFonts w:ascii="Georgia" w:cs="Georgia" w:eastAsia="Georgia" w:hAnsi="Georgia"/>
          <w:b/>
          <w:bCs/>
          <w:i w:val="false"/>
          <w:iCs w:val="false"/>
          <w:color w:val="1D1D1D"/>
          <w:sz w:val="22"/>
          <w:szCs w:val="22"/>
        </w:rPr>
        <w:t xml:space="preserve">19. </w:t>
      </w:r>
      <w:r>
        <w:rPr>
          <w:rFonts w:ascii="Georgia" w:cs="Georgia" w:eastAsia="Georgia" w:hAnsi="Georgia"/>
          <w:b w:val="false"/>
          <w:bCs w:val="false"/>
          <w:i w:val="false"/>
          <w:iCs w:val="false"/>
          <w:color w:val="1D1D1D"/>
          <w:sz w:val="22"/>
          <w:szCs w:val="22"/>
        </w:rPr>
        <w:t xml:space="preserve">National Institute for Health and Care Excellence. Myeloma: diagnosis and management. NG35. Last updated 2018. nice.org.uk/guidance/ng35.</w:t>
      </w:r>
      <w:r>
        <w:rPr>
          <w:rFonts w:ascii="Georgia" w:cs="Georgia" w:eastAsia="Georgia" w:hAnsi="Georgia"/>
          <w:b/>
          <w:bCs/>
          <w:i w:val="false"/>
          <w:iCs w:val="false"/>
          <w:color w:val="2A6B3B"/>
          <w:sz w:val="22"/>
          <w:szCs w:val="22"/>
        </w:rPr>
        <w:t xml:space="preserve">  [A1]</w:t>
      </w:r>
    </w:p>
    <w:p>
      <w:pPr>
        <w:spacing w:after="60" w:before="60" w:line="300"/>
        <w:jc w:val="left"/>
      </w:pPr>
      <w:r>
        <w:rPr>
          <w:rFonts w:ascii="Georgia" w:cs="Georgia" w:eastAsia="Georgia" w:hAnsi="Georgia"/>
          <w:b/>
          <w:bCs/>
          <w:i w:val="false"/>
          <w:iCs w:val="false"/>
          <w:color w:val="1D1D1D"/>
          <w:sz w:val="22"/>
          <w:szCs w:val="22"/>
        </w:rPr>
        <w:t xml:space="preserve">20. </w:t>
      </w:r>
      <w:r>
        <w:rPr>
          <w:rFonts w:ascii="Georgia" w:cs="Georgia" w:eastAsia="Georgia" w:hAnsi="Georgia"/>
          <w:b w:val="false"/>
          <w:bCs w:val="false"/>
          <w:i w:val="false"/>
          <w:iCs w:val="false"/>
          <w:color w:val="1D1D1D"/>
          <w:sz w:val="22"/>
          <w:szCs w:val="22"/>
        </w:rPr>
        <w:t xml:space="preserve">Leung N, Bridoux F, Batuman V, et al. The evaluation of monoclonal gammopathy of renal significance: an IKMG consensus report. Nat Rev Nephrol 2019;15:45–59.</w:t>
      </w:r>
      <w:r>
        <w:rPr>
          <w:rFonts w:ascii="Georgia" w:cs="Georgia" w:eastAsia="Georgia" w:hAnsi="Georgia"/>
          <w:b/>
          <w:bCs/>
          <w:i w:val="false"/>
          <w:iCs w:val="false"/>
          <w:color w:val="2A6B3B"/>
          <w:sz w:val="22"/>
          <w:szCs w:val="22"/>
        </w:rPr>
        <w:t xml:space="preserve">  [A1]</w:t>
      </w:r>
    </w:p>
    <w:p>
      <w:pPr>
        <w:spacing w:after="60" w:before="60" w:line="300"/>
        <w:jc w:val="left"/>
      </w:pPr>
      <w:r>
        <w:rPr>
          <w:rFonts w:ascii="Georgia" w:cs="Georgia" w:eastAsia="Georgia" w:hAnsi="Georgia"/>
          <w:b/>
          <w:bCs/>
          <w:i w:val="false"/>
          <w:iCs w:val="false"/>
          <w:color w:val="1D1D1D"/>
          <w:sz w:val="22"/>
          <w:szCs w:val="22"/>
        </w:rPr>
        <w:t xml:space="preserve">21. </w:t>
      </w:r>
      <w:r>
        <w:rPr>
          <w:rFonts w:ascii="Georgia" w:cs="Georgia" w:eastAsia="Georgia" w:hAnsi="Georgia"/>
          <w:b w:val="false"/>
          <w:bCs w:val="false"/>
          <w:i w:val="false"/>
          <w:iCs w:val="false"/>
          <w:color w:val="1D1D1D"/>
          <w:sz w:val="22"/>
          <w:szCs w:val="22"/>
        </w:rPr>
        <w:t xml:space="preserve">Fermand JP, Bridoux F, Dispenzieri A, et al. Monoclonal gammopathy of clinical significance: a novel concept with therapeutic consequences. Blood 2018;132:1478–1485.</w:t>
      </w:r>
      <w:r>
        <w:rPr>
          <w:rFonts w:ascii="Georgia" w:cs="Georgia" w:eastAsia="Georgia" w:hAnsi="Georgia"/>
          <w:b/>
          <w:bCs/>
          <w:i w:val="false"/>
          <w:iCs w:val="false"/>
          <w:color w:val="1E5D8C"/>
          <w:sz w:val="22"/>
          <w:szCs w:val="22"/>
        </w:rPr>
        <w:t xml:space="preserve">  [A2]</w:t>
      </w:r>
    </w:p>
    <w:p>
      <w:pPr>
        <w:spacing w:after="60" w:before="60" w:line="300"/>
        <w:jc w:val="left"/>
      </w:pPr>
      <w:r>
        <w:rPr>
          <w:rFonts w:ascii="Georgia" w:cs="Georgia" w:eastAsia="Georgia" w:hAnsi="Georgia"/>
          <w:b/>
          <w:bCs/>
          <w:i w:val="false"/>
          <w:iCs w:val="false"/>
          <w:color w:val="1D1D1D"/>
          <w:sz w:val="22"/>
          <w:szCs w:val="22"/>
        </w:rPr>
        <w:t xml:space="preserve">22. </w:t>
      </w:r>
      <w:r>
        <w:rPr>
          <w:rFonts w:ascii="Georgia" w:cs="Georgia" w:eastAsia="Georgia" w:hAnsi="Georgia"/>
          <w:b w:val="false"/>
          <w:bCs w:val="false"/>
          <w:i w:val="false"/>
          <w:iCs w:val="false"/>
          <w:color w:val="1D1D1D"/>
          <w:sz w:val="22"/>
          <w:szCs w:val="22"/>
        </w:rPr>
        <w:t xml:space="preserve">Moreau P, Attal M, Hulin C, et al. Bortezomib, thalidomide, and dexamethasone with or without daratumumab before and after autologous stem-cell transplantation for NDMM (CASSIOPEIA). Lancet 2019;394:29–38.</w:t>
      </w:r>
      <w:r>
        <w:rPr>
          <w:rFonts w:ascii="Georgia" w:cs="Georgia" w:eastAsia="Georgia" w:hAnsi="Georgia"/>
          <w:b/>
          <w:bCs/>
          <w:i w:val="false"/>
          <w:iCs w:val="false"/>
          <w:color w:val="1E5D8C"/>
          <w:sz w:val="22"/>
          <w:szCs w:val="22"/>
        </w:rPr>
        <w:t xml:space="preserve">  [A2]</w:t>
      </w:r>
    </w:p>
    <w:p>
      <w:pPr>
        <w:spacing w:after="60" w:before="60" w:line="300"/>
        <w:jc w:val="left"/>
      </w:pPr>
      <w:r>
        <w:rPr>
          <w:rFonts w:ascii="Georgia" w:cs="Georgia" w:eastAsia="Georgia" w:hAnsi="Georgia"/>
          <w:b/>
          <w:bCs/>
          <w:i w:val="false"/>
          <w:iCs w:val="false"/>
          <w:color w:val="1D1D1D"/>
          <w:sz w:val="22"/>
          <w:szCs w:val="22"/>
        </w:rPr>
        <w:t xml:space="preserve">23. </w:t>
      </w:r>
      <w:r>
        <w:rPr>
          <w:rFonts w:ascii="Georgia" w:cs="Georgia" w:eastAsia="Georgia" w:hAnsi="Georgia"/>
          <w:b w:val="false"/>
          <w:bCs w:val="false"/>
          <w:i w:val="false"/>
          <w:iCs w:val="false"/>
          <w:color w:val="1D1D1D"/>
          <w:sz w:val="22"/>
          <w:szCs w:val="22"/>
        </w:rPr>
        <w:t xml:space="preserve">Sonneveld P, Dimopoulos MA, Boccadoro M, et al. Daratumumab, bortezomib, lenalidomide and dexamethasone for multiple myeloma (PERSEUS). N Engl J Med 2024;390:301–313.</w:t>
      </w:r>
      <w:r>
        <w:rPr>
          <w:rFonts w:ascii="Georgia" w:cs="Georgia" w:eastAsia="Georgia" w:hAnsi="Georgia"/>
          <w:b/>
          <w:bCs/>
          <w:i w:val="false"/>
          <w:iCs w:val="false"/>
          <w:color w:val="1E5D8C"/>
          <w:sz w:val="22"/>
          <w:szCs w:val="22"/>
        </w:rPr>
        <w:t xml:space="preserve">  [A2]</w:t>
      </w:r>
    </w:p>
    <w:p>
      <w:pPr>
        <w:spacing w:after="60" w:before="60" w:line="300"/>
        <w:jc w:val="left"/>
      </w:pPr>
      <w:r>
        <w:rPr>
          <w:rFonts w:ascii="Georgia" w:cs="Georgia" w:eastAsia="Georgia" w:hAnsi="Georgia"/>
          <w:b/>
          <w:bCs/>
          <w:i w:val="false"/>
          <w:iCs w:val="false"/>
          <w:color w:val="1D1D1D"/>
          <w:sz w:val="22"/>
          <w:szCs w:val="22"/>
        </w:rPr>
        <w:t xml:space="preserve">24. </w:t>
      </w:r>
      <w:r>
        <w:rPr>
          <w:rFonts w:ascii="Georgia" w:cs="Georgia" w:eastAsia="Georgia" w:hAnsi="Georgia"/>
          <w:b w:val="false"/>
          <w:bCs w:val="false"/>
          <w:i w:val="false"/>
          <w:iCs w:val="false"/>
          <w:color w:val="1D1D1D"/>
          <w:sz w:val="22"/>
          <w:szCs w:val="22"/>
        </w:rPr>
        <w:t xml:space="preserve">Stewart AK, Rajkumar SV, Dimopoulos MA, et al. Carfilzomib, lenalidomide, and dexamethasone for relapsed multiple myeloma (ASPIRE). N Engl J Med 2015;372:142–152.</w:t>
      </w:r>
      <w:r>
        <w:rPr>
          <w:rFonts w:ascii="Georgia" w:cs="Georgia" w:eastAsia="Georgia" w:hAnsi="Georgia"/>
          <w:b/>
          <w:bCs/>
          <w:i w:val="false"/>
          <w:iCs w:val="false"/>
          <w:color w:val="1E5D8C"/>
          <w:sz w:val="22"/>
          <w:szCs w:val="22"/>
        </w:rPr>
        <w:t xml:space="preserve">  [A2]</w:t>
      </w:r>
    </w:p>
    <w:p>
      <w:pPr>
        <w:spacing w:after="60" w:before="60" w:line="300"/>
        <w:jc w:val="left"/>
      </w:pPr>
      <w:r>
        <w:rPr>
          <w:rFonts w:ascii="Georgia" w:cs="Georgia" w:eastAsia="Georgia" w:hAnsi="Georgia"/>
          <w:b/>
          <w:bCs/>
          <w:i w:val="false"/>
          <w:iCs w:val="false"/>
          <w:color w:val="1D1D1D"/>
          <w:sz w:val="22"/>
          <w:szCs w:val="22"/>
        </w:rPr>
        <w:t xml:space="preserve">25. </w:t>
      </w:r>
      <w:r>
        <w:rPr>
          <w:rFonts w:ascii="Georgia" w:cs="Georgia" w:eastAsia="Georgia" w:hAnsi="Georgia"/>
          <w:b w:val="false"/>
          <w:bCs w:val="false"/>
          <w:i w:val="false"/>
          <w:iCs w:val="false"/>
          <w:color w:val="1D1D1D"/>
          <w:sz w:val="22"/>
          <w:szCs w:val="22"/>
        </w:rPr>
        <w:t xml:space="preserve">Dimopoulos MA, Oriol A, Nahi H, et al. Daratumumab, lenalidomide, and dexamethasone for multiple myeloma (POLLUX). N Engl J Med 2016;375:1319–1331.</w:t>
      </w:r>
      <w:r>
        <w:rPr>
          <w:rFonts w:ascii="Georgia" w:cs="Georgia" w:eastAsia="Georgia" w:hAnsi="Georgia"/>
          <w:b/>
          <w:bCs/>
          <w:i w:val="false"/>
          <w:iCs w:val="false"/>
          <w:color w:val="1E5D8C"/>
          <w:sz w:val="22"/>
          <w:szCs w:val="22"/>
        </w:rPr>
        <w:t xml:space="preserve">  [A2]</w:t>
      </w:r>
    </w:p>
    <w:p>
      <w:pPr>
        <w:spacing w:after="60" w:before="60" w:line="300"/>
        <w:jc w:val="left"/>
      </w:pPr>
      <w:r>
        <w:rPr>
          <w:rFonts w:ascii="Georgia" w:cs="Georgia" w:eastAsia="Georgia" w:hAnsi="Georgia"/>
          <w:b/>
          <w:bCs/>
          <w:i w:val="false"/>
          <w:iCs w:val="false"/>
          <w:color w:val="1D1D1D"/>
          <w:sz w:val="22"/>
          <w:szCs w:val="22"/>
        </w:rPr>
        <w:t xml:space="preserve">26. </w:t>
      </w:r>
      <w:r>
        <w:rPr>
          <w:rFonts w:ascii="Georgia" w:cs="Georgia" w:eastAsia="Georgia" w:hAnsi="Georgia"/>
          <w:b w:val="false"/>
          <w:bCs w:val="false"/>
          <w:i w:val="false"/>
          <w:iCs w:val="false"/>
          <w:color w:val="1D1D1D"/>
          <w:sz w:val="22"/>
          <w:szCs w:val="22"/>
        </w:rPr>
        <w:t xml:space="preserve">Palumbo A, Chanan-Khan A, Weisel K, et al. Daratumumab, bortezomib, and dexamethasone for multiple myeloma (CASTOR). N Engl J Med 2016;375:754–766.</w:t>
      </w:r>
      <w:r>
        <w:rPr>
          <w:rFonts w:ascii="Georgia" w:cs="Georgia" w:eastAsia="Georgia" w:hAnsi="Georgia"/>
          <w:b/>
          <w:bCs/>
          <w:i w:val="false"/>
          <w:iCs w:val="false"/>
          <w:color w:val="1E5D8C"/>
          <w:sz w:val="22"/>
          <w:szCs w:val="22"/>
        </w:rPr>
        <w:t xml:space="preserve">  [A2]</w:t>
      </w:r>
    </w:p>
    <w:p>
      <w:pPr>
        <w:spacing w:after="60" w:before="60" w:line="300"/>
        <w:jc w:val="left"/>
      </w:pPr>
      <w:r>
        <w:rPr>
          <w:rFonts w:ascii="Georgia" w:cs="Georgia" w:eastAsia="Georgia" w:hAnsi="Georgia"/>
          <w:b/>
          <w:bCs/>
          <w:i w:val="false"/>
          <w:iCs w:val="false"/>
          <w:color w:val="1D1D1D"/>
          <w:sz w:val="22"/>
          <w:szCs w:val="22"/>
        </w:rPr>
        <w:t xml:space="preserve">27. </w:t>
      </w:r>
      <w:r>
        <w:rPr>
          <w:rFonts w:ascii="Georgia" w:cs="Georgia" w:eastAsia="Georgia" w:hAnsi="Georgia"/>
          <w:b w:val="false"/>
          <w:bCs w:val="false"/>
          <w:i w:val="false"/>
          <w:iCs w:val="false"/>
          <w:color w:val="1D1D1D"/>
          <w:sz w:val="22"/>
          <w:szCs w:val="22"/>
        </w:rPr>
        <w:t xml:space="preserve">Moreau P, Garfall AL, van de Donk NWCJ, et al. Teclistamab in relapsed or refractory multiple myeloma (MajesTEC-1). N Engl J Med 2022;387:495–505.</w:t>
      </w:r>
      <w:r>
        <w:rPr>
          <w:rFonts w:ascii="Georgia" w:cs="Georgia" w:eastAsia="Georgia" w:hAnsi="Georgia"/>
          <w:b/>
          <w:bCs/>
          <w:i w:val="false"/>
          <w:iCs w:val="false"/>
          <w:color w:val="1E5D8C"/>
          <w:sz w:val="22"/>
          <w:szCs w:val="22"/>
        </w:rPr>
        <w:t xml:space="preserve">  [A2]</w:t>
      </w:r>
    </w:p>
    <w:p>
      <w:pPr>
        <w:spacing w:after="60" w:before="60" w:line="300"/>
        <w:jc w:val="left"/>
      </w:pPr>
      <w:r>
        <w:rPr>
          <w:rFonts w:ascii="Georgia" w:cs="Georgia" w:eastAsia="Georgia" w:hAnsi="Georgia"/>
          <w:b/>
          <w:bCs/>
          <w:i w:val="false"/>
          <w:iCs w:val="false"/>
          <w:color w:val="1D1D1D"/>
          <w:sz w:val="22"/>
          <w:szCs w:val="22"/>
        </w:rPr>
        <w:t xml:space="preserve">28. </w:t>
      </w:r>
      <w:r>
        <w:rPr>
          <w:rFonts w:ascii="Georgia" w:cs="Georgia" w:eastAsia="Georgia" w:hAnsi="Georgia"/>
          <w:b w:val="false"/>
          <w:bCs w:val="false"/>
          <w:i w:val="false"/>
          <w:iCs w:val="false"/>
          <w:color w:val="1D1D1D"/>
          <w:sz w:val="22"/>
          <w:szCs w:val="22"/>
        </w:rPr>
        <w:t xml:space="preserve">Munshi NC, Anderson LD, Shah N, et al. Idecabtagene vicleucel in relapsed and refractory MM (KarMMa). N Engl J Med 2021;384:705–716.</w:t>
      </w:r>
      <w:r>
        <w:rPr>
          <w:rFonts w:ascii="Georgia" w:cs="Georgia" w:eastAsia="Georgia" w:hAnsi="Georgia"/>
          <w:b/>
          <w:bCs/>
          <w:i w:val="false"/>
          <w:iCs w:val="false"/>
          <w:color w:val="1E5D8C"/>
          <w:sz w:val="22"/>
          <w:szCs w:val="22"/>
        </w:rPr>
        <w:t xml:space="preserve">  [A2]</w:t>
      </w:r>
    </w:p>
    <w:p>
      <w:pPr>
        <w:spacing w:after="60" w:before="60" w:line="300"/>
        <w:jc w:val="left"/>
      </w:pPr>
      <w:r>
        <w:rPr>
          <w:rFonts w:ascii="Georgia" w:cs="Georgia" w:eastAsia="Georgia" w:hAnsi="Georgia"/>
          <w:b/>
          <w:bCs/>
          <w:i w:val="false"/>
          <w:iCs w:val="false"/>
          <w:color w:val="1D1D1D"/>
          <w:sz w:val="22"/>
          <w:szCs w:val="22"/>
        </w:rPr>
        <w:t xml:space="preserve">29. </w:t>
      </w:r>
      <w:r>
        <w:rPr>
          <w:rFonts w:ascii="Georgia" w:cs="Georgia" w:eastAsia="Georgia" w:hAnsi="Georgia"/>
          <w:b w:val="false"/>
          <w:bCs w:val="false"/>
          <w:i w:val="false"/>
          <w:iCs w:val="false"/>
          <w:color w:val="1D1D1D"/>
          <w:sz w:val="22"/>
          <w:szCs w:val="22"/>
        </w:rPr>
        <w:t xml:space="preserve">Rodriguez-Otero P, Ailawadhi S, Arnulf B, et al. Ide-cel or standard regimens in relapsed and refractory MM (KarMMa-3). N Engl J Med 2023;388:1002–1014.</w:t>
      </w:r>
      <w:r>
        <w:rPr>
          <w:rFonts w:ascii="Georgia" w:cs="Georgia" w:eastAsia="Georgia" w:hAnsi="Georgia"/>
          <w:b/>
          <w:bCs/>
          <w:i w:val="false"/>
          <w:iCs w:val="false"/>
          <w:color w:val="1E5D8C"/>
          <w:sz w:val="22"/>
          <w:szCs w:val="22"/>
        </w:rPr>
        <w:t xml:space="preserve">  [A2]</w:t>
      </w:r>
    </w:p>
    <w:p>
      <w:pPr>
        <w:spacing w:after="60" w:before="60" w:line="300"/>
        <w:jc w:val="left"/>
      </w:pPr>
      <w:r>
        <w:rPr>
          <w:rFonts w:ascii="Georgia" w:cs="Georgia" w:eastAsia="Georgia" w:hAnsi="Georgia"/>
          <w:b/>
          <w:bCs/>
          <w:i w:val="false"/>
          <w:iCs w:val="false"/>
          <w:color w:val="1D1D1D"/>
          <w:sz w:val="22"/>
          <w:szCs w:val="22"/>
        </w:rPr>
        <w:t xml:space="preserve">30. </w:t>
      </w:r>
      <w:r>
        <w:rPr>
          <w:rFonts w:ascii="Georgia" w:cs="Georgia" w:eastAsia="Georgia" w:hAnsi="Georgia"/>
          <w:b w:val="false"/>
          <w:bCs w:val="false"/>
          <w:i w:val="false"/>
          <w:iCs w:val="false"/>
          <w:color w:val="1D1D1D"/>
          <w:sz w:val="22"/>
          <w:szCs w:val="22"/>
        </w:rPr>
        <w:t xml:space="preserve">Berdeja JG, Madduri D, Usmani SZ, et al. Ciltacabtagene autoleucel in relapsed or refractory MM (CARTITUDE-1). Lancet 2021;398:314–324.</w:t>
      </w:r>
      <w:r>
        <w:rPr>
          <w:rFonts w:ascii="Georgia" w:cs="Georgia" w:eastAsia="Georgia" w:hAnsi="Georgia"/>
          <w:b/>
          <w:bCs/>
          <w:i w:val="false"/>
          <w:iCs w:val="false"/>
          <w:color w:val="1E5D8C"/>
          <w:sz w:val="22"/>
          <w:szCs w:val="22"/>
        </w:rPr>
        <w:t xml:space="preserve">  [A2]</w:t>
      </w:r>
    </w:p>
    <w:p>
      <w:pPr>
        <w:spacing w:after="60" w:before="60" w:line="300"/>
        <w:jc w:val="left"/>
      </w:pPr>
      <w:r>
        <w:rPr>
          <w:rFonts w:ascii="Georgia" w:cs="Georgia" w:eastAsia="Georgia" w:hAnsi="Georgia"/>
          <w:b/>
          <w:bCs/>
          <w:i w:val="false"/>
          <w:iCs w:val="false"/>
          <w:color w:val="1D1D1D"/>
          <w:sz w:val="22"/>
          <w:szCs w:val="22"/>
        </w:rPr>
        <w:t xml:space="preserve">31. </w:t>
      </w:r>
      <w:r>
        <w:rPr>
          <w:rFonts w:ascii="Georgia" w:cs="Georgia" w:eastAsia="Georgia" w:hAnsi="Georgia"/>
          <w:b w:val="false"/>
          <w:bCs w:val="false"/>
          <w:i w:val="false"/>
          <w:iCs w:val="false"/>
          <w:color w:val="1D1D1D"/>
          <w:sz w:val="22"/>
          <w:szCs w:val="22"/>
        </w:rPr>
        <w:t xml:space="preserve">San-Miguel J, Dhakal B, Yong K, et al. Cilta-cel or standard care in lenalidomide-refractory MM (CARTITUDE-4). N Engl J Med 2023;389:335–347.</w:t>
      </w:r>
      <w:r>
        <w:rPr>
          <w:rFonts w:ascii="Georgia" w:cs="Georgia" w:eastAsia="Georgia" w:hAnsi="Georgia"/>
          <w:b/>
          <w:bCs/>
          <w:i w:val="false"/>
          <w:iCs w:val="false"/>
          <w:color w:val="1E5D8C"/>
          <w:sz w:val="22"/>
          <w:szCs w:val="22"/>
        </w:rPr>
        <w:t xml:space="preserve">  [A2]</w:t>
      </w:r>
    </w:p>
    <w:p>
      <w:pPr>
        <w:spacing w:after="60" w:before="60" w:line="300"/>
        <w:jc w:val="left"/>
      </w:pPr>
      <w:r>
        <w:rPr>
          <w:rFonts w:ascii="Georgia" w:cs="Georgia" w:eastAsia="Georgia" w:hAnsi="Georgia"/>
          <w:b/>
          <w:bCs/>
          <w:i w:val="false"/>
          <w:iCs w:val="false"/>
          <w:color w:val="1D1D1D"/>
          <w:sz w:val="22"/>
          <w:szCs w:val="22"/>
        </w:rPr>
        <w:t xml:space="preserve">32. </w:t>
      </w:r>
      <w:r>
        <w:rPr>
          <w:rFonts w:ascii="Georgia" w:cs="Georgia" w:eastAsia="Georgia" w:hAnsi="Georgia"/>
          <w:b w:val="false"/>
          <w:bCs w:val="false"/>
          <w:i w:val="false"/>
          <w:iCs w:val="false"/>
          <w:color w:val="1D1D1D"/>
          <w:sz w:val="22"/>
          <w:szCs w:val="22"/>
        </w:rPr>
        <w:t xml:space="preserve">Chari A, Minnema MC, Berdeja JG, et al. Talquetamab, a T-cell-redirecting GPRC5D bispecific antibody (MonumenTAL-1). N Engl J Med 2022;387:2232–2244.</w:t>
      </w:r>
      <w:r>
        <w:rPr>
          <w:rFonts w:ascii="Georgia" w:cs="Georgia" w:eastAsia="Georgia" w:hAnsi="Georgia"/>
          <w:b/>
          <w:bCs/>
          <w:i w:val="false"/>
          <w:iCs w:val="false"/>
          <w:color w:val="1E5D8C"/>
          <w:sz w:val="22"/>
          <w:szCs w:val="22"/>
        </w:rPr>
        <w:t xml:space="preserve">  [A2]</w:t>
      </w:r>
    </w:p>
    <w:p>
      <w:pPr>
        <w:spacing w:after="60" w:before="60" w:line="300"/>
        <w:jc w:val="left"/>
      </w:pPr>
      <w:r>
        <w:rPr>
          <w:rFonts w:ascii="Georgia" w:cs="Georgia" w:eastAsia="Georgia" w:hAnsi="Georgia"/>
          <w:b/>
          <w:bCs/>
          <w:i w:val="false"/>
          <w:iCs w:val="false"/>
          <w:color w:val="1D1D1D"/>
          <w:sz w:val="22"/>
          <w:szCs w:val="22"/>
        </w:rPr>
        <w:t xml:space="preserve">33. </w:t>
      </w:r>
      <w:r>
        <w:rPr>
          <w:rFonts w:ascii="Georgia" w:cs="Georgia" w:eastAsia="Georgia" w:hAnsi="Georgia"/>
          <w:b w:val="false"/>
          <w:bCs w:val="false"/>
          <w:i w:val="false"/>
          <w:iCs w:val="false"/>
          <w:color w:val="1D1D1D"/>
          <w:sz w:val="22"/>
          <w:szCs w:val="22"/>
        </w:rPr>
        <w:t xml:space="preserve">Lesokhin AM, Tomasson MH, Arnulf B, et al. Elranatamab in relapsed or refractory MM (MagnetisMM-3). Nat Med 2023;29:2259–2267.</w:t>
      </w:r>
      <w:r>
        <w:rPr>
          <w:rFonts w:ascii="Georgia" w:cs="Georgia" w:eastAsia="Georgia" w:hAnsi="Georgia"/>
          <w:b/>
          <w:bCs/>
          <w:i w:val="false"/>
          <w:iCs w:val="false"/>
          <w:color w:val="1E5D8C"/>
          <w:sz w:val="22"/>
          <w:szCs w:val="22"/>
        </w:rPr>
        <w:t xml:space="preserve">  [A2]</w:t>
      </w:r>
    </w:p>
    <w:p>
      <w:pPr>
        <w:spacing w:after="60" w:before="60" w:line="300"/>
        <w:jc w:val="left"/>
      </w:pPr>
      <w:r>
        <w:rPr>
          <w:rFonts w:ascii="Georgia" w:cs="Georgia" w:eastAsia="Georgia" w:hAnsi="Georgia"/>
          <w:b/>
          <w:bCs/>
          <w:i w:val="false"/>
          <w:iCs w:val="false"/>
          <w:color w:val="1D1D1D"/>
          <w:sz w:val="22"/>
          <w:szCs w:val="22"/>
        </w:rPr>
        <w:t xml:space="preserve">34. </w:t>
      </w:r>
      <w:r>
        <w:rPr>
          <w:rFonts w:ascii="Georgia" w:cs="Georgia" w:eastAsia="Georgia" w:hAnsi="Georgia"/>
          <w:b w:val="false"/>
          <w:bCs w:val="false"/>
          <w:i w:val="false"/>
          <w:iCs w:val="false"/>
          <w:color w:val="1D1D1D"/>
          <w:sz w:val="22"/>
          <w:szCs w:val="22"/>
        </w:rPr>
        <w:t xml:space="preserve">Chari A, Vogl DT, Gavriatopoulou M, et al. Oral selinexor-dexamethasone for triple-class refractory MM (STORM). N Engl J Med 2019;381:727–738.</w:t>
      </w:r>
      <w:r>
        <w:rPr>
          <w:rFonts w:ascii="Georgia" w:cs="Georgia" w:eastAsia="Georgia" w:hAnsi="Georgia"/>
          <w:b/>
          <w:bCs/>
          <w:i w:val="false"/>
          <w:iCs w:val="false"/>
          <w:color w:val="1E5D8C"/>
          <w:sz w:val="22"/>
          <w:szCs w:val="22"/>
        </w:rPr>
        <w:t xml:space="preserve">  [A2]</w:t>
      </w:r>
    </w:p>
    <w:p>
      <w:pPr>
        <w:spacing w:after="60" w:before="60" w:line="300"/>
        <w:jc w:val="left"/>
      </w:pPr>
      <w:r>
        <w:rPr>
          <w:rFonts w:ascii="Georgia" w:cs="Georgia" w:eastAsia="Georgia" w:hAnsi="Georgia"/>
          <w:b/>
          <w:bCs/>
          <w:i w:val="false"/>
          <w:iCs w:val="false"/>
          <w:color w:val="1D1D1D"/>
          <w:sz w:val="22"/>
          <w:szCs w:val="22"/>
        </w:rPr>
        <w:t xml:space="preserve">35. </w:t>
      </w:r>
      <w:r>
        <w:rPr>
          <w:rFonts w:ascii="Georgia" w:cs="Georgia" w:eastAsia="Georgia" w:hAnsi="Georgia"/>
          <w:b w:val="false"/>
          <w:bCs w:val="false"/>
          <w:i w:val="false"/>
          <w:iCs w:val="false"/>
          <w:color w:val="1D1D1D"/>
          <w:sz w:val="22"/>
          <w:szCs w:val="22"/>
        </w:rPr>
        <w:t xml:space="preserve">Hungria V, Robak P, Hus M, et al. Belantamab mafodotin, bortezomib, and dexamethasone for MM (DREAMM-7). N Engl J Med 2024;391:393–407.</w:t>
      </w:r>
      <w:r>
        <w:rPr>
          <w:rFonts w:ascii="Georgia" w:cs="Georgia" w:eastAsia="Georgia" w:hAnsi="Georgia"/>
          <w:b/>
          <w:bCs/>
          <w:i w:val="false"/>
          <w:iCs w:val="false"/>
          <w:color w:val="1E5D8C"/>
          <w:sz w:val="22"/>
          <w:szCs w:val="22"/>
        </w:rPr>
        <w:t xml:space="preserve">  [A2]</w:t>
      </w:r>
    </w:p>
    <w:p>
      <w:pPr>
        <w:spacing w:after="60" w:before="60" w:line="300"/>
        <w:jc w:val="left"/>
      </w:pPr>
      <w:r>
        <w:rPr>
          <w:rFonts w:ascii="Georgia" w:cs="Georgia" w:eastAsia="Georgia" w:hAnsi="Georgia"/>
          <w:b/>
          <w:bCs/>
          <w:i w:val="false"/>
          <w:iCs w:val="false"/>
          <w:color w:val="1D1D1D"/>
          <w:sz w:val="22"/>
          <w:szCs w:val="22"/>
        </w:rPr>
        <w:t xml:space="preserve">36. </w:t>
      </w:r>
      <w:r>
        <w:rPr>
          <w:rFonts w:ascii="Georgia" w:cs="Georgia" w:eastAsia="Georgia" w:hAnsi="Georgia"/>
          <w:b w:val="false"/>
          <w:bCs w:val="false"/>
          <w:i w:val="false"/>
          <w:iCs w:val="false"/>
          <w:color w:val="1D1D1D"/>
          <w:sz w:val="22"/>
          <w:szCs w:val="22"/>
        </w:rPr>
        <w:t xml:space="preserve">Trudel S, Beksac M, Pour L, et al. Belantamab mafodotin, pomalidomide, and dexamethasone in MM (DREAMM-8). N Engl J Med 2024;391:408–421.</w:t>
      </w:r>
      <w:r>
        <w:rPr>
          <w:rFonts w:ascii="Georgia" w:cs="Georgia" w:eastAsia="Georgia" w:hAnsi="Georgia"/>
          <w:b/>
          <w:bCs/>
          <w:i w:val="false"/>
          <w:iCs w:val="false"/>
          <w:color w:val="1E5D8C"/>
          <w:sz w:val="22"/>
          <w:szCs w:val="22"/>
        </w:rPr>
        <w:t xml:space="preserve">  [A2]</w:t>
      </w:r>
    </w:p>
    <w:p>
      <w:pPr>
        <w:spacing w:after="60" w:before="60" w:line="300"/>
        <w:jc w:val="left"/>
      </w:pPr>
      <w:r>
        <w:rPr>
          <w:rFonts w:ascii="Georgia" w:cs="Georgia" w:eastAsia="Georgia" w:hAnsi="Georgia"/>
          <w:b/>
          <w:bCs/>
          <w:i w:val="false"/>
          <w:iCs w:val="false"/>
          <w:color w:val="1D1D1D"/>
          <w:sz w:val="22"/>
          <w:szCs w:val="22"/>
        </w:rPr>
        <w:t xml:space="preserve">37. </w:t>
      </w:r>
      <w:r>
        <w:rPr>
          <w:rFonts w:ascii="Georgia" w:cs="Georgia" w:eastAsia="Georgia" w:hAnsi="Georgia"/>
          <w:b w:val="false"/>
          <w:bCs w:val="false"/>
          <w:i w:val="false"/>
          <w:iCs w:val="false"/>
          <w:color w:val="1D1D1D"/>
          <w:sz w:val="22"/>
          <w:szCs w:val="22"/>
        </w:rPr>
        <w:t xml:space="preserve">Kumar SK, Harrison SJ, Cavo M, et al. Venetoclax or placebo with bortezomib and dexamethasone in R/R MM (BELLINI). Lancet Oncol 2020;21:1630–1642.</w:t>
      </w:r>
      <w:r>
        <w:rPr>
          <w:rFonts w:ascii="Georgia" w:cs="Georgia" w:eastAsia="Georgia" w:hAnsi="Georgia"/>
          <w:b/>
          <w:bCs/>
          <w:i w:val="false"/>
          <w:iCs w:val="false"/>
          <w:color w:val="1E5D8C"/>
          <w:sz w:val="22"/>
          <w:szCs w:val="22"/>
        </w:rPr>
        <w:t xml:space="preserve">  [A2]</w:t>
      </w:r>
    </w:p>
    <w:p>
      <w:pPr>
        <w:spacing w:after="60" w:before="60" w:line="300"/>
        <w:jc w:val="left"/>
      </w:pPr>
      <w:r>
        <w:rPr>
          <w:rFonts w:ascii="Georgia" w:cs="Georgia" w:eastAsia="Georgia" w:hAnsi="Georgia"/>
          <w:b/>
          <w:bCs/>
          <w:i w:val="false"/>
          <w:iCs w:val="false"/>
          <w:color w:val="1D1D1D"/>
          <w:sz w:val="22"/>
          <w:szCs w:val="22"/>
        </w:rPr>
        <w:t xml:space="preserve">38. </w:t>
      </w:r>
      <w:r>
        <w:rPr>
          <w:rFonts w:ascii="Georgia" w:cs="Georgia" w:eastAsia="Georgia" w:hAnsi="Georgia"/>
          <w:b w:val="false"/>
          <w:bCs w:val="false"/>
          <w:i w:val="false"/>
          <w:iCs w:val="false"/>
          <w:color w:val="1D1D1D"/>
          <w:sz w:val="22"/>
          <w:szCs w:val="22"/>
        </w:rPr>
        <w:t xml:space="preserve">Jackson GH, Davies FE, Pawlyn C, et al. Lenalidomide maintenance versus observation for NDMM (Myeloma XI). Lancet Oncol 2019;20:57–73.</w:t>
      </w:r>
      <w:r>
        <w:rPr>
          <w:rFonts w:ascii="Georgia" w:cs="Georgia" w:eastAsia="Georgia" w:hAnsi="Georgia"/>
          <w:b/>
          <w:bCs/>
          <w:i w:val="false"/>
          <w:iCs w:val="false"/>
          <w:color w:val="1E5D8C"/>
          <w:sz w:val="22"/>
          <w:szCs w:val="22"/>
        </w:rPr>
        <w:t xml:space="preserve">  [A2]</w:t>
      </w:r>
    </w:p>
    <w:p>
      <w:pPr>
        <w:spacing w:after="60" w:before="60" w:line="300"/>
        <w:jc w:val="left"/>
      </w:pPr>
      <w:r>
        <w:rPr>
          <w:rFonts w:ascii="Georgia" w:cs="Georgia" w:eastAsia="Georgia" w:hAnsi="Georgia"/>
          <w:b/>
          <w:bCs/>
          <w:i w:val="false"/>
          <w:iCs w:val="false"/>
          <w:color w:val="1D1D1D"/>
          <w:sz w:val="22"/>
          <w:szCs w:val="22"/>
        </w:rPr>
        <w:t xml:space="preserve">39. </w:t>
      </w:r>
      <w:r>
        <w:rPr>
          <w:rFonts w:ascii="Georgia" w:cs="Georgia" w:eastAsia="Georgia" w:hAnsi="Georgia"/>
          <w:b w:val="false"/>
          <w:bCs w:val="false"/>
          <w:i w:val="false"/>
          <w:iCs w:val="false"/>
          <w:color w:val="1D1D1D"/>
          <w:sz w:val="22"/>
          <w:szCs w:val="22"/>
        </w:rPr>
        <w:t xml:space="preserve">Moreau P, Dimopoulos MA, Mikhael J, et al. Isatuximab, carfilzomib, and dexamethasone in relapsed MM (IKEMA). Lancet 2021;397:2361–2371.</w:t>
      </w:r>
      <w:r>
        <w:rPr>
          <w:rFonts w:ascii="Georgia" w:cs="Georgia" w:eastAsia="Georgia" w:hAnsi="Georgia"/>
          <w:b/>
          <w:bCs/>
          <w:i w:val="false"/>
          <w:iCs w:val="false"/>
          <w:color w:val="1E5D8C"/>
          <w:sz w:val="22"/>
          <w:szCs w:val="22"/>
        </w:rPr>
        <w:t xml:space="preserve">  [A2]</w:t>
      </w:r>
    </w:p>
    <w:p>
      <w:pPr>
        <w:spacing w:after="60" w:before="60" w:line="300"/>
        <w:jc w:val="left"/>
      </w:pPr>
      <w:r>
        <w:rPr>
          <w:rFonts w:ascii="Georgia" w:cs="Georgia" w:eastAsia="Georgia" w:hAnsi="Georgia"/>
          <w:b/>
          <w:bCs/>
          <w:i w:val="false"/>
          <w:iCs w:val="false"/>
          <w:color w:val="1D1D1D"/>
          <w:sz w:val="22"/>
          <w:szCs w:val="22"/>
        </w:rPr>
        <w:t xml:space="preserve">40. </w:t>
      </w:r>
      <w:r>
        <w:rPr>
          <w:rFonts w:ascii="Georgia" w:cs="Georgia" w:eastAsia="Georgia" w:hAnsi="Georgia"/>
          <w:b w:val="false"/>
          <w:bCs w:val="false"/>
          <w:i w:val="false"/>
          <w:iCs w:val="false"/>
          <w:color w:val="1D1D1D"/>
          <w:sz w:val="22"/>
          <w:szCs w:val="22"/>
        </w:rPr>
        <w:t xml:space="preserve">Attal M, Richardson PG, Rajkumar SV, et al. Isatuximab plus pomalidomide and low-dose dexamethasone in R/R MM (ICARIA-MM). Lancet 2019;394:2096–2107.</w:t>
      </w:r>
      <w:r>
        <w:rPr>
          <w:rFonts w:ascii="Georgia" w:cs="Georgia" w:eastAsia="Georgia" w:hAnsi="Georgia"/>
          <w:b/>
          <w:bCs/>
          <w:i w:val="false"/>
          <w:iCs w:val="false"/>
          <w:color w:val="1E5D8C"/>
          <w:sz w:val="22"/>
          <w:szCs w:val="22"/>
        </w:rPr>
        <w:t xml:space="preserve">  [A2]</w:t>
      </w:r>
    </w:p>
    <w:p>
      <w:pPr>
        <w:spacing w:after="60" w:before="60" w:line="300"/>
        <w:jc w:val="left"/>
      </w:pPr>
      <w:r>
        <w:rPr>
          <w:rFonts w:ascii="Georgia" w:cs="Georgia" w:eastAsia="Georgia" w:hAnsi="Georgia"/>
          <w:b/>
          <w:bCs/>
          <w:i w:val="false"/>
          <w:iCs w:val="false"/>
          <w:color w:val="1D1D1D"/>
          <w:sz w:val="22"/>
          <w:szCs w:val="22"/>
        </w:rPr>
        <w:t xml:space="preserve">41. </w:t>
      </w:r>
      <w:r>
        <w:rPr>
          <w:rFonts w:ascii="Georgia" w:cs="Georgia" w:eastAsia="Georgia" w:hAnsi="Georgia"/>
          <w:b w:val="false"/>
          <w:bCs w:val="false"/>
          <w:i w:val="false"/>
          <w:iCs w:val="false"/>
          <w:color w:val="1D1D1D"/>
          <w:sz w:val="22"/>
          <w:szCs w:val="22"/>
        </w:rPr>
        <w:t xml:space="preserve">Richardson PG, Oriol A, Beksac M, et al. Pomalidomide, bortezomib, and dexamethasone in R/R MM (OPTIMISMM). Lancet Oncol 2019;20:781–794.</w:t>
      </w:r>
      <w:r>
        <w:rPr>
          <w:rFonts w:ascii="Georgia" w:cs="Georgia" w:eastAsia="Georgia" w:hAnsi="Georgia"/>
          <w:b/>
          <w:bCs/>
          <w:i w:val="false"/>
          <w:iCs w:val="false"/>
          <w:color w:val="1E5D8C"/>
          <w:sz w:val="22"/>
          <w:szCs w:val="22"/>
        </w:rPr>
        <w:t xml:space="preserve">  [A2]</w:t>
      </w:r>
    </w:p>
    <w:p>
      <w:pPr>
        <w:spacing w:after="60" w:before="60" w:line="300"/>
        <w:jc w:val="left"/>
      </w:pPr>
      <w:r>
        <w:rPr>
          <w:rFonts w:ascii="Georgia" w:cs="Georgia" w:eastAsia="Georgia" w:hAnsi="Georgia"/>
          <w:b/>
          <w:bCs/>
          <w:i w:val="false"/>
          <w:iCs w:val="false"/>
          <w:color w:val="1D1D1D"/>
          <w:sz w:val="22"/>
          <w:szCs w:val="22"/>
        </w:rPr>
        <w:t xml:space="preserve">42. </w:t>
      </w:r>
      <w:r>
        <w:rPr>
          <w:rFonts w:ascii="Georgia" w:cs="Georgia" w:eastAsia="Georgia" w:hAnsi="Georgia"/>
          <w:b w:val="false"/>
          <w:bCs w:val="false"/>
          <w:i w:val="false"/>
          <w:iCs w:val="false"/>
          <w:color w:val="1D1D1D"/>
          <w:sz w:val="22"/>
          <w:szCs w:val="22"/>
        </w:rPr>
        <w:t xml:space="preserve">San-Miguel JF, Hungria VT, Yoon SS, et al. Panobinostat plus bortezomib and dexamethasone in R/R MM (PANORAMA-1). Lancet Oncol 2014;15:1195–1206.</w:t>
      </w:r>
      <w:r>
        <w:rPr>
          <w:rFonts w:ascii="Georgia" w:cs="Georgia" w:eastAsia="Georgia" w:hAnsi="Georgia"/>
          <w:b/>
          <w:bCs/>
          <w:i w:val="false"/>
          <w:iCs w:val="false"/>
          <w:color w:val="1E5D8C"/>
          <w:sz w:val="22"/>
          <w:szCs w:val="22"/>
        </w:rPr>
        <w:t xml:space="preserve">  [A2]</w:t>
      </w:r>
    </w:p>
    <w:p>
      <w:pPr>
        <w:spacing w:after="60" w:before="60" w:line="300"/>
        <w:jc w:val="left"/>
      </w:pPr>
      <w:r>
        <w:rPr>
          <w:rFonts w:ascii="Georgia" w:cs="Georgia" w:eastAsia="Georgia" w:hAnsi="Georgia"/>
          <w:b/>
          <w:bCs/>
          <w:i w:val="false"/>
          <w:iCs w:val="false"/>
          <w:color w:val="1D1D1D"/>
          <w:sz w:val="22"/>
          <w:szCs w:val="22"/>
        </w:rPr>
        <w:t xml:space="preserve">43. </w:t>
      </w:r>
      <w:r>
        <w:rPr>
          <w:rFonts w:ascii="Georgia" w:cs="Georgia" w:eastAsia="Georgia" w:hAnsi="Georgia"/>
          <w:b w:val="false"/>
          <w:bCs w:val="false"/>
          <w:i w:val="false"/>
          <w:iCs w:val="false"/>
          <w:color w:val="1D1D1D"/>
          <w:sz w:val="22"/>
          <w:szCs w:val="22"/>
        </w:rPr>
        <w:t xml:space="preserve">Grosicki S, Simonova M, Spicka I, et al. Once-per-week selinexor, bortezomib, and dexamethasone versus twice-per-week Vd in MM (BOSTON). Lancet 2020;396:1563–1573.</w:t>
      </w:r>
      <w:r>
        <w:rPr>
          <w:rFonts w:ascii="Georgia" w:cs="Georgia" w:eastAsia="Georgia" w:hAnsi="Georgia"/>
          <w:b/>
          <w:bCs/>
          <w:i w:val="false"/>
          <w:iCs w:val="false"/>
          <w:color w:val="1E5D8C"/>
          <w:sz w:val="22"/>
          <w:szCs w:val="22"/>
        </w:rPr>
        <w:t xml:space="preserve">  [A2]</w:t>
      </w:r>
    </w:p>
    <w:p>
      <w:pPr>
        <w:spacing w:after="60" w:before="60" w:line="300"/>
        <w:jc w:val="left"/>
      </w:pPr>
      <w:r>
        <w:rPr>
          <w:rFonts w:ascii="Georgia" w:cs="Georgia" w:eastAsia="Georgia" w:hAnsi="Georgia"/>
          <w:b/>
          <w:bCs/>
          <w:i w:val="false"/>
          <w:iCs w:val="false"/>
          <w:color w:val="1D1D1D"/>
          <w:sz w:val="22"/>
          <w:szCs w:val="22"/>
        </w:rPr>
        <w:t xml:space="preserve">44. </w:t>
      </w:r>
      <w:r>
        <w:rPr>
          <w:rFonts w:ascii="Georgia" w:cs="Georgia" w:eastAsia="Georgia" w:hAnsi="Georgia"/>
          <w:b w:val="false"/>
          <w:bCs w:val="false"/>
          <w:i w:val="false"/>
          <w:iCs w:val="false"/>
          <w:color w:val="1D1D1D"/>
          <w:sz w:val="22"/>
          <w:szCs w:val="22"/>
        </w:rPr>
        <w:t xml:space="preserve">San Miguel J, Weisel K, Moreau P, et al. Pomalidomide plus low-dose dexamethasone versus high-dose dexamethasone alone in R/R MM (MM-003). Lancet Oncol 2013;14:1055–1066.</w:t>
      </w:r>
      <w:r>
        <w:rPr>
          <w:rFonts w:ascii="Georgia" w:cs="Georgia" w:eastAsia="Georgia" w:hAnsi="Georgia"/>
          <w:b/>
          <w:bCs/>
          <w:i w:val="false"/>
          <w:iCs w:val="false"/>
          <w:color w:val="1E5D8C"/>
          <w:sz w:val="22"/>
          <w:szCs w:val="22"/>
        </w:rPr>
        <w:t xml:space="preserve">  [A2]</w:t>
      </w:r>
    </w:p>
    <w:p>
      <w:pPr>
        <w:spacing w:after="80" w:before="180"/>
      </w:pPr>
      <w:r>
        <w:rPr>
          <w:rFonts w:ascii="Georgia" w:cs="Georgia" w:eastAsia="Georgia" w:hAnsi="Georgia"/>
          <w:b/>
          <w:bCs/>
          <w:color w:val="1D1D1D"/>
          <w:sz w:val="24"/>
          <w:szCs w:val="24"/>
        </w:rPr>
        <w:t xml:space="preserve">NICE technology appraisals — selected entries checked May 2026; live NICE verification required before prescribing</w:t>
      </w:r>
    </w:p>
    <w:p>
      <w:pPr>
        <w:pStyle w:val="ListParagraph"/>
        <w:numPr>
          <w:ilvl w:val="0"/>
          <w:numId w:val="2"/>
        </w:numPr>
        <w:spacing w:after="40" w:before="40" w:line="280"/>
      </w:pPr>
      <w:r>
        <w:rPr>
          <w:rFonts w:ascii="Georgia" w:cs="Georgia" w:eastAsia="Georgia" w:hAnsi="Georgia"/>
          <w:b w:val="false"/>
          <w:bCs w:val="false"/>
          <w:i w:val="false"/>
          <w:iCs w:val="false"/>
          <w:color w:val="1D1D1D"/>
          <w:sz w:val="22"/>
          <w:szCs w:val="22"/>
        </w:rPr>
        <w:t xml:space="preserve">TA129 — Bortezomib monotherapy for relapsed MM (2007).</w:t>
      </w:r>
    </w:p>
    <w:p>
      <w:pPr>
        <w:pStyle w:val="ListParagraph"/>
        <w:numPr>
          <w:ilvl w:val="0"/>
          <w:numId w:val="2"/>
        </w:numPr>
        <w:spacing w:after="40" w:before="40" w:line="280"/>
      </w:pPr>
      <w:r>
        <w:rPr>
          <w:rFonts w:ascii="Georgia" w:cs="Georgia" w:eastAsia="Georgia" w:hAnsi="Georgia"/>
          <w:b w:val="false"/>
          <w:bCs w:val="false"/>
          <w:i w:val="false"/>
          <w:iCs w:val="false"/>
          <w:color w:val="1D1D1D"/>
          <w:sz w:val="22"/>
          <w:szCs w:val="22"/>
        </w:rPr>
        <w:t xml:space="preserve">TA228 — Bortezomib + thalidomide for first-line MM (2011).</w:t>
      </w:r>
    </w:p>
    <w:p>
      <w:pPr>
        <w:pStyle w:val="ListParagraph"/>
        <w:numPr>
          <w:ilvl w:val="0"/>
          <w:numId w:val="2"/>
        </w:numPr>
        <w:spacing w:after="40" w:before="40" w:line="280"/>
      </w:pPr>
      <w:r>
        <w:rPr>
          <w:rFonts w:ascii="Georgia" w:cs="Georgia" w:eastAsia="Georgia" w:hAnsi="Georgia"/>
          <w:b w:val="false"/>
          <w:bCs w:val="false"/>
          <w:i w:val="false"/>
          <w:iCs w:val="false"/>
          <w:color w:val="1D1D1D"/>
          <w:sz w:val="22"/>
          <w:szCs w:val="22"/>
        </w:rPr>
        <w:t xml:space="preserve">TA311 — Bortezomib induction before HDT/ASCT (2014).</w:t>
      </w:r>
    </w:p>
    <w:p>
      <w:pPr>
        <w:pStyle w:val="ListParagraph"/>
        <w:numPr>
          <w:ilvl w:val="0"/>
          <w:numId w:val="2"/>
        </w:numPr>
        <w:spacing w:after="40" w:before="40" w:line="280"/>
      </w:pPr>
      <w:r>
        <w:rPr>
          <w:rFonts w:ascii="Georgia" w:cs="Georgia" w:eastAsia="Georgia" w:hAnsi="Georgia"/>
          <w:b w:val="false"/>
          <w:bCs w:val="false"/>
          <w:i w:val="false"/>
          <w:iCs w:val="false"/>
          <w:color w:val="1D1D1D"/>
          <w:sz w:val="22"/>
          <w:szCs w:val="22"/>
        </w:rPr>
        <w:t xml:space="preserve">TA380 — Panobinostat + bortezomib + dex for R/R MM.</w:t>
      </w:r>
    </w:p>
    <w:p>
      <w:pPr>
        <w:pStyle w:val="ListParagraph"/>
        <w:numPr>
          <w:ilvl w:val="0"/>
          <w:numId w:val="2"/>
        </w:numPr>
        <w:spacing w:after="40" w:before="40" w:line="280"/>
      </w:pPr>
      <w:r>
        <w:rPr>
          <w:rFonts w:ascii="Georgia" w:cs="Georgia" w:eastAsia="Georgia" w:hAnsi="Georgia"/>
          <w:b w:val="false"/>
          <w:bCs w:val="false"/>
          <w:i w:val="false"/>
          <w:iCs w:val="false"/>
          <w:color w:val="1D1D1D"/>
          <w:sz w:val="22"/>
          <w:szCs w:val="22"/>
        </w:rPr>
        <w:t xml:space="preserve">TA427 — Pomalidomide + dex for R/R MM.</w:t>
      </w:r>
    </w:p>
    <w:p>
      <w:pPr>
        <w:pStyle w:val="ListParagraph"/>
        <w:numPr>
          <w:ilvl w:val="0"/>
          <w:numId w:val="2"/>
        </w:numPr>
        <w:spacing w:after="40" w:before="40" w:line="280"/>
      </w:pPr>
      <w:r>
        <w:rPr>
          <w:rFonts w:ascii="Georgia" w:cs="Georgia" w:eastAsia="Georgia" w:hAnsi="Georgia"/>
          <w:b w:val="false"/>
          <w:bCs w:val="false"/>
          <w:i w:val="false"/>
          <w:iCs w:val="false"/>
          <w:color w:val="1D1D1D"/>
          <w:sz w:val="22"/>
          <w:szCs w:val="22"/>
        </w:rPr>
        <w:t xml:space="preserve">TA510 — Daratumumab monotherapy for R/R MM.</w:t>
      </w:r>
    </w:p>
    <w:p>
      <w:pPr>
        <w:pStyle w:val="ListParagraph"/>
        <w:numPr>
          <w:ilvl w:val="0"/>
          <w:numId w:val="2"/>
        </w:numPr>
        <w:spacing w:after="40" w:before="40" w:line="280"/>
      </w:pPr>
      <w:r>
        <w:rPr>
          <w:rFonts w:ascii="Georgia" w:cs="Georgia" w:eastAsia="Georgia" w:hAnsi="Georgia"/>
          <w:b w:val="false"/>
          <w:bCs w:val="false"/>
          <w:i w:val="false"/>
          <w:iCs w:val="false"/>
          <w:color w:val="1D1D1D"/>
          <w:sz w:val="22"/>
          <w:szCs w:val="22"/>
        </w:rPr>
        <w:t xml:space="preserve">TA586 — Lenalidomide + dex for MM after one bortezomib regimen.</w:t>
      </w:r>
    </w:p>
    <w:p>
      <w:pPr>
        <w:pStyle w:val="ListParagraph"/>
        <w:numPr>
          <w:ilvl w:val="0"/>
          <w:numId w:val="2"/>
        </w:numPr>
        <w:spacing w:after="40" w:before="40" w:line="280"/>
      </w:pPr>
      <w:r>
        <w:rPr>
          <w:rFonts w:ascii="Georgia" w:cs="Georgia" w:eastAsia="Georgia" w:hAnsi="Georgia"/>
          <w:b w:val="false"/>
          <w:bCs w:val="false"/>
          <w:i w:val="false"/>
          <w:iCs w:val="false"/>
          <w:color w:val="1D1D1D"/>
          <w:sz w:val="22"/>
          <w:szCs w:val="22"/>
        </w:rPr>
        <w:t xml:space="preserve">TA587 — Lenalidomide + dex for previously untreated MM (2019).</w:t>
      </w:r>
    </w:p>
    <w:p>
      <w:pPr>
        <w:pStyle w:val="ListParagraph"/>
        <w:numPr>
          <w:ilvl w:val="0"/>
          <w:numId w:val="2"/>
        </w:numPr>
        <w:spacing w:after="40" w:before="40" w:line="280"/>
      </w:pPr>
      <w:r>
        <w:rPr>
          <w:rFonts w:ascii="Georgia" w:cs="Georgia" w:eastAsia="Georgia" w:hAnsi="Georgia"/>
          <w:b w:val="false"/>
          <w:bCs w:val="false"/>
          <w:i w:val="false"/>
          <w:iCs w:val="false"/>
          <w:color w:val="1D1D1D"/>
          <w:sz w:val="22"/>
          <w:szCs w:val="22"/>
        </w:rPr>
        <w:t xml:space="preserve">TA657 — Carfilzomib for previously treated MM (2020).</w:t>
      </w:r>
    </w:p>
    <w:p>
      <w:pPr>
        <w:pStyle w:val="ListParagraph"/>
        <w:numPr>
          <w:ilvl w:val="0"/>
          <w:numId w:val="2"/>
        </w:numPr>
        <w:spacing w:after="40" w:before="40" w:line="280"/>
      </w:pPr>
      <w:r>
        <w:rPr>
          <w:rFonts w:ascii="Georgia" w:cs="Georgia" w:eastAsia="Georgia" w:hAnsi="Georgia"/>
          <w:b w:val="false"/>
          <w:bCs w:val="false"/>
          <w:i w:val="false"/>
          <w:iCs w:val="false"/>
          <w:color w:val="1D1D1D"/>
          <w:sz w:val="22"/>
          <w:szCs w:val="22"/>
        </w:rPr>
        <w:t xml:space="preserve">TA680 — Lenalidomide maintenance after ASCT for NDMM (2021).</w:t>
      </w:r>
    </w:p>
    <w:p>
      <w:pPr>
        <w:pStyle w:val="ListParagraph"/>
        <w:numPr>
          <w:ilvl w:val="0"/>
          <w:numId w:val="2"/>
        </w:numPr>
        <w:spacing w:after="40" w:before="40" w:line="280"/>
      </w:pPr>
      <w:r>
        <w:rPr>
          <w:rFonts w:ascii="Georgia" w:cs="Georgia" w:eastAsia="Georgia" w:hAnsi="Georgia"/>
          <w:b w:val="false"/>
          <w:bCs w:val="false"/>
          <w:i w:val="false"/>
          <w:iCs w:val="false"/>
          <w:color w:val="1D1D1D"/>
          <w:sz w:val="22"/>
          <w:szCs w:val="22"/>
        </w:rPr>
        <w:t xml:space="preserve">TA695 — Carfilzomib + dex + lenalidomide (KRd) for previously treated MM.</w:t>
      </w:r>
    </w:p>
    <w:p>
      <w:pPr>
        <w:pStyle w:val="ListParagraph"/>
        <w:numPr>
          <w:ilvl w:val="0"/>
          <w:numId w:val="2"/>
        </w:numPr>
        <w:spacing w:after="40" w:before="40" w:line="280"/>
      </w:pPr>
      <w:r>
        <w:rPr>
          <w:rFonts w:ascii="Georgia" w:cs="Georgia" w:eastAsia="Georgia" w:hAnsi="Georgia"/>
          <w:b w:val="false"/>
          <w:bCs w:val="false"/>
          <w:i w:val="false"/>
          <w:iCs w:val="false"/>
          <w:color w:val="1D1D1D"/>
          <w:sz w:val="22"/>
          <w:szCs w:val="22"/>
        </w:rPr>
        <w:t xml:space="preserve">TA763 — D-VTd induction/consolidation for newly diagnosed transplant-eligible myeloma, within NICE criteria (February 2022).</w:t>
      </w:r>
    </w:p>
    <w:p>
      <w:pPr>
        <w:pStyle w:val="ListParagraph"/>
        <w:numPr>
          <w:ilvl w:val="0"/>
          <w:numId w:val="2"/>
        </w:numPr>
        <w:spacing w:after="40" w:before="40" w:line="280"/>
      </w:pPr>
      <w:r>
        <w:rPr>
          <w:rFonts w:ascii="Georgia" w:cs="Georgia" w:eastAsia="Georgia" w:hAnsi="Georgia"/>
          <w:b w:val="false"/>
          <w:bCs w:val="false"/>
          <w:i w:val="false"/>
          <w:iCs w:val="false"/>
          <w:color w:val="1D1D1D"/>
          <w:sz w:val="22"/>
          <w:szCs w:val="22"/>
        </w:rPr>
        <w:t xml:space="preserve">TA869 — Teclistamab (terminated; replaced by TA1015).</w:t>
      </w:r>
    </w:p>
    <w:p>
      <w:pPr>
        <w:pStyle w:val="ListParagraph"/>
        <w:numPr>
          <w:ilvl w:val="0"/>
          <w:numId w:val="2"/>
        </w:numPr>
        <w:spacing w:after="40" w:before="40" w:line="280"/>
      </w:pPr>
      <w:r>
        <w:rPr>
          <w:rFonts w:ascii="Georgia" w:cs="Georgia" w:eastAsia="Georgia" w:hAnsi="Georgia"/>
          <w:b w:val="false"/>
          <w:bCs w:val="false"/>
          <w:i w:val="false"/>
          <w:iCs w:val="false"/>
          <w:color w:val="1D1D1D"/>
          <w:sz w:val="22"/>
          <w:szCs w:val="22"/>
        </w:rPr>
        <w:t xml:space="preserve">TA889 — Cilta-cel for R/R MM (terminated; Janssen withdrew submission).</w:t>
      </w:r>
    </w:p>
    <w:p>
      <w:pPr>
        <w:pStyle w:val="ListParagraph"/>
        <w:numPr>
          <w:ilvl w:val="0"/>
          <w:numId w:val="2"/>
        </w:numPr>
        <w:spacing w:after="40" w:before="40" w:line="280"/>
      </w:pPr>
      <w:r>
        <w:rPr>
          <w:rFonts w:ascii="Georgia" w:cs="Georgia" w:eastAsia="Georgia" w:hAnsi="Georgia"/>
          <w:b w:val="false"/>
          <w:bCs w:val="false"/>
          <w:i w:val="false"/>
          <w:iCs w:val="false"/>
          <w:color w:val="1D1D1D"/>
          <w:sz w:val="22"/>
          <w:szCs w:val="22"/>
        </w:rPr>
        <w:t xml:space="preserve">TA970 — Selinexor + dex for R/R MM after 4 or more prior treatments.</w:t>
      </w:r>
    </w:p>
    <w:p>
      <w:pPr>
        <w:pStyle w:val="ListParagraph"/>
        <w:numPr>
          <w:ilvl w:val="0"/>
          <w:numId w:val="2"/>
        </w:numPr>
        <w:spacing w:after="40" w:before="40" w:line="280"/>
      </w:pPr>
      <w:r>
        <w:rPr>
          <w:rFonts w:ascii="Georgia" w:cs="Georgia" w:eastAsia="Georgia" w:hAnsi="Georgia"/>
          <w:b w:val="false"/>
          <w:bCs w:val="false"/>
          <w:i w:val="false"/>
          <w:iCs w:val="false"/>
          <w:color w:val="1D1D1D"/>
          <w:sz w:val="22"/>
          <w:szCs w:val="22"/>
        </w:rPr>
        <w:t xml:space="preserve">TA1015 — Teclistamab for R/R MM after 3 or more prior treatments (November 2024).</w:t>
      </w:r>
    </w:p>
    <w:p>
      <w:pPr>
        <w:pStyle w:val="ListParagraph"/>
        <w:numPr>
          <w:ilvl w:val="0"/>
          <w:numId w:val="2"/>
        </w:numPr>
        <w:spacing w:after="40" w:before="40" w:line="280"/>
      </w:pPr>
      <w:r>
        <w:rPr>
          <w:rFonts w:ascii="Georgia" w:cs="Georgia" w:eastAsia="Georgia" w:hAnsi="Georgia"/>
          <w:b w:val="false"/>
          <w:bCs w:val="false"/>
          <w:i w:val="false"/>
          <w:iCs w:val="false"/>
          <w:color w:val="1D1D1D"/>
          <w:sz w:val="22"/>
          <w:szCs w:val="22"/>
        </w:rPr>
        <w:t xml:space="preserve">TA1023 — Elranatamab for R/R MM after 3 or more prior treatments (December 2024; managed access, evidence collection).</w:t>
      </w:r>
    </w:p>
    <w:p>
      <w:pPr>
        <w:pStyle w:val="ListParagraph"/>
        <w:numPr>
          <w:ilvl w:val="0"/>
          <w:numId w:val="2"/>
        </w:numPr>
        <w:spacing w:after="40" w:before="40" w:line="280"/>
      </w:pPr>
      <w:r>
        <w:rPr>
          <w:rFonts w:ascii="Georgia" w:cs="Georgia" w:eastAsia="Georgia" w:hAnsi="Georgia"/>
          <w:b w:val="false"/>
          <w:bCs w:val="false"/>
          <w:i w:val="false"/>
          <w:iCs w:val="false"/>
          <w:color w:val="1D1D1D"/>
          <w:sz w:val="22"/>
          <w:szCs w:val="22"/>
        </w:rPr>
        <w:t xml:space="preserve">TA1098 — Isatuximab + bortezomib + lenalidomide + dexamethasone (Isa-VRd) for untreated MM when ASCT unsuitable (September 2025).</w:t>
      </w:r>
    </w:p>
    <w:p>
      <w:pPr>
        <w:pStyle w:val="ListParagraph"/>
        <w:numPr>
          <w:ilvl w:val="0"/>
          <w:numId w:val="2"/>
        </w:numPr>
        <w:spacing w:after="40" w:before="40" w:line="280"/>
      </w:pPr>
      <w:r>
        <w:rPr>
          <w:rFonts w:ascii="Georgia" w:cs="Georgia" w:eastAsia="Georgia" w:hAnsi="Georgia"/>
          <w:b w:val="false"/>
          <w:bCs w:val="false"/>
          <w:i w:val="false"/>
          <w:iCs w:val="false"/>
          <w:color w:val="1D1D1D"/>
          <w:sz w:val="22"/>
          <w:szCs w:val="22"/>
        </w:rPr>
        <w:t xml:space="preserve">TA1114 — Talquetamab for R/R MM after 3 or more prior treatments (December 2025; routine NHS option).</w:t>
      </w:r>
    </w:p>
    <w:p>
      <w:pPr>
        <w:pStyle w:val="ListParagraph"/>
        <w:numPr>
          <w:ilvl w:val="0"/>
          <w:numId w:val="2"/>
        </w:numPr>
        <w:spacing w:after="40" w:before="40" w:line="280"/>
      </w:pPr>
      <w:r>
        <w:rPr>
          <w:rFonts w:ascii="Georgia" w:cs="Georgia" w:eastAsia="Georgia" w:hAnsi="Georgia"/>
          <w:b w:val="false"/>
          <w:bCs w:val="false"/>
          <w:i w:val="false"/>
          <w:iCs w:val="false"/>
          <w:color w:val="1D1D1D"/>
          <w:sz w:val="22"/>
          <w:szCs w:val="22"/>
        </w:rPr>
        <w:t xml:space="preserve">TA1133 — Belantamab mafodotin + Pd for previously treated MM after 1 prior lenalidomide-containing line if Len-intolerant or Len-refractory (February 2026). Not a generic penta-refractory option.</w:t>
      </w:r>
    </w:p>
    <w:p>
      <w:pPr>
        <w:pStyle w:val="ListParagraph"/>
        <w:numPr>
          <w:ilvl w:val="0"/>
          <w:numId w:val="2"/>
        </w:numPr>
        <w:spacing w:after="40" w:before="40" w:line="280"/>
      </w:pPr>
      <w:r>
        <w:rPr>
          <w:rFonts w:ascii="Georgia" w:cs="Georgia" w:eastAsia="Georgia" w:hAnsi="Georgia"/>
          <w:b w:val="false"/>
          <w:bCs w:val="false"/>
          <w:i w:val="false"/>
          <w:iCs w:val="false"/>
          <w:color w:val="1D1D1D"/>
          <w:sz w:val="22"/>
          <w:szCs w:val="22"/>
        </w:rPr>
        <w:t xml:space="preserve">In development: GID-TA10726 / ID3843 (D-VRd, PERSEUS); GID-TA10905 / ID4012 (cilta-cel after 1 to 3 therapies); GID-TA11846 / ID6639 (isatuximab maintenance after ASCT).</w:t>
      </w:r>
    </w:p>
    <w:p>
      <w:pPr>
        <w:pStyle w:val="ListParagraph"/>
        <w:numPr>
          <w:ilvl w:val="0"/>
          <w:numId w:val="2"/>
        </w:numPr>
        <w:spacing w:after="40" w:before="40" w:line="280"/>
      </w:pPr>
      <w:r>
        <w:rPr>
          <w:rFonts w:ascii="Georgia" w:cs="Georgia" w:eastAsia="Georgia" w:hAnsi="Georgia"/>
          <w:b w:val="false"/>
          <w:bCs w:val="false"/>
          <w:i w:val="false"/>
          <w:iCs w:val="false"/>
          <w:color w:val="1D1D1D"/>
          <w:sz w:val="22"/>
          <w:szCs w:val="22"/>
        </w:rPr>
        <w:t xml:space="preserve">Discontinued: GID-TA10843 / ID1517 (ixazomib maintenance after ASCT; discontinued February 2026).</w:t>
      </w:r>
    </w:p>
    <w:p>
      <w:pPr>
        <w:pStyle w:val="Heading1"/>
        <w:spacing w:after="160" w:before="360"/>
      </w:pPr>
      <w:r>
        <w:rPr>
          <w:rFonts w:ascii="Georgia" w:cs="Georgia" w:eastAsia="Georgia" w:hAnsi="Georgia"/>
          <w:b/>
          <w:bCs/>
          <w:color w:val="7A1F2B"/>
          <w:sz w:val="30"/>
          <w:szCs w:val="30"/>
        </w:rPr>
        <w:t xml:space="preserve">15. </w:t>
      </w:r>
      <w:r>
        <w:rPr>
          <w:rFonts w:ascii="Georgia" w:cs="Georgia" w:eastAsia="Georgia" w:hAnsi="Georgia"/>
          <w:b/>
          <w:bCs/>
          <w:color w:val="7A1F2B"/>
          <w:sz w:val="30"/>
          <w:szCs w:val="30"/>
        </w:rPr>
        <w:t xml:space="preserve">How to Cite This Document</w:t>
      </w:r>
    </w:p>
    <w:p>
      <w:pPr>
        <w:spacing w:after="80" w:before="80" w:line="300"/>
        <w:jc w:val="left"/>
      </w:pPr>
      <w:r>
        <w:rPr>
          <w:rFonts w:ascii="Georgia" w:cs="Georgia" w:eastAsia="Georgia" w:hAnsi="Georgia"/>
          <w:b w:val="false"/>
          <w:bCs w:val="false"/>
          <w:i w:val="false"/>
          <w:iCs w:val="false"/>
          <w:color w:val="1D1D1D"/>
          <w:sz w:val="22"/>
          <w:szCs w:val="22"/>
        </w:rPr>
        <w:t xml:space="preserve">Copy one of the formats below if you are citing this guideline in a presentation, teaching pack, audit write-up, or letter. Update the access year if you are reading this at a later date.</w:t>
      </w:r>
    </w:p>
    <w:p>
      <w:pPr>
        <w:spacing w:after="80" w:before="180"/>
      </w:pPr>
      <w:r>
        <w:rPr>
          <w:rFonts w:ascii="Georgia" w:cs="Georgia" w:eastAsia="Georgia" w:hAnsi="Georgia"/>
          <w:b/>
          <w:bCs/>
          <w:color w:val="1D1D1D"/>
          <w:sz w:val="24"/>
          <w:szCs w:val="24"/>
        </w:rPr>
        <w:t xml:space="preserve">APA</w:t>
      </w:r>
    </w:p>
    <w:p>
      <w:pPr>
        <w:spacing w:after="80" w:before="80" w:line="300"/>
        <w:jc w:val="left"/>
      </w:pPr>
      <w:r>
        <w:rPr>
          <w:rFonts w:ascii="Georgia" w:cs="Georgia" w:eastAsia="Georgia" w:hAnsi="Georgia"/>
          <w:b w:val="false"/>
          <w:bCs w:val="false"/>
          <w:i/>
          <w:iCs/>
          <w:color w:val="1D1D1D"/>
          <w:sz w:val="22"/>
          <w:szCs w:val="22"/>
        </w:rPr>
        <w:t xml:space="preserve">Mohsin, M. (2026). Multiple Myeloma — Unified UK Practice Guideline. Mohsin Haematology Academy. https://mohsinhaemacademy.com/guidelines/myeloma/</w:t>
      </w:r>
    </w:p>
    <w:p>
      <w:pPr>
        <w:spacing w:after="80" w:before="180"/>
      </w:pPr>
      <w:r>
        <w:rPr>
          <w:rFonts w:ascii="Georgia" w:cs="Georgia" w:eastAsia="Georgia" w:hAnsi="Georgia"/>
          <w:b/>
          <w:bCs/>
          <w:color w:val="1D1D1D"/>
          <w:sz w:val="24"/>
          <w:szCs w:val="24"/>
        </w:rPr>
        <w:t xml:space="preserve">Vancouver</w:t>
      </w:r>
    </w:p>
    <w:p>
      <w:pPr>
        <w:spacing w:after="80" w:before="80" w:line="300"/>
        <w:jc w:val="left"/>
      </w:pPr>
      <w:r>
        <w:rPr>
          <w:rFonts w:ascii="Georgia" w:cs="Georgia" w:eastAsia="Georgia" w:hAnsi="Georgia"/>
          <w:b w:val="false"/>
          <w:bCs w:val="false"/>
          <w:i/>
          <w:iCs/>
          <w:color w:val="1D1D1D"/>
          <w:sz w:val="22"/>
          <w:szCs w:val="22"/>
        </w:rPr>
        <w:t xml:space="preserve">Mohsin M. Multiple Myeloma — Unified UK Practice Guideline. Mohsin Haematology Academy; 2026. Available from: https://mohsinhaemacademy.com/guidelines/myeloma/</w:t>
      </w:r>
    </w:p>
    <w:p>
      <w:pPr>
        <w:spacing w:after="80" w:before="180"/>
      </w:pPr>
      <w:r>
        <w:rPr>
          <w:rFonts w:ascii="Georgia" w:cs="Georgia" w:eastAsia="Georgia" w:hAnsi="Georgia"/>
          <w:b/>
          <w:bCs/>
          <w:color w:val="1D1D1D"/>
          <w:sz w:val="24"/>
          <w:szCs w:val="24"/>
        </w:rPr>
        <w:t xml:space="preserve">BibTeX</w:t>
      </w:r>
    </w:p>
    <w:p>
      <w:pPr>
        <w:spacing w:after="80" w:before="80" w:line="300"/>
        <w:jc w:val="left"/>
      </w:pPr>
      <w:r>
        <w:rPr>
          <w:rFonts w:ascii="Georgia" w:cs="Georgia" w:eastAsia="Georgia" w:hAnsi="Georgia"/>
          <w:b w:val="false"/>
          <w:bCs w:val="false"/>
          <w:i w:val="false"/>
          <w:iCs w:val="false"/>
          <w:color w:val="1D1D1D"/>
          <w:sz w:val="18"/>
          <w:szCs w:val="18"/>
        </w:rPr>
        <w:t xml:space="preserve">@misc{mohsin_myeloma_2026,</w:t>
      </w:r>
    </w:p>
    <w:p>
      <w:pPr>
        <w:spacing w:after="80" w:before="80" w:line="300"/>
        <w:jc w:val="left"/>
      </w:pPr>
      <w:r>
        <w:rPr>
          <w:rFonts w:ascii="Georgia" w:cs="Georgia" w:eastAsia="Georgia" w:hAnsi="Georgia"/>
          <w:b w:val="false"/>
          <w:bCs w:val="false"/>
          <w:i w:val="false"/>
          <w:iCs w:val="false"/>
          <w:color w:val="1D1D1D"/>
          <w:sz w:val="18"/>
          <w:szCs w:val="18"/>
        </w:rPr>
        <w:t xml:space="preserve">  author = {Mohsin, Muhammad},</w:t>
      </w:r>
    </w:p>
    <w:p>
      <w:pPr>
        <w:spacing w:after="80" w:before="80" w:line="300"/>
        <w:jc w:val="left"/>
      </w:pPr>
      <w:r>
        <w:rPr>
          <w:rFonts w:ascii="Georgia" w:cs="Georgia" w:eastAsia="Georgia" w:hAnsi="Georgia"/>
          <w:b w:val="false"/>
          <w:bCs w:val="false"/>
          <w:i w:val="false"/>
          <w:iCs w:val="false"/>
          <w:color w:val="1D1D1D"/>
          <w:sz w:val="18"/>
          <w:szCs w:val="18"/>
        </w:rPr>
        <w:t xml:space="preserve">  title  = {Multiple Myeloma --- Unified UK Practice Guideline},</w:t>
      </w:r>
    </w:p>
    <w:p>
      <w:pPr>
        <w:spacing w:after="80" w:before="80" w:line="300"/>
        <w:jc w:val="left"/>
      </w:pPr>
      <w:r>
        <w:rPr>
          <w:rFonts w:ascii="Georgia" w:cs="Georgia" w:eastAsia="Georgia" w:hAnsi="Georgia"/>
          <w:b w:val="false"/>
          <w:bCs w:val="false"/>
          <w:i w:val="false"/>
          <w:iCs w:val="false"/>
          <w:color w:val="1D1D1D"/>
          <w:sz w:val="18"/>
          <w:szCs w:val="18"/>
        </w:rPr>
        <w:t xml:space="preserve">  year   = {2026},</w:t>
      </w:r>
    </w:p>
    <w:p>
      <w:pPr>
        <w:spacing w:after="80" w:before="80" w:line="300"/>
        <w:jc w:val="left"/>
      </w:pPr>
      <w:r>
        <w:rPr>
          <w:rFonts w:ascii="Georgia" w:cs="Georgia" w:eastAsia="Georgia" w:hAnsi="Georgia"/>
          <w:b w:val="false"/>
          <w:bCs w:val="false"/>
          <w:i w:val="false"/>
          <w:iCs w:val="false"/>
          <w:color w:val="1D1D1D"/>
          <w:sz w:val="18"/>
          <w:szCs w:val="18"/>
        </w:rPr>
        <w:t xml:space="preserve">  url    = {https://mohsinhaemacademy.com/guidelines/myeloma/},</w:t>
      </w:r>
    </w:p>
    <w:p>
      <w:pPr>
        <w:spacing w:after="80" w:before="80" w:line="300"/>
        <w:jc w:val="left"/>
      </w:pPr>
      <w:r>
        <w:rPr>
          <w:rFonts w:ascii="Georgia" w:cs="Georgia" w:eastAsia="Georgia" w:hAnsi="Georgia"/>
          <w:b w:val="false"/>
          <w:bCs w:val="false"/>
          <w:i w:val="false"/>
          <w:iCs w:val="false"/>
          <w:color w:val="1D1D1D"/>
          <w:sz w:val="18"/>
          <w:szCs w:val="18"/>
        </w:rPr>
        <w:t xml:space="preserve">  note   = {Mohsin Haematology Academy. Educational decision-support resource.}</w:t>
      </w:r>
    </w:p>
    <w:p>
      <w:pPr>
        <w:spacing w:after="80" w:before="80" w:line="300"/>
        <w:jc w:val="left"/>
      </w:pPr>
      <w:r>
        <w:rPr>
          <w:rFonts w:ascii="Georgia" w:cs="Georgia" w:eastAsia="Georgia" w:hAnsi="Georgia"/>
          <w:b w:val="false"/>
          <w:bCs w:val="false"/>
          <w:i w:val="false"/>
          <w:iCs w:val="false"/>
          <w:color w:val="1D1D1D"/>
          <w:sz w:val="18"/>
          <w:szCs w:val="18"/>
        </w:rPr>
        <w:t xml:space="preserve">}</w:t>
      </w:r>
    </w:p>
    <w:p>
      <w:pPr>
        <w:spacing w:after="80" w:before="80" w:line="300"/>
        <w:jc w:val="left"/>
      </w:pPr>
      <w:r>
        <w:rPr>
          <w:rFonts w:ascii="Georgia" w:cs="Georgia" w:eastAsia="Georgia" w:hAnsi="Georgia"/>
          <w:b/>
          <w:bCs/>
          <w:i w:val="false"/>
          <w:iCs w:val="false"/>
          <w:color w:val="1D1D1D"/>
          <w:sz w:val="22"/>
          <w:szCs w:val="22"/>
        </w:rPr>
        <w:t xml:space="preserve">Citation etiquette: </w:t>
      </w:r>
      <w:r>
        <w:rPr>
          <w:rFonts w:ascii="Georgia" w:cs="Georgia" w:eastAsia="Georgia" w:hAnsi="Georgia"/>
          <w:b w:val="false"/>
          <w:bCs w:val="false"/>
          <w:i w:val="false"/>
          <w:iCs w:val="false"/>
          <w:color w:val="1D1D1D"/>
          <w:sz w:val="22"/>
          <w:szCs w:val="22"/>
        </w:rPr>
        <w:t xml:space="preserve">when you use this guideline to inform a clinical discussion, please also cite the primary BSH / UKMS / NICE / IMWG / EHA-EMN sources listed in the References section. This document is a synthesis, not a primary source.</w:t>
      </w:r>
    </w:p>
    <w:p>
      <w:pPr>
        <w:pStyle w:val="Heading2"/>
        <w:spacing w:after="120" w:before="240"/>
      </w:pPr>
      <w:r>
        <w:rPr>
          <w:rFonts w:ascii="Georgia" w:cs="Georgia" w:eastAsia="Georgia" w:hAnsi="Georgia"/>
          <w:b/>
          <w:bCs/>
          <w:color w:val="7A1F2B"/>
          <w:sz w:val="26"/>
          <w:szCs w:val="26"/>
        </w:rPr>
        <w:t xml:space="preserve">Versioning and Governance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200"/>
        <w:gridCol w:w="1400"/>
        <w:gridCol w:w="2400"/>
        <w:gridCol w:w="4026"/>
      </w:tblGrid>
      <w:tr>
        <w:trPr>
          <w:tblHeader/>
        </w:trPr>
        <w:tc>
          <w:tcPr>
            <w:tcW w:type="dxa" w:w="1200"/>
            <w:tcBorders>
              <w:top w:val="single" w:color="D8C9CB" w:sz="4"/>
              <w:left w:val="single" w:color="D8C9CB" w:sz="4"/>
              <w:bottom w:val="single" w:color="D8C9CB" w:sz="4"/>
              <w:right w:val="single" w:color="D8C9CB" w:sz="4"/>
            </w:tcBorders>
            <w:shd w:fill="F5E9EB" w:val="clear"/>
            <w:tcMar>
              <w:top w:type="dxa" w:w="80"/>
              <w:left w:type="dxa" w:w="120"/>
              <w:bottom w:type="dxa" w:w="80"/>
              <w:right w:type="dxa" w:w="120"/>
            </w:tcMar>
          </w:tcPr>
          <w:p>
            <w:pPr>
              <w:spacing w:after="0" w:before="0" w:line="260"/>
            </w:pPr>
            <w:r>
              <w:rPr>
                <w:rFonts w:ascii="Georgia" w:cs="Georgia" w:eastAsia="Georgia" w:hAnsi="Georgia"/>
                <w:b/>
                <w:bCs/>
                <w:color w:val="7A1F2B"/>
                <w:sz w:val="20"/>
                <w:szCs w:val="20"/>
              </w:rPr>
              <w:t xml:space="preserve">Version</w:t>
            </w:r>
          </w:p>
        </w:tc>
        <w:tc>
          <w:tcPr>
            <w:tcW w:type="dxa" w:w="1400"/>
            <w:tcBorders>
              <w:top w:val="single" w:color="D8C9CB" w:sz="4"/>
              <w:left w:val="single" w:color="D8C9CB" w:sz="4"/>
              <w:bottom w:val="single" w:color="D8C9CB" w:sz="4"/>
              <w:right w:val="single" w:color="D8C9CB" w:sz="4"/>
            </w:tcBorders>
            <w:shd w:fill="F5E9EB" w:val="clear"/>
            <w:tcMar>
              <w:top w:type="dxa" w:w="80"/>
              <w:left w:type="dxa" w:w="120"/>
              <w:bottom w:type="dxa" w:w="80"/>
              <w:right w:type="dxa" w:w="120"/>
            </w:tcMar>
          </w:tcPr>
          <w:p>
            <w:pPr>
              <w:spacing w:after="0" w:before="0" w:line="260"/>
            </w:pPr>
            <w:r>
              <w:rPr>
                <w:rFonts w:ascii="Georgia" w:cs="Georgia" w:eastAsia="Georgia" w:hAnsi="Georgia"/>
                <w:b/>
                <w:bCs/>
                <w:color w:val="7A1F2B"/>
                <w:sz w:val="20"/>
                <w:szCs w:val="20"/>
              </w:rPr>
              <w:t xml:space="preserve">Date</w:t>
            </w:r>
          </w:p>
        </w:tc>
        <w:tc>
          <w:tcPr>
            <w:tcW w:type="dxa" w:w="2400"/>
            <w:tcBorders>
              <w:top w:val="single" w:color="D8C9CB" w:sz="4"/>
              <w:left w:val="single" w:color="D8C9CB" w:sz="4"/>
              <w:bottom w:val="single" w:color="D8C9CB" w:sz="4"/>
              <w:right w:val="single" w:color="D8C9CB" w:sz="4"/>
            </w:tcBorders>
            <w:shd w:fill="F5E9EB" w:val="clear"/>
            <w:tcMar>
              <w:top w:type="dxa" w:w="80"/>
              <w:left w:type="dxa" w:w="120"/>
              <w:bottom w:type="dxa" w:w="80"/>
              <w:right w:type="dxa" w:w="120"/>
            </w:tcMar>
          </w:tcPr>
          <w:p>
            <w:pPr>
              <w:spacing w:after="0" w:before="0" w:line="260"/>
            </w:pPr>
            <w:r>
              <w:rPr>
                <w:rFonts w:ascii="Georgia" w:cs="Georgia" w:eastAsia="Georgia" w:hAnsi="Georgia"/>
                <w:b/>
                <w:bCs/>
                <w:color w:val="7A1F2B"/>
                <w:sz w:val="20"/>
                <w:szCs w:val="20"/>
              </w:rPr>
              <w:t xml:space="preserve">Author</w:t>
            </w:r>
          </w:p>
        </w:tc>
        <w:tc>
          <w:tcPr>
            <w:tcW w:type="dxa" w:w="4026"/>
            <w:tcBorders>
              <w:top w:val="single" w:color="D8C9CB" w:sz="4"/>
              <w:left w:val="single" w:color="D8C9CB" w:sz="4"/>
              <w:bottom w:val="single" w:color="D8C9CB" w:sz="4"/>
              <w:right w:val="single" w:color="D8C9CB" w:sz="4"/>
            </w:tcBorders>
            <w:shd w:fill="F5E9EB" w:val="clear"/>
            <w:tcMar>
              <w:top w:type="dxa" w:w="80"/>
              <w:left w:type="dxa" w:w="120"/>
              <w:bottom w:type="dxa" w:w="80"/>
              <w:right w:type="dxa" w:w="120"/>
            </w:tcMar>
          </w:tcPr>
          <w:p>
            <w:pPr>
              <w:spacing w:after="0" w:before="0" w:line="260"/>
            </w:pPr>
            <w:r>
              <w:rPr>
                <w:rFonts w:ascii="Georgia" w:cs="Georgia" w:eastAsia="Georgia" w:hAnsi="Georgia"/>
                <w:b/>
                <w:bCs/>
                <w:color w:val="7A1F2B"/>
                <w:sz w:val="20"/>
                <w:szCs w:val="20"/>
              </w:rPr>
              <w:t xml:space="preserve">Change</w:t>
            </w:r>
          </w:p>
        </w:tc>
      </w:tr>
      <w:tr>
        <w:tc>
          <w:tcPr>
            <w:tcW w:type="dxa" w:w="1200"/>
            <w:tcBorders>
              <w:top w:val="single" w:color="D8C9CB" w:sz="4"/>
              <w:left w:val="single" w:color="D8C9CB" w:sz="4"/>
              <w:bottom w:val="single" w:color="D8C9CB" w:sz="4"/>
              <w:right w:val="single" w:color="D8C9CB" w:sz="4"/>
            </w:tcBorders>
            <w:tcMar>
              <w:top w:type="dxa" w:w="80"/>
              <w:left w:type="dxa" w:w="120"/>
              <w:bottom w:type="dxa" w:w="80"/>
              <w:right w:type="dxa" w:w="120"/>
            </w:tcMar>
          </w:tcPr>
          <w:p>
            <w:pPr>
              <w:spacing w:after="0" w:before="0" w:line="260"/>
            </w:pPr>
            <w:r>
              <w:rPr>
                <w:rFonts w:ascii="Georgia" w:cs="Georgia" w:eastAsia="Georgia" w:hAnsi="Georgia"/>
                <w:b w:val="false"/>
                <w:bCs w:val="false"/>
                <w:color w:val="1D1D1D"/>
                <w:sz w:val="20"/>
                <w:szCs w:val="20"/>
              </w:rPr>
              <w:t xml:space="preserve">v0.1</w:t>
            </w:r>
          </w:p>
        </w:tc>
        <w:tc>
          <w:tcPr>
            <w:tcW w:type="dxa" w:w="1400"/>
            <w:tcBorders>
              <w:top w:val="single" w:color="D8C9CB" w:sz="4"/>
              <w:left w:val="single" w:color="D8C9CB" w:sz="4"/>
              <w:bottom w:val="single" w:color="D8C9CB" w:sz="4"/>
              <w:right w:val="single" w:color="D8C9CB" w:sz="4"/>
            </w:tcBorders>
            <w:tcMar>
              <w:top w:type="dxa" w:w="80"/>
              <w:left w:type="dxa" w:w="120"/>
              <w:bottom w:type="dxa" w:w="80"/>
              <w:right w:type="dxa" w:w="120"/>
            </w:tcMar>
          </w:tcPr>
          <w:p>
            <w:pPr>
              <w:spacing w:after="0" w:before="0" w:line="260"/>
            </w:pPr>
            <w:r>
              <w:rPr>
                <w:rFonts w:ascii="Georgia" w:cs="Georgia" w:eastAsia="Georgia" w:hAnsi="Georgia"/>
                <w:b w:val="false"/>
                <w:bCs w:val="false"/>
                <w:color w:val="1D1D1D"/>
                <w:sz w:val="20"/>
                <w:szCs w:val="20"/>
              </w:rPr>
              <w:t xml:space="preserve">May 2026</w:t>
            </w:r>
          </w:p>
        </w:tc>
        <w:tc>
          <w:tcPr>
            <w:tcW w:type="dxa" w:w="2400"/>
            <w:tcBorders>
              <w:top w:val="single" w:color="D8C9CB" w:sz="4"/>
              <w:left w:val="single" w:color="D8C9CB" w:sz="4"/>
              <w:bottom w:val="single" w:color="D8C9CB" w:sz="4"/>
              <w:right w:val="single" w:color="D8C9CB" w:sz="4"/>
            </w:tcBorders>
            <w:tcMar>
              <w:top w:type="dxa" w:w="80"/>
              <w:left w:type="dxa" w:w="120"/>
              <w:bottom w:type="dxa" w:w="80"/>
              <w:right w:type="dxa" w:w="120"/>
            </w:tcMar>
          </w:tcPr>
          <w:p>
            <w:pPr>
              <w:spacing w:after="0" w:before="0" w:line="260"/>
            </w:pPr>
            <w:r>
              <w:rPr>
                <w:rFonts w:ascii="Georgia" w:cs="Georgia" w:eastAsia="Georgia" w:hAnsi="Georgia"/>
                <w:b w:val="false"/>
                <w:bCs w:val="false"/>
                <w:color w:val="1D1D1D"/>
                <w:sz w:val="20"/>
                <w:szCs w:val="20"/>
              </w:rPr>
              <w:t xml:space="preserve">Dr M Mohsin</w:t>
            </w:r>
          </w:p>
        </w:tc>
        <w:tc>
          <w:tcPr>
            <w:tcW w:type="dxa" w:w="4026"/>
            <w:tcBorders>
              <w:top w:val="single" w:color="D8C9CB" w:sz="4"/>
              <w:left w:val="single" w:color="D8C9CB" w:sz="4"/>
              <w:bottom w:val="single" w:color="D8C9CB" w:sz="4"/>
              <w:right w:val="single" w:color="D8C9CB" w:sz="4"/>
            </w:tcBorders>
            <w:tcMar>
              <w:top w:type="dxa" w:w="80"/>
              <w:left w:type="dxa" w:w="120"/>
              <w:bottom w:type="dxa" w:w="80"/>
              <w:right w:type="dxa" w:w="120"/>
            </w:tcMar>
          </w:tcPr>
          <w:p>
            <w:pPr>
              <w:spacing w:after="0" w:before="0" w:line="260"/>
            </w:pPr>
            <w:r>
              <w:rPr>
                <w:rFonts w:ascii="Georgia" w:cs="Georgia" w:eastAsia="Georgia" w:hAnsi="Georgia"/>
                <w:b w:val="false"/>
                <w:bCs w:val="false"/>
                <w:color w:val="1D1D1D"/>
                <w:sz w:val="20"/>
                <w:szCs w:val="20"/>
              </w:rPr>
              <w:t xml:space="preserve">Initial proposal — continuum structure, MGUS/SMM/MGRS/NDMM/HRMM/imaging/relapse/survivorship/audit sections; cross-check against BSH source PDFs.</w:t>
            </w:r>
          </w:p>
        </w:tc>
      </w:tr>
      <w:tr>
        <w:tc>
          <w:tcPr>
            <w:tcW w:type="dxa" w:w="1200"/>
            <w:tcBorders>
              <w:top w:val="single" w:color="D8C9CB" w:sz="4"/>
              <w:left w:val="single" w:color="D8C9CB" w:sz="4"/>
              <w:bottom w:val="single" w:color="D8C9CB" w:sz="4"/>
              <w:right w:val="single" w:color="D8C9CB" w:sz="4"/>
            </w:tcBorders>
            <w:tcMar>
              <w:top w:type="dxa" w:w="80"/>
              <w:left w:type="dxa" w:w="120"/>
              <w:bottom w:type="dxa" w:w="80"/>
              <w:right w:type="dxa" w:w="120"/>
            </w:tcMar>
          </w:tcPr>
          <w:p>
            <w:pPr>
              <w:spacing w:after="0" w:before="0" w:line="260"/>
            </w:pPr>
            <w:r>
              <w:rPr>
                <w:rFonts w:ascii="Georgia" w:cs="Georgia" w:eastAsia="Georgia" w:hAnsi="Georgia"/>
                <w:b w:val="false"/>
                <w:bCs w:val="false"/>
                <w:color w:val="1D1D1D"/>
                <w:sz w:val="20"/>
                <w:szCs w:val="20"/>
              </w:rPr>
              <w:t xml:space="preserve">v0.2</w:t>
            </w:r>
          </w:p>
        </w:tc>
        <w:tc>
          <w:tcPr>
            <w:tcW w:type="dxa" w:w="1400"/>
            <w:tcBorders>
              <w:top w:val="single" w:color="D8C9CB" w:sz="4"/>
              <w:left w:val="single" w:color="D8C9CB" w:sz="4"/>
              <w:bottom w:val="single" w:color="D8C9CB" w:sz="4"/>
              <w:right w:val="single" w:color="D8C9CB" w:sz="4"/>
            </w:tcBorders>
            <w:tcMar>
              <w:top w:type="dxa" w:w="80"/>
              <w:left w:type="dxa" w:w="120"/>
              <w:bottom w:type="dxa" w:w="80"/>
              <w:right w:type="dxa" w:w="120"/>
            </w:tcMar>
          </w:tcPr>
          <w:p>
            <w:pPr>
              <w:spacing w:after="0" w:before="0" w:line="260"/>
            </w:pPr>
            <w:r>
              <w:rPr>
                <w:rFonts w:ascii="Georgia" w:cs="Georgia" w:eastAsia="Georgia" w:hAnsi="Georgia"/>
                <w:b w:val="false"/>
                <w:bCs w:val="false"/>
                <w:color w:val="1D1D1D"/>
                <w:sz w:val="20"/>
                <w:szCs w:val="20"/>
              </w:rPr>
              <w:t xml:space="preserve">May 2026</w:t>
            </w:r>
          </w:p>
        </w:tc>
        <w:tc>
          <w:tcPr>
            <w:tcW w:type="dxa" w:w="2400"/>
            <w:tcBorders>
              <w:top w:val="single" w:color="D8C9CB" w:sz="4"/>
              <w:left w:val="single" w:color="D8C9CB" w:sz="4"/>
              <w:bottom w:val="single" w:color="D8C9CB" w:sz="4"/>
              <w:right w:val="single" w:color="D8C9CB" w:sz="4"/>
            </w:tcBorders>
            <w:tcMar>
              <w:top w:type="dxa" w:w="80"/>
              <w:left w:type="dxa" w:w="120"/>
              <w:bottom w:type="dxa" w:w="80"/>
              <w:right w:type="dxa" w:w="120"/>
            </w:tcMar>
          </w:tcPr>
          <w:p>
            <w:pPr>
              <w:spacing w:after="0" w:before="0" w:line="260"/>
            </w:pPr>
            <w:r>
              <w:rPr>
                <w:rFonts w:ascii="Georgia" w:cs="Georgia" w:eastAsia="Georgia" w:hAnsi="Georgia"/>
                <w:b w:val="false"/>
                <w:bCs w:val="false"/>
                <w:color w:val="1D1D1D"/>
                <w:sz w:val="20"/>
                <w:szCs w:val="20"/>
              </w:rPr>
              <w:t xml:space="preserve">Dr M Mohsin (ChatGPT-assisted)</w:t>
            </w:r>
          </w:p>
        </w:tc>
        <w:tc>
          <w:tcPr>
            <w:tcW w:type="dxa" w:w="4026"/>
            <w:tcBorders>
              <w:top w:val="single" w:color="D8C9CB" w:sz="4"/>
              <w:left w:val="single" w:color="D8C9CB" w:sz="4"/>
              <w:bottom w:val="single" w:color="D8C9CB" w:sz="4"/>
              <w:right w:val="single" w:color="D8C9CB" w:sz="4"/>
            </w:tcBorders>
            <w:tcMar>
              <w:top w:type="dxa" w:w="80"/>
              <w:left w:type="dxa" w:w="120"/>
              <w:bottom w:type="dxa" w:w="80"/>
              <w:right w:type="dxa" w:w="120"/>
            </w:tcMar>
          </w:tcPr>
          <w:p>
            <w:pPr>
              <w:spacing w:after="0" w:before="0" w:line="260"/>
            </w:pPr>
            <w:r>
              <w:rPr>
                <w:rFonts w:ascii="Georgia" w:cs="Georgia" w:eastAsia="Georgia" w:hAnsi="Georgia"/>
                <w:b w:val="false"/>
                <w:bCs w:val="false"/>
                <w:color w:val="1D1D1D"/>
                <w:sz w:val="20"/>
                <w:szCs w:val="20"/>
              </w:rPr>
              <w:t xml:space="preserve">Strengthened publication control; softened imaging absolutes; retained urine testing for amyloid/MGRS/trial contexts; MGRS supportive-care nephrology-led; added EHA-EMN 2025; added publication governance checklist.</w:t>
            </w:r>
          </w:p>
        </w:tc>
      </w:tr>
      <w:tr>
        <w:tc>
          <w:tcPr>
            <w:tcW w:type="dxa" w:w="1200"/>
            <w:tcBorders>
              <w:top w:val="single" w:color="D8C9CB" w:sz="4"/>
              <w:left w:val="single" w:color="D8C9CB" w:sz="4"/>
              <w:bottom w:val="single" w:color="D8C9CB" w:sz="4"/>
              <w:right w:val="single" w:color="D8C9CB" w:sz="4"/>
            </w:tcBorders>
            <w:tcMar>
              <w:top w:type="dxa" w:w="80"/>
              <w:left w:type="dxa" w:w="120"/>
              <w:bottom w:type="dxa" w:w="80"/>
              <w:right w:type="dxa" w:w="120"/>
            </w:tcMar>
          </w:tcPr>
          <w:p>
            <w:pPr>
              <w:spacing w:after="0" w:before="0" w:line="260"/>
            </w:pPr>
            <w:r>
              <w:rPr>
                <w:rFonts w:ascii="Georgia" w:cs="Georgia" w:eastAsia="Georgia" w:hAnsi="Georgia"/>
                <w:b w:val="false"/>
                <w:bCs w:val="false"/>
                <w:color w:val="1D1D1D"/>
                <w:sz w:val="20"/>
                <w:szCs w:val="20"/>
              </w:rPr>
              <w:t xml:space="preserve">v0.3</w:t>
            </w:r>
          </w:p>
        </w:tc>
        <w:tc>
          <w:tcPr>
            <w:tcW w:type="dxa" w:w="1400"/>
            <w:tcBorders>
              <w:top w:val="single" w:color="D8C9CB" w:sz="4"/>
              <w:left w:val="single" w:color="D8C9CB" w:sz="4"/>
              <w:bottom w:val="single" w:color="D8C9CB" w:sz="4"/>
              <w:right w:val="single" w:color="D8C9CB" w:sz="4"/>
            </w:tcBorders>
            <w:tcMar>
              <w:top w:type="dxa" w:w="80"/>
              <w:left w:type="dxa" w:w="120"/>
              <w:bottom w:type="dxa" w:w="80"/>
              <w:right w:type="dxa" w:w="120"/>
            </w:tcMar>
          </w:tcPr>
          <w:p>
            <w:pPr>
              <w:spacing w:after="0" w:before="0" w:line="260"/>
            </w:pPr>
            <w:r>
              <w:rPr>
                <w:rFonts w:ascii="Georgia" w:cs="Georgia" w:eastAsia="Georgia" w:hAnsi="Georgia"/>
                <w:b w:val="false"/>
                <w:bCs w:val="false"/>
                <w:color w:val="1D1D1D"/>
                <w:sz w:val="20"/>
                <w:szCs w:val="20"/>
              </w:rPr>
              <w:t xml:space="preserve">May 2026</w:t>
            </w:r>
          </w:p>
        </w:tc>
        <w:tc>
          <w:tcPr>
            <w:tcW w:type="dxa" w:w="2400"/>
            <w:tcBorders>
              <w:top w:val="single" w:color="D8C9CB" w:sz="4"/>
              <w:left w:val="single" w:color="D8C9CB" w:sz="4"/>
              <w:bottom w:val="single" w:color="D8C9CB" w:sz="4"/>
              <w:right w:val="single" w:color="D8C9CB" w:sz="4"/>
            </w:tcBorders>
            <w:tcMar>
              <w:top w:type="dxa" w:w="80"/>
              <w:left w:type="dxa" w:w="120"/>
              <w:bottom w:type="dxa" w:w="80"/>
              <w:right w:type="dxa" w:w="120"/>
            </w:tcMar>
          </w:tcPr>
          <w:p>
            <w:pPr>
              <w:spacing w:after="0" w:before="0" w:line="260"/>
            </w:pPr>
            <w:r>
              <w:rPr>
                <w:rFonts w:ascii="Georgia" w:cs="Georgia" w:eastAsia="Georgia" w:hAnsi="Georgia"/>
                <w:b w:val="false"/>
                <w:bCs w:val="false"/>
                <w:color w:val="1D1D1D"/>
                <w:sz w:val="20"/>
                <w:szCs w:val="20"/>
              </w:rPr>
              <w:t xml:space="preserve">Dr M Mohsin (Claude-assisted)</w:t>
            </w:r>
          </w:p>
        </w:tc>
        <w:tc>
          <w:tcPr>
            <w:tcW w:type="dxa" w:w="4026"/>
            <w:tcBorders>
              <w:top w:val="single" w:color="D8C9CB" w:sz="4"/>
              <w:left w:val="single" w:color="D8C9CB" w:sz="4"/>
              <w:bottom w:val="single" w:color="D8C9CB" w:sz="4"/>
              <w:right w:val="single" w:color="D8C9CB" w:sz="4"/>
            </w:tcBorders>
            <w:tcMar>
              <w:top w:type="dxa" w:w="80"/>
              <w:left w:type="dxa" w:w="120"/>
              <w:bottom w:type="dxa" w:w="80"/>
              <w:right w:type="dxa" w:w="120"/>
            </w:tcMar>
          </w:tcPr>
          <w:p>
            <w:pPr>
              <w:spacing w:after="0" w:before="0" w:line="260"/>
            </w:pPr>
            <w:r>
              <w:rPr>
                <w:rFonts w:ascii="Georgia" w:cs="Georgia" w:eastAsia="Georgia" w:hAnsi="Georgia"/>
                <w:b w:val="false"/>
                <w:bCs w:val="false"/>
                <w:color w:val="1D1D1D"/>
                <w:sz w:val="20"/>
                <w:szCs w:val="20"/>
              </w:rPr>
              <w:t xml:space="preserve">SOP scaffolding v2 applied: document identity, tool-metadata block, section numbering, quick decision summary, PICO methodology, clinical vignettes, pattern recognition and common pitfall callouts, restyled regimen blocks with NICE TA chips, NICE TA verification (TA763, TA680, TA587, TA228, TA311, TA427, TA510, TA586, TA657, TA695, TA1015, TA970), TA889 terminated noted, references graded A1/A2, APA/Vancouver/BibTeX block, sidebar widgets, two embedded SVG algorithms (NDMM and R/R), theme colour 7A1F2B.</w:t>
            </w:r>
          </w:p>
        </w:tc>
      </w:tr>
      <w:tr>
        <w:tc>
          <w:tcPr>
            <w:tcW w:type="dxa" w:w="1200"/>
            <w:tcBorders>
              <w:top w:val="single" w:color="D8C9CB" w:sz="4"/>
              <w:left w:val="single" w:color="D8C9CB" w:sz="4"/>
              <w:bottom w:val="single" w:color="D8C9CB" w:sz="4"/>
              <w:right w:val="single" w:color="D8C9CB" w:sz="4"/>
            </w:tcBorders>
            <w:tcMar>
              <w:top w:type="dxa" w:w="80"/>
              <w:left w:type="dxa" w:w="120"/>
              <w:bottom w:type="dxa" w:w="80"/>
              <w:right w:type="dxa" w:w="120"/>
            </w:tcMar>
          </w:tcPr>
          <w:p>
            <w:pPr>
              <w:spacing w:after="0" w:before="0" w:line="260"/>
            </w:pPr>
            <w:r>
              <w:rPr>
                <w:rFonts w:ascii="Georgia" w:cs="Georgia" w:eastAsia="Georgia" w:hAnsi="Georgia"/>
                <w:b w:val="false"/>
                <w:bCs w:val="false"/>
                <w:color w:val="1D1D1D"/>
                <w:sz w:val="20"/>
                <w:szCs w:val="20"/>
              </w:rPr>
              <w:t xml:space="preserve">v0.4 GOVERNANCE REVIEW</w:t>
            </w:r>
          </w:p>
        </w:tc>
        <w:tc>
          <w:tcPr>
            <w:tcW w:type="dxa" w:w="1400"/>
            <w:tcBorders>
              <w:top w:val="single" w:color="D8C9CB" w:sz="4"/>
              <w:left w:val="single" w:color="D8C9CB" w:sz="4"/>
              <w:bottom w:val="single" w:color="D8C9CB" w:sz="4"/>
              <w:right w:val="single" w:color="D8C9CB" w:sz="4"/>
            </w:tcBorders>
            <w:tcMar>
              <w:top w:type="dxa" w:w="80"/>
              <w:left w:type="dxa" w:w="120"/>
              <w:bottom w:type="dxa" w:w="80"/>
              <w:right w:type="dxa" w:w="120"/>
            </w:tcMar>
          </w:tcPr>
          <w:p>
            <w:pPr>
              <w:spacing w:after="0" w:before="0" w:line="260"/>
            </w:pPr>
            <w:r>
              <w:rPr>
                <w:rFonts w:ascii="Georgia" w:cs="Georgia" w:eastAsia="Georgia" w:hAnsi="Georgia"/>
                <w:b w:val="false"/>
                <w:bCs w:val="false"/>
                <w:color w:val="1D1D1D"/>
                <w:sz w:val="20"/>
                <w:szCs w:val="20"/>
              </w:rPr>
              <w:t xml:space="preserve">May 2026</w:t>
            </w:r>
          </w:p>
        </w:tc>
        <w:tc>
          <w:tcPr>
            <w:tcW w:type="dxa" w:w="2400"/>
            <w:tcBorders>
              <w:top w:val="single" w:color="D8C9CB" w:sz="4"/>
              <w:left w:val="single" w:color="D8C9CB" w:sz="4"/>
              <w:bottom w:val="single" w:color="D8C9CB" w:sz="4"/>
              <w:right w:val="single" w:color="D8C9CB" w:sz="4"/>
            </w:tcBorders>
            <w:tcMar>
              <w:top w:type="dxa" w:w="80"/>
              <w:left w:type="dxa" w:w="120"/>
              <w:bottom w:type="dxa" w:w="80"/>
              <w:right w:type="dxa" w:w="120"/>
            </w:tcMar>
          </w:tcPr>
          <w:p>
            <w:pPr>
              <w:spacing w:after="0" w:before="0" w:line="260"/>
            </w:pPr>
            <w:r>
              <w:rPr>
                <w:rFonts w:ascii="Georgia" w:cs="Georgia" w:eastAsia="Georgia" w:hAnsi="Georgia"/>
                <w:b w:val="false"/>
                <w:bCs w:val="false"/>
                <w:color w:val="1D1D1D"/>
                <w:sz w:val="20"/>
                <w:szCs w:val="20"/>
              </w:rPr>
              <w:t xml:space="preserve">Dr M Mohsin (Claude-assisted)</w:t>
            </w:r>
          </w:p>
        </w:tc>
        <w:tc>
          <w:tcPr>
            <w:tcW w:type="dxa" w:w="4026"/>
            <w:tcBorders>
              <w:top w:val="single" w:color="D8C9CB" w:sz="4"/>
              <w:left w:val="single" w:color="D8C9CB" w:sz="4"/>
              <w:bottom w:val="single" w:color="D8C9CB" w:sz="4"/>
              <w:right w:val="single" w:color="D8C9CB" w:sz="4"/>
            </w:tcBorders>
            <w:tcMar>
              <w:top w:type="dxa" w:w="80"/>
              <w:left w:type="dxa" w:w="120"/>
              <w:bottom w:type="dxa" w:w="80"/>
              <w:right w:type="dxa" w:w="120"/>
            </w:tcMar>
          </w:tcPr>
          <w:p>
            <w:pPr>
              <w:spacing w:after="0" w:before="0" w:line="260"/>
            </w:pPr>
            <w:r>
              <w:rPr>
                <w:rFonts w:ascii="Georgia" w:cs="Georgia" w:eastAsia="Georgia" w:hAnsi="Georgia"/>
                <w:b w:val="false"/>
                <w:bCs w:val="false"/>
                <w:color w:val="1D1D1D"/>
                <w:sz w:val="20"/>
                <w:szCs w:val="20"/>
              </w:rPr>
              <w:t xml:space="preserve">Governance review: D-VRd identifier corrected from incorrect TA11254 to in-development GID-TA10726 / ID3843. New Section 1A NICE Horizon Scanning inserted between Section 1 and Section 2, distinguishing recommended / managed-access / in-development / awaiting-development / discontinued / terminated / off-label categories. NICE TA wording softened to "selected entries checked May 2026; live NICE verification required before prescribing". NCCN removed. Ixazomib maintenance reclassified from "in development" to "discontinued February 2026" (GID-TA10843 / ID1517). New entries: TA1098 Isa-VRd (Sept 2025), TA1023 elranatamab managed access (Dec 2024), TA1114 talquetamab routine NHS (Dec 2025), TA1133 belantamab + Pd (Feb 2026). Cilta-cel TA889 (terminated) and GID-TA10905 / ID4012 (in development earlier line) kept explicitly separate. TI-NDMM dara-quadruplet language tightened. Global dose-block caveat added. Expanded 16-item publication governance checklist. JPEG algorithm exports linked alongside SVG sources. Quick-ref safety footer applied to every page.</w:t>
            </w:r>
          </w:p>
        </w:tc>
      </w:tr>
      <w:tr>
        <w:tc>
          <w:tcPr>
            <w:tcW w:type="dxa" w:w="1200"/>
            <w:tcBorders>
              <w:top w:val="single" w:color="D8C9CB" w:sz="4"/>
              <w:left w:val="single" w:color="D8C9CB" w:sz="4"/>
              <w:bottom w:val="single" w:color="D8C9CB" w:sz="4"/>
              <w:right w:val="single" w:color="D8C9CB" w:sz="4"/>
            </w:tcBorders>
            <w:tcMar>
              <w:top w:type="dxa" w:w="80"/>
              <w:left w:type="dxa" w:w="120"/>
              <w:bottom w:type="dxa" w:w="80"/>
              <w:right w:type="dxa" w:w="120"/>
            </w:tcMar>
          </w:tcPr>
          <w:p>
            <w:pPr>
              <w:spacing w:after="0" w:before="0" w:line="260"/>
            </w:pPr>
            <w:r>
              <w:rPr>
                <w:rFonts w:ascii="Georgia" w:cs="Georgia" w:eastAsia="Georgia" w:hAnsi="Georgia"/>
                <w:b w:val="false"/>
                <w:bCs w:val="false"/>
                <w:color w:val="1D1D1D"/>
                <w:sz w:val="20"/>
                <w:szCs w:val="20"/>
              </w:rPr>
              <w:t xml:space="preserve">v0.4.1 GOVERNANCE POLISH</w:t>
            </w:r>
          </w:p>
        </w:tc>
        <w:tc>
          <w:tcPr>
            <w:tcW w:type="dxa" w:w="1400"/>
            <w:tcBorders>
              <w:top w:val="single" w:color="D8C9CB" w:sz="4"/>
              <w:left w:val="single" w:color="D8C9CB" w:sz="4"/>
              <w:bottom w:val="single" w:color="D8C9CB" w:sz="4"/>
              <w:right w:val="single" w:color="D8C9CB" w:sz="4"/>
            </w:tcBorders>
            <w:tcMar>
              <w:top w:type="dxa" w:w="80"/>
              <w:left w:type="dxa" w:w="120"/>
              <w:bottom w:type="dxa" w:w="80"/>
              <w:right w:type="dxa" w:w="120"/>
            </w:tcMar>
          </w:tcPr>
          <w:p>
            <w:pPr>
              <w:spacing w:after="0" w:before="0" w:line="260"/>
            </w:pPr>
            <w:r>
              <w:rPr>
                <w:rFonts w:ascii="Georgia" w:cs="Georgia" w:eastAsia="Georgia" w:hAnsi="Georgia"/>
                <w:b w:val="false"/>
                <w:bCs w:val="false"/>
                <w:color w:val="1D1D1D"/>
                <w:sz w:val="20"/>
                <w:szCs w:val="20"/>
              </w:rPr>
              <w:t xml:space="preserve">May 2026</w:t>
            </w:r>
          </w:p>
        </w:tc>
        <w:tc>
          <w:tcPr>
            <w:tcW w:type="dxa" w:w="2400"/>
            <w:tcBorders>
              <w:top w:val="single" w:color="D8C9CB" w:sz="4"/>
              <w:left w:val="single" w:color="D8C9CB" w:sz="4"/>
              <w:bottom w:val="single" w:color="D8C9CB" w:sz="4"/>
              <w:right w:val="single" w:color="D8C9CB" w:sz="4"/>
            </w:tcBorders>
            <w:tcMar>
              <w:top w:type="dxa" w:w="80"/>
              <w:left w:type="dxa" w:w="120"/>
              <w:bottom w:type="dxa" w:w="80"/>
              <w:right w:type="dxa" w:w="120"/>
            </w:tcMar>
          </w:tcPr>
          <w:p>
            <w:pPr>
              <w:spacing w:after="0" w:before="0" w:line="260"/>
            </w:pPr>
            <w:r>
              <w:rPr>
                <w:rFonts w:ascii="Georgia" w:cs="Georgia" w:eastAsia="Georgia" w:hAnsi="Georgia"/>
                <w:b w:val="false"/>
                <w:bCs w:val="false"/>
                <w:color w:val="1D1D1D"/>
                <w:sz w:val="20"/>
                <w:szCs w:val="20"/>
              </w:rPr>
              <w:t xml:space="preserve">Dr M Mohsin (Claude-assisted; ChatGPT-reviewed)</w:t>
            </w:r>
          </w:p>
        </w:tc>
        <w:tc>
          <w:tcPr>
            <w:tcW w:type="dxa" w:w="4026"/>
            <w:tcBorders>
              <w:top w:val="single" w:color="D8C9CB" w:sz="4"/>
              <w:left w:val="single" w:color="D8C9CB" w:sz="4"/>
              <w:bottom w:val="single" w:color="D8C9CB" w:sz="4"/>
              <w:right w:val="single" w:color="D8C9CB" w:sz="4"/>
            </w:tcBorders>
            <w:tcMar>
              <w:top w:type="dxa" w:w="80"/>
              <w:left w:type="dxa" w:w="120"/>
              <w:bottom w:type="dxa" w:w="80"/>
              <w:right w:type="dxa" w:w="120"/>
            </w:tcMar>
          </w:tcPr>
          <w:p>
            <w:pPr>
              <w:spacing w:after="0" w:before="0" w:line="260"/>
            </w:pPr>
            <w:r>
              <w:rPr>
                <w:rFonts w:ascii="Georgia" w:cs="Georgia" w:eastAsia="Georgia" w:hAnsi="Georgia"/>
                <w:b w:val="false"/>
                <w:bCs w:val="false"/>
                <w:color w:val="1D1D1D"/>
                <w:sz w:val="20"/>
                <w:szCs w:val="20"/>
              </w:rPr>
              <w:t xml:space="preserve">Minimal safety polish (no new clinical recommendations): (1) Belantamab + Pd (TA1133) repositioned with explicit Indication field as a post-Len option after 1 prior lenalidomide-containing line if Len-intolerant or Len-refractory; ocular monitoring warning retained; no longer described as a generic penta-refractory option. (2) D-VRd (GID-TA10726 / ID3843) clarified as "horizon/evidence only" — cited NICE in-development entry currently relates to transplant-unsuitable NDMM; removed from the TE-NDMM commissioned-options list in Section 1 and the TE-NDMM regimen-block area in Section 8; added to the TI-NDMM / horizon area with explicit Pathway placement warning; sidebar NICE Commissioning panel moved D-VRd from "transplant-eligible" to "in development / awaiting"; NDMM algorithm SVG and JPEG updated to show D-VRd as horizon for transplant-unsuitable. (3) Star symbol wording replaced throughout from "currently preferred where eligible" to "recently appraised / commonly pathway-relevant where NICE criteria and local access are met". (4) TA763 wording reworded as "D-VTd induction/consolidation for newly diagnosed transplant-eligible myeloma, within NICE criteria". (5) Algorithm safety footer added to both NDMM and R/R SVGs: "Educational pathway summary only. NICE/Blueteq/local formulary and SmPC verification required before treatment." JPEGs regenerated from updated SVGs. (6) Filenames updated to v0.4.1; banner retained as PROPOSAL ONLY — DRAFT — GOVERNANCE REVIEW with consultant/pharmacy sign-off requirement preserved.</w:t>
            </w:r>
          </w:p>
        </w:tc>
      </w:tr>
    </w:tbl>
    <w:p>
      <w:pPr>
        <w:spacing w:after="80" w:before="80" w:line="300"/>
        <w:jc w:val="left"/>
      </w:pPr>
      <w:r>
        <w:rPr>
          <w:rFonts w:ascii="Georgia" w:cs="Georgia" w:eastAsia="Georgia" w:hAnsi="Georgia"/>
          <w:b w:val="false"/>
          <w:bCs w:val="false"/>
          <w:i w:val="false"/>
          <w:iCs w:val="false"/>
          <w:color w:val="1D1D1D"/>
          <w:sz w:val="22"/>
          <w:szCs w:val="22"/>
        </w:rP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D8C9CB" w:sz="4"/>
              <w:left w:val="single" w:color="7A1F2B" w:sz="16"/>
              <w:bottom w:val="single" w:color="D8C9CB" w:sz="4"/>
              <w:right w:val="single" w:color="D8C9CB" w:sz="4"/>
            </w:tcBorders>
            <w:shd w:fill="F5E9EB" w:val="clear"/>
            <w:tcMar>
              <w:top w:type="dxa" w:w="140"/>
              <w:left w:type="dxa" w:w="200"/>
              <w:bottom w:type="dxa" w:w="140"/>
              <w:right w:type="dxa" w:w="160"/>
            </w:tcMar>
          </w:tcPr>
          <w:p>
            <w:pPr>
              <w:spacing w:after="80" w:before="0"/>
            </w:pPr>
            <w:r>
              <w:rPr>
                <w:rFonts w:ascii="Georgia" w:cs="Georgia" w:eastAsia="Georgia" w:hAnsi="Georgia"/>
                <w:b/>
                <w:bCs/>
                <w:color w:val="7A1F2B"/>
                <w:sz w:val="22"/>
                <w:szCs w:val="22"/>
              </w:rPr>
              <w:t xml:space="preserve">Disclaimer</w:t>
            </w:r>
          </w:p>
          <w:p>
            <w:pPr>
              <w:spacing w:after="0" w:before="0" w:line="280"/>
            </w:pPr>
            <w:r>
              <w:rPr>
                <w:rFonts w:ascii="Georgia" w:cs="Georgia" w:eastAsia="Georgia" w:hAnsi="Georgia"/>
                <w:color w:val="1D1D1D"/>
                <w:sz w:val="22"/>
                <w:szCs w:val="22"/>
              </w:rPr>
              <w:t xml:space="preserve">This guideline is for educational purposes and clinical decision support. It is not a substitute for individual clinical judgement. For UK practice, only BSH-aligned NICE-commissioned regimens apply. Always verify current NICE guidance, Blueteq eligibility, NHS England commissioning rules and local trust protocols before prescribing. Dr Muhammad Mohsin is responsible for the educational content of this document.</w:t>
            </w:r>
          </w:p>
        </w:tc>
      </w:tr>
    </w:tbl>
    <w:sectPr>
      <w:headerReference w:type="default" r:id="rId7"/>
      <w:footerReference w:type="default" r:id="rId8"/>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left"/>
    </w:pPr>
    <w:r>
      <w:rPr>
        <w:rFonts w:ascii="Georgia" w:cs="Georgia" w:eastAsia="Georgia" w:hAnsi="Georgia"/>
        <w:color w:val="4A4A4A"/>
        <w:sz w:val="16"/>
        <w:szCs w:val="16"/>
      </w:rPr>
      <w:t xml:space="preserve">Mohsin Haematology Academy | Educational use only | </w:t>
    </w:r>
    <w:r>
      <w:rPr>
        <w:rFonts w:ascii="Georgia" w:cs="Georgia" w:eastAsia="Georgia" w:hAnsi="Georgia"/>
        <w:color w:val="4A4A4A"/>
        <w:sz w:val="16"/>
        <w:szCs w:val="16"/>
      </w:rPr>
      <w:t xml:space="preserve">Page </w:t>
    </w:r>
    <w:r>
      <w:rPr>
        <w:rFonts w:ascii="Georgia" w:cs="Georgia" w:eastAsia="Georgia" w:hAnsi="Georgia"/>
        <w:color w:val="4A4A4A"/>
        <w:sz w:val="16"/>
        <w:szCs w:val="16"/>
      </w:rPr>
      <w:fldChar w:fldCharType="begin"/>
      <w:instrText xml:space="preserve">PAGE</w:instrText>
      <w:fldChar w:fldCharType="separate"/>
      <w:fldChar w:fldCharType="end"/>
    </w:r>
    <w:r>
      <w:rPr>
        <w:rFonts w:ascii="Georgia" w:cs="Georgia" w:eastAsia="Georgia" w:hAnsi="Georgia"/>
        <w:color w:val="4A4A4A"/>
        <w:sz w:val="16"/>
        <w:szCs w:val="16"/>
      </w:rPr>
      <w:t xml:space="preserve"> of </w:t>
    </w:r>
    <w:r>
      <w:rPr>
        <w:rFonts w:ascii="Georgia" w:cs="Georgia" w:eastAsia="Georgia" w:hAnsi="Georgia"/>
        <w:color w:val="4A4A4A"/>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left"/>
    </w:pPr>
    <w:r>
      <w:rPr>
        <w:rFonts w:ascii="Georgia" w:cs="Georgia" w:eastAsia="Georgia" w:hAnsi="Georgia"/>
        <w:b/>
        <w:bCs/>
        <w:color w:val="7A1F2B"/>
        <w:sz w:val="18"/>
        <w:szCs w:val="18"/>
      </w:rPr>
      <w:t xml:space="preserve">MHA-MYELOMA-2026-v0.4.1-GOVERNANCE-POLISH (DRAFT)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Georgia" w:cs="Georgia" w:eastAsia="Georgia" w:hAnsi="Georgia"/>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60"/>
      <w:outlineLvl w:val="0"/>
    </w:pPr>
    <w:rPr>
      <w:rFonts w:ascii="Georgia" w:cs="Georgia" w:eastAsia="Georgia" w:hAnsi="Georgia"/>
      <w:b/>
      <w:bCs/>
      <w:color w:val="7A1F2B"/>
      <w:sz w:val="30"/>
      <w:szCs w:val="30"/>
    </w:rPr>
  </w:style>
  <w:style w:type="paragraph" w:styleId="Heading2">
    <w:name w:val="Heading 2"/>
    <w:basedOn w:val="Normal"/>
    <w:next w:val="Normal"/>
    <w:qFormat/>
    <w:pPr>
      <w:spacing w:after="120" w:before="240"/>
      <w:outlineLvl w:val="1"/>
    </w:pPr>
    <w:rPr>
      <w:rFonts w:ascii="Georgia" w:cs="Georgia" w:eastAsia="Georgia" w:hAnsi="Georgia"/>
      <w:b/>
      <w:bCs/>
      <w:color w:val="7A1F2B"/>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MHA-MYELOMA-2026-v0.4.1-GOVERNANCE-POLISH — Multiple Myeloma Guideline</dc:title>
  <dc:creator>Dr Muhammad Mohsin</dc:creator>
  <dc:description>Mohsin Haematology Academy — Myeloma guideline v0.3 draft.</dc:description>
  <cp:lastModifiedBy>Un-named</cp:lastModifiedBy>
  <cp:revision>1</cp:revision>
  <dcterms:created xsi:type="dcterms:W3CDTF">2026-05-18T12:08:45.385Z</dcterms:created>
  <dcterms:modified xsi:type="dcterms:W3CDTF">2026-05-18T12:08:45.398Z</dcterms:modified>
</cp:coreProperties>
</file>

<file path=docProps/custom.xml><?xml version="1.0" encoding="utf-8"?>
<Properties xmlns="http://schemas.openxmlformats.org/officeDocument/2006/custom-properties" xmlns:vt="http://schemas.openxmlformats.org/officeDocument/2006/docPropsVTypes"/>
</file>