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7A1F2B"/>
          <w:sz w:val="28"/>
          <w:szCs w:val="28"/>
        </w:rPr>
        <w:t xml:space="preserve">MULTIPLE MYELOMA — QUICK-REF CARD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4A4A4A"/>
          <w:sz w:val="16"/>
          <w:szCs w:val="16"/>
        </w:rPr>
        <w:t xml:space="preserve">MHA-MYELOMA-2026-v0.4.1-GOVERNANCE-POLISH (DRAFT) — BSH/UKMS, NICE, IMWG synthesis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C9CB" w:sz="4"/>
              <w:left w:val="single" w:color="C87A00" w:sz="12"/>
              <w:bottom w:val="single" w:color="D8C9CB" w:sz="4"/>
              <w:right w:val="single" w:color="D8C9CB" w:sz="4"/>
            </w:tcBorders>
            <w:shd w:fill="FFF4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C87A00"/>
                <w:sz w:val="16"/>
                <w:szCs w:val="16"/>
              </w:rPr>
              <w:t xml:space="preserve">Educational quick-reference only. Not a prescribing protocol. </w:t>
            </w:r>
            <w:r>
              <w:rPr>
                <w:rFonts w:ascii="Georgia" w:cs="Georgia" w:eastAsia="Georgia" w:hAnsi="Georgia"/>
                <w:color w:val="1D1D1D"/>
                <w:sz w:val="16"/>
                <w:szCs w:val="16"/>
              </w:rPr>
              <w:t xml:space="preserve">Confirm indication, line of therapy, Blueteq eligibility, local formulary, renal/hepatic function, infection status, pregnancy/contraception requirements and current SmPC before treatment.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i/>
                <w:iCs/>
                <w:color w:val="4A4A4A"/>
                <w:sz w:val="14"/>
                <w:szCs w:val="14"/>
              </w:rPr>
              <w:t xml:space="preserve">Dose examples in this card are educational only — they must not override local e-prescribing protocols, SmPC, renal/hepatic adjustment, frailty modification, pharmacy verification or consultant decision-making.</w:t>
            </w:r>
          </w:p>
        </w:tc>
      </w:tr>
    </w:tbl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Diagnosis — IMWG 2014 (active myeloma)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Clonal BMPC ≥10% (or biopsy-proven plasmacytoma)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PLUS any of: </w:t>
      </w: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S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BMPC ≥60% · </w:t>
      </w: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Li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SFLC ratio &gt;100 · </w:t>
      </w: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M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&gt;1 MRI focal lesion &gt;5mm · </w:t>
      </w: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C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Ca &gt;2.75 mmol/L · </w:t>
      </w: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R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Cr &gt;177 µmol/L · </w:t>
      </w: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A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Hb &lt;100 g/L · </w:t>
      </w: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B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≥1 lytic lesion ≥5mm on imaging.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NDMM — UK pathway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Group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First-line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Maintenance / next step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TE — standard risk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TA763 — D-VTd induction/consolidation for newly diagnosed transplant-eligible myeloma, within NICE criteria → ASCT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Lenalidomide maintenance until progression (TA680)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TE — high risk (2+ HRCA, SKY92, PCL)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OPTIMUM / CONCEPT / IFM 2018-04 / EMN12 strategies where access permits; otherwise NHS standard induction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Tandem ASCT considered; len maintenance (TA680); trial referral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Transplant-ineligible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Rd continuous (TA587); Isa-VRd (TA1098, Sept 2025) per NICE recommendation. D-Rd / D-VMP: verify current NICE TA, Blueteq and local formulary status before use.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Continue until progression; reduce dex in age 75+ / frailty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Horizon scanning (transplant-unsuitable)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D-VRd (PERSEUS): horizon/evidence only; NICE GID-TA10726 / ID3843 currently relates to transplant-unsuitable NDMM. Verify live NICE indication before pathway placement.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Not a transplant-eligible NICE in-development option; awaiting final NICE guidance.</w:t>
            </w:r>
          </w:p>
        </w:tc>
      </w:tr>
    </w:tbl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R/R Myeloma — line-by-line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Line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Options (class-switch principle)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NICE TA chips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1st relapse (post-Vel)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KRd; Dara-Rd; Isa-Pd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TA695 (KRd) · TA427 (Pd)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1st relapse (post-Len) — Len-intolerant / Len-refractory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Belantamab + Pd (BPd, DREAMM-8) — option after 1 prior Len-containing line if Len-intolerant or Len-refractory. Mandatory pre-dose ophthalmology. Also: Dara-Vd; Isa-Kd; PVd; Pd.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TA1133 (belantamab + Pd) · TA427 (Pd) · TA586 (Rd after Vel)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2nd–3rd relapse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2nd ASCT (if fit, ≥PR), retreatment after long TFI, dara mono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TA510 (dara mono)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Triple-class refractory (≥3 lines)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Teclistamab (verified). Talquetamab (verified, GPRC5D). Elranatamab (managed access). CAR-T: status evolving.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TA1015 (teclistamab) · TA1114 (talquetamab) · TA1023 (elranatamab, managed access)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Penta-refractory / late-line (≥4 lines)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Selinexor + dex. Venetoclax t(11;14) off-label/biomarker-restricted only.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TA970 (selinexor)</w:t>
            </w:r>
          </w:p>
        </w:tc>
      </w:tr>
      <w:tr>
        <w:tc>
          <w:tcPr>
            <w:tcW w:type="dxa" w:w="22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Terminated / not commissioned</w:t>
            </w:r>
          </w:p>
        </w:tc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Cilta-cel TA889 — Janssen withdrew submission. Cilta-cel earlier line (1–3 prior): GID-TA10905 / ID4012 in development; status evolving.</w:t>
            </w:r>
          </w:p>
        </w:tc>
        <w:tc>
          <w:tcPr>
            <w:tcW w:type="dxa" w:w="34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TA889 terminated</w:t>
            </w:r>
          </w:p>
        </w:tc>
      </w:tr>
    </w:tbl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MGUS &amp; SMM — risk stratification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Factors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Mayo 2005 (MGUS)</w:t>
            </w:r>
          </w:p>
        </w:tc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≥1: M-protein &gt;15 g/L · abnormal κ/λ ratio (&lt;0.26 or &gt;1.65) · non-IgG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0–1 factors: no BM, no imaging. 2–3 factors: BM + WB imaging.</w:t>
            </w:r>
          </w:p>
        </w:tc>
      </w:tr>
      <w:tr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Mayo 20-2-20 (SMM)</w:t>
            </w:r>
          </w:p>
        </w:tc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BMPC &gt;20% · M-protein &gt;20 g/L · SFLC ratio &gt;20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0: 6–12 monthly. 1: 3-monthly. ≥2: trial referral.</w:t>
            </w:r>
          </w:p>
        </w:tc>
      </w:tr>
      <w:tr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IMWG 2020 (SMM)</w:t>
            </w:r>
          </w:p>
        </w:tc>
        <w:tc>
          <w:tcPr>
            <w:tcW w:type="dxa" w:w="30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20-2-20 + HRCA: t(4;14), t(14;16), gain(1q), monosomy 13/del(13q)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High risk: 3-monthly × 5 years; trial.</w:t>
            </w:r>
          </w:p>
        </w:tc>
      </w:tr>
    </w:tbl>
    <w:p>
      <w:r>
        <w:br w:type="page"/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NICE technology appraisals — selected entries checked May 2026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4A4A4A"/>
          <w:sz w:val="14"/>
          <w:szCs w:val="14"/>
        </w:rPr>
        <w:t xml:space="preserve">Live NICE verification required before prescribing. ★ = recently appraised / commonly pathway-relevant where NICE criteria and local access are met.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026"/>
      </w:tblGrid>
      <w:tr>
        <w:trPr>
          <w:tblHeader/>
        </w:trP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TA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Regimen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Status / use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TA129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Bortezomib monotherapy R/R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Older TA — first relapse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TA228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V-Thal first-line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Older first-line TE/TI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TA311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Bortezomib induction pre-ASCT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Bortezomib-based induction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TA380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Panobinostat + Vd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Reserved option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TA427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Pomalidomide + dex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R/R, established UK comparator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TA510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Daratumumab monotherapy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R/R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TA586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Lenalidomide + dex after one bortezomib line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R/R post-Vel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TA587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Lenalidomide + dex untreated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NDMM transplant-ineligible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TA657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Carfilzomib for previously treated MM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Partially replaced by TA695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TA680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Lenalidomide maintenance post-ASCT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UK standard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TA695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KRd previously treated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R/R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TA763 ★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D-VTd induction/consolidation for newly diagnosed transplant-eligible myeloma, within NICE criteria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NDMM transplant-eligible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TA970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Selinexor + dex (≥4 prior treatments)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Penta-refractory / late-line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TA1015 ★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Teclistamab (≥3 prior treatments)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Replaces TA869, Nov 2024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TA1023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Elranatamab (≥3 prior treatments)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Managed access, Dec 2024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TA1098 ★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Isa-VRd untreated when ASCT unsuitable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Sept 2025 — anti-CD38 quadruplet for TI-NDMM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TA1114 ★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Talquetamab (≥3 prior treatments)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Dec 2025, routine NHS option (GPRC5D)</w:t>
            </w:r>
          </w:p>
        </w:tc>
      </w:tr>
      <w:tr>
        <w:tc>
          <w:tcPr>
            <w:tcW w:type="dxa" w:w="16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TA1133 ★</w:t>
            </w:r>
          </w:p>
        </w:tc>
        <w:tc>
          <w:tcPr>
            <w:tcW w:type="dxa" w:w="4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Belantamab + Pd after 1 prior Len-containing line if Len-intolerant or Len-refractory</w:t>
            </w:r>
          </w:p>
        </w:tc>
        <w:tc>
          <w:tcPr>
            <w:tcW w:type="dxa" w:w="30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Feb 2026 — pre-dose ophthalmology mandatory</w:t>
            </w:r>
          </w:p>
        </w:tc>
      </w:tr>
    </w:tbl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NICE horizon scanning / evolving therapies — verify live status before use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D-VRd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(daratumumab + bortezomib + lenalidomide + dexamethasone): NICE </w:t>
      </w: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in development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, GID-TA10726 / ID3843, for untreated myeloma when stem cell transplant is unsuitable. </w:t>
      </w: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Horizon / evidence only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; cited NICE in-development entry currently relates to transplant-unsuitable NDMM. Do not place as a transplant-eligible NICE in-development option. Verify live NICE indication before pathway placement.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Isa-VRd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TA1098 published Sept 2025 for untreated myeloma when transplant is unsuitable. Verify final recommendation restrictions and local access.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Isatuximab maintenance post-ASCT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GID-TA11846 / ID6639 </w:t>
      </w: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awaiting development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. Horizon scanning only.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Ixazomib maintenance post-ASCT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GID-TA10843 / ID1517 </w:t>
      </w:r>
      <w:r>
        <w:rPr>
          <w:rFonts w:ascii="Georgia" w:cs="Georgia" w:eastAsia="Georgia" w:hAnsi="Georgia"/>
          <w:b/>
          <w:bCs/>
          <w:i w:val="false"/>
          <w:iCs w:val="false"/>
          <w:color w:val="AA3A3A"/>
          <w:sz w:val="18"/>
          <w:szCs w:val="18"/>
        </w:rPr>
        <w:t xml:space="preserve">discontinued February 2026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. Do not list as active in-development.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Cilta-cel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TA889 </w:t>
      </w:r>
      <w:r>
        <w:rPr>
          <w:rFonts w:ascii="Georgia" w:cs="Georgia" w:eastAsia="Georgia" w:hAnsi="Georgia"/>
          <w:b/>
          <w:bCs/>
          <w:i w:val="false"/>
          <w:iCs w:val="false"/>
          <w:color w:val="AA3A3A"/>
          <w:sz w:val="18"/>
          <w:szCs w:val="18"/>
        </w:rPr>
        <w:t xml:space="preserve">terminated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. Separate </w:t>
      </w: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in-development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 appraisal GID-TA10905 / ID4012 for relapsed, lenalidomide-refractory myeloma after 1 to 3 therapies. Approved-centre access only if final NICE guidance supports use.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Elranatamab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TA1023, </w:t>
      </w: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managed access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 after ≥3 prior lines including IMiD, PI and anti-CD38 exposure.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Talquetamab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TA1114, </w:t>
      </w: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routine NHS option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 after ≥3 prior lines including IMiD, PI and anti-CD38 exposure, where disease progressed on last treatment.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Belantamab + Pd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TA1133: </w:t>
      </w:r>
      <w:r>
        <w:rPr>
          <w:rFonts w:ascii="Georgia" w:cs="Georgia" w:eastAsia="Georgia" w:hAnsi="Georgia"/>
          <w:b/>
          <w:bCs/>
          <w:i w:val="false"/>
          <w:iCs w:val="false"/>
          <w:color w:val="1D1D1D"/>
          <w:sz w:val="18"/>
          <w:szCs w:val="18"/>
        </w:rPr>
        <w:t xml:space="preserve">option after 1 prior lenalidomide-containing line if lenalidomide is not tolerated or disease is lenalidomide-refractory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. Not a generic penta-refractory option. Verify ocular monitoring, commercial arrangement, Blueteq and local pathway.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Venetoclax t(11;14)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not NICE-commissioned for myeloma. Off-label, biomarker-restricted.</w:t>
      </w:r>
    </w:p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Imaging — modality by scenario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Scenario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Imaging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High-IR / high-risk MGUS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WB-MRI, PET-CT or low-dose WB-CT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SMM at diagnosis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WB-MRI, PET-CT or low-dose WB-CT per local protocol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NDMM at diagnosis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WB-MRI preferred; PET-CT or low-dose WB-CT acceptable; skeletal X-ray inadequate alone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Biochemical / symptomatic relapse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WB-MRI or PET-CT — especially for EMD or oligo-secretory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Suspected MSCC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Same-day MRI of symptomatic region (do not wait for WB-MRI capacity)</w:t>
            </w:r>
          </w:p>
        </w:tc>
      </w:tr>
    </w:tbl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Key safety / supportive principles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Domain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shd w:fill="F5E9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Standard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VTE prophylaxis (with IMiDs)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Aspirin low-risk; LMWH or apixaban higher-risk per VTE risk assessment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Antiviral (with PIs)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Aciclovir or valaciclovir during and ≥6 weeks after PI-based treatment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Bisphosphonates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Zoledronic acid or pamidronate for all treated NDMM; restart at frank relapse; dental assessment before initiation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Vaccines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Annual flu, COVID-19, PCV13 + PPV23 (5-yearly), Shingrix (recombinant); no live attenuated vaccines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IVIg replacement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Consider if recurrent infection + hypogammaglobulinaemia; standard with bispecifics / CAR-T</w:t>
            </w:r>
          </w:p>
        </w:tc>
      </w:tr>
      <w:tr>
        <w:tc>
          <w:tcPr>
            <w:tcW w:type="dxa" w:w="3400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Bispecific / CAR-T pre-workup</w:t>
            </w:r>
          </w:p>
        </w:tc>
        <w:tc>
          <w:tcPr>
            <w:tcW w:type="dxa" w:w="5626"/>
            <w:tcBorders>
              <w:top w:val="single" w:color="D8C9CB" w:sz="4"/>
              <w:left w:val="single" w:color="D8C9CB" w:sz="4"/>
              <w:bottom w:val="single" w:color="D8C9CB" w:sz="4"/>
              <w:right w:val="single" w:color="D8C9C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1D1D1D"/>
                <w:sz w:val="16"/>
                <w:szCs w:val="16"/>
              </w:rPr>
              <w:t xml:space="preserve">Baseline Ig, HBV/HCV/HIV screen, cardiac assessment, bridging plan, approved-centre referral</w:t>
            </w:r>
          </w:p>
        </w:tc>
      </w:tr>
    </w:tbl>
    <w:p>
      <w:pPr>
        <w:spacing w:after="60" w:before="120"/>
      </w:pPr>
      <w:r>
        <w:rPr>
          <w:rFonts w:ascii="Georgia" w:cs="Georgia" w:eastAsia="Georgia" w:hAnsi="Georgia"/>
          <w:b/>
          <w:bCs/>
          <w:color w:val="7A1F2B"/>
          <w:sz w:val="22"/>
          <w:szCs w:val="22"/>
        </w:rPr>
        <w:t xml:space="preserve">Pattern recognition &amp; common pitfalls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• SLiM features alone define active myeloma.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Do not wait for CRAB if BMPC ≥60% or SFLC ratio &gt;100 or &gt;1 MRI focal lesion.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• Stable M-protein does not exclude MGRS.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Falling eGFR and rising ACR justify biopsy and treatment of the clone.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• Class-switch at relapse.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Switch the backbone class from the most recent regimen unless TFI was long.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• Repeat FISH and TP53 at relapse.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Clonal evolution alters treatment in ≥20% of patients.</w:t>
      </w:r>
    </w:p>
    <w:p>
      <w:pPr>
        <w:spacing w:after="30" w:before="30" w:line="24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7A1F2B"/>
          <w:sz w:val="18"/>
          <w:szCs w:val="18"/>
        </w:rPr>
        <w:t xml:space="preserve">• Urine dipstick is insensitive to light chains.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D1D1D"/>
          <w:sz w:val="18"/>
          <w:szCs w:val="18"/>
        </w:rPr>
        <w:t xml:space="preserve">Send urine ACR (not PCR) where AL amyloid or MGRS is in differential.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C9CB" w:sz="4"/>
              <w:left w:val="single" w:color="7A1F2B" w:sz="12"/>
              <w:bottom w:val="single" w:color="D8C9CB" w:sz="4"/>
              <w:right w:val="single" w:color="D8C9CB" w:sz="4"/>
            </w:tcBorders>
            <w:shd w:fill="F5E9EB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Georgia" w:cs="Georgia" w:eastAsia="Georgia" w:hAnsi="Georgia"/>
                <w:b/>
                <w:bCs/>
                <w:color w:val="7A1F2B"/>
                <w:sz w:val="16"/>
                <w:szCs w:val="16"/>
              </w:rPr>
              <w:t xml:space="preserve">For UK clinical practice only BSH-aligned NICE-commissioned regimens apply. </w:t>
            </w:r>
            <w:r>
              <w:rPr>
                <w:rFonts w:ascii="Georgia" w:cs="Georgia" w:eastAsia="Georgia" w:hAnsi="Georgia"/>
                <w:color w:val="1D1D1D"/>
                <w:sz w:val="16"/>
                <w:szCs w:val="16"/>
              </w:rPr>
              <w:t xml:space="preserve">Verify current NICE TA, Blueteq eligibility and local formulary before prescribing. Local trust policy takes precedence. Always MDT. Educational use only. © Dr Muhammad Mohsin, Consultant Haematologist, MHA 2026.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00" w:right="720" w:bottom="8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 w:before="0"/>
      <w:jc w:val="left"/>
    </w:pPr>
    <w:r>
      <w:rPr>
        <w:rFonts w:ascii="Georgia" w:cs="Georgia" w:eastAsia="Georgia" w:hAnsi="Georgia"/>
        <w:b/>
        <w:bCs/>
        <w:color w:val="C87A00"/>
        <w:sz w:val="12"/>
        <w:szCs w:val="12"/>
      </w:rPr>
      <w:t xml:space="preserve">Educational quick-reference only. Not a prescribing protocol. </w:t>
    </w:r>
    <w:r>
      <w:rPr>
        <w:rFonts w:ascii="Georgia" w:cs="Georgia" w:eastAsia="Georgia" w:hAnsi="Georgia"/>
        <w:color w:val="4A4A4A"/>
        <w:sz w:val="12"/>
        <w:szCs w:val="12"/>
      </w:rPr>
      <w:t xml:space="preserve">Confirm indication, line of therapy, Blueteq eligibility, local formulary, renal/hepatic function, infection status, pregnancy/contraception requirements and current SmPC before treatment.</w:t>
    </w:r>
  </w:p>
  <w:p>
    <w:pPr>
      <w:spacing w:after="0" w:before="0"/>
      <w:jc w:val="center"/>
    </w:pPr>
    <w:r>
      <w:rPr>
        <w:rFonts w:ascii="Georgia" w:cs="Georgia" w:eastAsia="Georgia" w:hAnsi="Georgia"/>
        <w:color w:val="4A4A4A"/>
        <w:sz w:val="12"/>
        <w:szCs w:val="12"/>
      </w:rPr>
      <w:t xml:space="preserve">Mohsin Haematology Academy · Quick-Ref Card · Page </w:t>
    </w:r>
    <w:r>
      <w:rPr>
        <w:rFonts w:ascii="Georgia" w:cs="Georgia" w:eastAsia="Georgia" w:hAnsi="Georgia"/>
        <w:color w:val="4A4A4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4A4A4A"/>
        <w:sz w:val="12"/>
        <w:szCs w:val="12"/>
      </w:rPr>
      <w:t xml:space="preserve"> of </w:t>
    </w:r>
    <w:r>
      <w:rPr>
        <w:rFonts w:ascii="Georgia" w:cs="Georgia" w:eastAsia="Georgia" w:hAnsi="Georgia"/>
        <w:color w:val="4A4A4A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b/>
        <w:bCs/>
        <w:color w:val="7A1F2B"/>
        <w:sz w:val="14"/>
        <w:szCs w:val="14"/>
      </w:rPr>
      <w:t xml:space="preserve">MHA-MYELOMA-2026-v0.4.1-GOVERNANCE-POLISH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MHA-MYELOMA-2026-v0.4.1-GOVERNANCE-POLISH Quick-Ref Card</dc:title>
  <dc:creator>Dr Muhammad Mohsin</dc:creator>
  <dc:description>Mohsin Haematology Academy — Myeloma quick reference card v0.4.1 governance polish.</dc:description>
  <cp:lastModifiedBy>Un-named</cp:lastModifiedBy>
  <cp:revision>1</cp:revision>
  <dcterms:created xsi:type="dcterms:W3CDTF">2026-05-18T12:10:51.865Z</dcterms:created>
  <dcterms:modified xsi:type="dcterms:W3CDTF">2026-05-18T12:10:51.866Z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