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Arial" w:hAnsi="Arial" w:cs="Arial"/>
          <w:sz w:val="19"/>
          <w:sz-cs w:val="19"/>
          <w:b/>
          <w:spacing w:val="0"/>
          <w:color w:val="FFFFFF"/>
        </w:rPr>
        <w:t xml:space="preserve">CONTROLLED REVIEWED PREVIEW — NOT FOR CLINICAL USE</w:t>
      </w:r>
      <w:r>
        <w:rPr>
          <w:rFonts w:ascii="Georgia" w:hAnsi="Georgia" w:cs="Georgia"/>
          <w:sz w:val="81"/>
          <w:sz-cs w:val="81"/>
          <w:b/>
          <w:spacing w:val="0"/>
          <w:color w:val="FFFFFF"/>
        </w:rPr>
        <w:t xml:space="preserve"/>
      </w:r>
    </w:p>
    <w:p>
      <w:pPr>
        <w:spacing w:after="60"/>
      </w:pPr>
      <w:r>
        <w:rPr>
          <w:rFonts w:ascii="Georgia" w:hAnsi="Georgia" w:cs="Georgia"/>
          <w:sz w:val="81"/>
          <w:sz-cs w:val="81"/>
          <w:b/>
          <w:spacing w:val="0"/>
          <w:color w:val="FFFFFF"/>
        </w:rPr>
        <w:t xml:space="preserve">Mantle Cell Lymphoma v2.1</w:t>
      </w:r>
    </w:p>
    <w:p>
      <w:pPr>
        <w:spacing w:after="340"/>
      </w:pPr>
      <w:r>
        <w:rPr>
          <w:rFonts w:ascii="Georgia" w:hAnsi="Georgia" w:cs="Georgia"/>
          <w:sz w:val="34"/>
          <w:sz-cs w:val="34"/>
          <w:spacing w:val="0"/>
          <w:color w:val="FFFFFF"/>
        </w:rPr>
        <w:t xml:space="preserve">MHA-MCL-2026-v2.1-PREVIEW-RC1 · evidence and access cut-off 2026-07-30 · supersedes nothing until exact production hashes are ratified</w:t>
      </w:r>
    </w:p>
    <w:p>
      <w:pPr/>
      <w:r>
        <w:rPr>
          <w:rFonts w:ascii="Georgia" w:hAnsi="Georgia" w:cs="Georgia"/>
          <w:sz w:val="34"/>
          <w:sz-cs w:val="34"/>
          <w:b/>
          <w:spacing w:val="0"/>
          <w:color w:val="121826"/>
        </w:rPr>
        <w:t xml:space="preserve">Controlled reviewed preview. Not for clinical use.</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This exact substantive candidate passed independent clinical review and pharmacy verification; reviewer identities are retained privately. It remains a controlled preview with no publication authority until the complete release family is generated, verified and its exact production hashes are ratified. The published guideline remains v2.0.</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An independent three-track audit on 30 July 2026 corrected several factual errors in this draft, including two where an earlier revision wrongly withdrew a correct v2.0 statement. Those corrections were included in the exact candidate that passed independent clinical review and pharmacy verification. Publication authority remains false for this preview pending complete release-family verification and exact production-hash ratification.</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Every statement of marketing authorisation, HTA recommendation and commissioning status below must be re-checked against the official source before ratification. Where a v2.0 statement could not be reproduced against the live source on 30 July 2026, the change is marked with a </w:t>
      </w:r>
      <w:r>
        <w:rPr>
          <w:rFonts w:ascii="Georgia" w:hAnsi="Georgia" w:cs="Georgia"/>
          <w:sz w:val="34"/>
          <w:sz-cs w:val="34"/>
          <w:b/>
          <w:spacing w:val="0"/>
          <w:color w:val="121826"/>
        </w:rPr>
        <w:t xml:space="preserve">changed since v2.0</w:t>
      </w:r>
      <w:r>
        <w:rPr>
          <w:rFonts w:ascii="Georgia" w:hAnsi="Georgia" w:cs="Georgia"/>
          <w:sz w:val="34"/>
          <w:sz-cs w:val="34"/>
          <w:spacing w:val="0"/>
          <w:color w:val="121826"/>
        </w:rPr>
        <w:t xml:space="preserve"> block giving the reason.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Publication model:</w:t>
      </w:r>
      <w:r>
        <w:rPr>
          <w:rFonts w:ascii="Georgia" w:hAnsi="Georgia" w:cs="Georgia"/>
          <w:sz w:val="34"/>
          <w:sz-cs w:val="34"/>
          <w:spacing w:val="0"/>
          <w:color w:val="121826"/>
        </w:rPr>
        <w:t xml:space="preserve"> England access framework with separate devolved-nation notes. United Kingdom and non-United Kingdom positions are demarcated throughout: blocks headed </w:t>
      </w:r>
      <w:r>
        <w:rPr>
          <w:rFonts w:ascii="Georgia" w:hAnsi="Georgia" w:cs="Georgia"/>
          <w:sz w:val="34"/>
          <w:sz-cs w:val="34"/>
          <w:b/>
          <w:spacing w:val="0"/>
          <w:color w:val="121826"/>
        </w:rPr>
        <w:t xml:space="preserve">outside the United Kingdom</w:t>
      </w:r>
      <w:r>
        <w:rPr>
          <w:rFonts w:ascii="Georgia" w:hAnsi="Georgia" w:cs="Georgia"/>
          <w:sz w:val="34"/>
          <w:sz-cs w:val="34"/>
          <w:spacing w:val="0"/>
          <w:color w:val="121826"/>
        </w:rPr>
        <w:t xml:space="preserve"> describe evidence or regulatory status in other jurisdictions and </w:t>
      </w:r>
      <w:r>
        <w:rPr>
          <w:rFonts w:ascii="Georgia" w:hAnsi="Georgia" w:cs="Georgia"/>
          <w:sz w:val="34"/>
          <w:sz-cs w:val="34"/>
          <w:i/>
          <w:spacing w:val="0"/>
          <w:color w:val="121826"/>
        </w:rPr>
        <w:t xml:space="preserve">never</w:t>
      </w:r>
      <w:r>
        <w:rPr>
          <w:rFonts w:ascii="Georgia" w:hAnsi="Georgia" w:cs="Georgia"/>
          <w:sz w:val="34"/>
          <w:sz-cs w:val="34"/>
          <w:spacing w:val="0"/>
          <w:color w:val="121826"/>
        </w:rPr>
        <w:t xml:space="preserve"> establish a route to treatment for a patient in the United Kingdom.</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MCL v2.1 quick reference</w:t>
      </w:r>
      <w:r>
        <w:rPr>
          <w:rFonts w:ascii="Georgia" w:hAnsi="Georgia" w:cs="Georgia"/>
          <w:sz w:val="51"/>
          <w:sz-cs w:val="51"/>
          <w:b/>
          <w:spacing w:val="0"/>
          <w:color w:val="151E39"/>
        </w:rPr>
        <w:t xml:space="preserve"/>
      </w:r>
    </w:p>
    <w:p>
      <w:pPr>
        <w:spacing w:after="397"/>
      </w:pPr>
      <w:r>
        <w:rPr>
          <w:rFonts w:ascii="Georgia" w:hAnsi="Georgia" w:cs="Georgia"/>
          <w:sz w:val="39"/>
          <w:sz-cs w:val="39"/>
          <w:b/>
          <w:spacing w:val="0"/>
          <w:color w:val="151E39"/>
        </w:rPr>
        <w:t xml:space="preserve">One-page quick reference</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The tables that follow this summary give the reasoning. This one is the compressed form, intended to be printed and taken to clinic or MDT. Certainty and access are recorded separately and deliberately: they answer different questions and they frequently disagree.</w:t>
      </w:r>
      <w:r>
        <w:rPr>
          <w:rFonts w:ascii="Georgia" w:hAnsi="Georgia" w:cs="Georgia"/>
          <w:sz w:val="34"/>
          <w:sz-cs w:val="34"/>
          <w:spacing w:val="0"/>
          <w:color w:val="121826"/>
        </w:rPr>
        <w:t xml:space="preserve"/>
      </w:r>
    </w:p>
    <w:p>
      <w:pPr/>
      <w:r>
        <w:rPr>
          <w:rFonts w:ascii="Georgia" w:hAnsi="Georgia" w:cs="Georgia"/>
          <w:sz w:val="23"/>
          <w:sz-cs w:val="23"/>
          <w:spacing w:val="0"/>
          <w:color w:val="49515F"/>
        </w:rPr>
        <w:t xml:space="preserve">Certainty A to E and access class R1 to R5 are defined immediately below. Priority P1 to P4 is the practical instruction. Draft, not for clinical use — confirm every access statement against the live source.</w:t>
      </w:r>
      <w:r>
        <w:rPr>
          <w:rFonts w:ascii="Georgia" w:hAnsi="Georgia" w:cs="Georgia"/>
          <w:sz w:val="23"/>
          <w:sz-cs w:val="23"/>
          <w:spacing w:val="0"/>
          <w:color w:val="49515F"/>
        </w:rPr>
        <w:t xml:space="preserve"/>
      </w:r>
    </w:p>
    <w:p>
      <w:pPr/>
      <w:r>
        <w:rPr>
          <w:rFonts w:ascii="Georgia" w:hAnsi="Georgia" w:cs="Georgia"/>
          <w:sz w:val="20"/>
          <w:sz-cs w:val="20"/>
          <w:b/>
          <w:spacing w:val="0"/>
          <w:color w:val="121826"/>
        </w:rPr>
        <w:t xml:space="preserve">Setting</w:t>
      </w:r>
      <w:r>
        <w:rPr>
          <w:rFonts w:ascii="Georgia" w:hAnsi="Georgia" w:cs="Georgia"/>
          <w:sz w:val="20"/>
          <w:sz-cs w:val="20"/>
          <w:b/>
          <w:spacing w:val="0"/>
          <w:color w:val="121826"/>
        </w:rPr>
        <w:t xml:space="preserve"/>
      </w:r>
    </w:p>
    <w:p>
      <w:pPr/>
      <w:r>
        <w:rPr>
          <w:rFonts w:ascii="Georgia" w:hAnsi="Georgia" w:cs="Georgia"/>
          <w:sz w:val="20"/>
          <w:sz-cs w:val="20"/>
          <w:b/>
          <w:spacing w:val="0"/>
          <w:color w:val="121826"/>
        </w:rPr>
        <w:t xml:space="preserve">Option</w:t>
      </w:r>
      <w:r>
        <w:rPr>
          <w:rFonts w:ascii="Georgia" w:hAnsi="Georgia" w:cs="Georgia"/>
          <w:sz w:val="20"/>
          <w:sz-cs w:val="20"/>
          <w:b/>
          <w:spacing w:val="0"/>
          <w:color w:val="121826"/>
        </w:rPr>
        <w:t xml:space="preserve"/>
      </w:r>
    </w:p>
    <w:p>
      <w:pPr/>
      <w:r>
        <w:rPr>
          <w:rFonts w:ascii="Georgia" w:hAnsi="Georgia" w:cs="Georgia"/>
          <w:sz w:val="20"/>
          <w:sz-cs w:val="20"/>
          <w:b/>
          <w:spacing w:val="0"/>
          <w:color w:val="121826"/>
        </w:rPr>
        <w:t xml:space="preserve">Certainty</w:t>
      </w:r>
      <w:r>
        <w:rPr>
          <w:rFonts w:ascii="Georgia" w:hAnsi="Georgia" w:cs="Georgia"/>
          <w:sz w:val="20"/>
          <w:sz-cs w:val="20"/>
          <w:b/>
          <w:spacing w:val="0"/>
          <w:color w:val="121826"/>
        </w:rPr>
        <w:t xml:space="preserve"/>
      </w:r>
    </w:p>
    <w:p>
      <w:pPr/>
      <w:r>
        <w:rPr>
          <w:rFonts w:ascii="Georgia" w:hAnsi="Georgia" w:cs="Georgia"/>
          <w:sz w:val="20"/>
          <w:sz-cs w:val="20"/>
          <w:b/>
          <w:spacing w:val="0"/>
          <w:color w:val="121826"/>
        </w:rPr>
        <w:t xml:space="preserve">England access</w:t>
      </w:r>
      <w:r>
        <w:rPr>
          <w:rFonts w:ascii="Georgia" w:hAnsi="Georgia" w:cs="Georgia"/>
          <w:sz w:val="20"/>
          <w:sz-cs w:val="20"/>
          <w:b/>
          <w:spacing w:val="0"/>
          <w:color w:val="121826"/>
        </w:rPr>
        <w:t xml:space="preserve"/>
      </w:r>
    </w:p>
    <w:p>
      <w:pPr/>
      <w:r>
        <w:rPr>
          <w:rFonts w:ascii="Georgia" w:hAnsi="Georgia" w:cs="Georgia"/>
          <w:sz w:val="20"/>
          <w:sz-cs w:val="20"/>
          <w:b/>
          <w:spacing w:val="0"/>
          <w:color w:val="121826"/>
        </w:rPr>
        <w:t xml:space="preserve">Priority</w:t>
      </w:r>
      <w:r>
        <w:rPr>
          <w:rFonts w:ascii="Georgia" w:hAnsi="Georgia" w:cs="Georgia"/>
          <w:sz w:val="20"/>
          <w:sz-cs w:val="20"/>
          <w:b/>
          <w:spacing w:val="0"/>
          <w:color w:val="121826"/>
        </w:rPr>
        <w:t xml:space="preserve"/>
      </w:r>
    </w:p>
    <w:p>
      <w:pPr/>
      <w:r>
        <w:rPr>
          <w:rFonts w:ascii="Georgia" w:hAnsi="Georgia" w:cs="Georgia"/>
          <w:sz w:val="20"/>
          <w:sz-cs w:val="20"/>
          <w:b/>
          <w:spacing w:val="0"/>
          <w:color w:val="121826"/>
        </w:rPr>
        <w:t xml:space="preserve">First line, transplant-suitable</w:t>
      </w:r>
      <w:r>
        <w:rPr>
          <w:rFonts w:ascii="Georgia" w:hAnsi="Georgia" w:cs="Georgia"/>
          <w:sz w:val="20"/>
          <w:sz-cs w:val="20"/>
          <w:b/>
          <w:spacing w:val="0"/>
          <w:color w:val="121826"/>
        </w:rPr>
        <w:t xml:space="preserve"/>
      </w:r>
    </w:p>
    <w:p>
      <w:pPr/>
      <w:r>
        <w:rPr>
          <w:rFonts w:ascii="Georgia" w:hAnsi="Georgia" w:cs="Georgia"/>
          <w:sz w:val="20"/>
          <w:sz-cs w:val="20"/>
          <w:spacing w:val="0"/>
          <w:color w:val="121826"/>
        </w:rPr>
        <w:t xml:space="preserve">Cytarabine induction, ASCT, rituximab maintenance 3 years</w:t>
      </w:r>
      <w:r>
        <w:rPr>
          <w:rFonts w:ascii="Georgia" w:hAnsi="Georgia" w:cs="Georgia"/>
          <w:sz w:val="20"/>
          <w:sz-cs w:val="20"/>
          <w:spacing w:val="0"/>
          <w:color w:val="121826"/>
        </w:rPr>
        <w:t xml:space="preserve"/>
      </w:r>
    </w:p>
    <w:p>
      <w:pPr/>
      <w:r>
        <w:rPr>
          <w:rFonts w:ascii="Arial" w:hAnsi="Arial" w:cs="Arial"/>
          <w:sz w:val="17"/>
          <w:sz-cs w:val="17"/>
          <w:b/>
          <w:spacing w:val="0"/>
          <w:color w:val="FFFFFF"/>
        </w:rPr>
        <w:t xml:space="preserve">A</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R3 guideline-supported</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P1</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TRIANGLE ibrutinib regimen</w:t>
      </w:r>
      <w:r>
        <w:rPr>
          <w:rFonts w:ascii="Georgia" w:hAnsi="Georgia" w:cs="Georgia"/>
          <w:sz w:val="20"/>
          <w:sz-cs w:val="20"/>
          <w:b/>
          <w:spacing w:val="0"/>
          <w:color w:val="121826"/>
        </w:rPr>
        <w:t xml:space="preserve"/>
      </w:r>
    </w:p>
    <w:p>
      <w:pPr/>
      <w:r>
        <w:rPr>
          <w:rFonts w:ascii="Arial" w:hAnsi="Arial" w:cs="Arial"/>
          <w:sz w:val="17"/>
          <w:sz-cs w:val="17"/>
          <w:b/>
          <w:spacing w:val="0"/>
          <w:color w:val="FFFFFF"/>
        </w:rPr>
        <w:t xml:space="preserve">A</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R4 licensed, company scheme</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P3</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Rituximab maintenance in a TRIANGLE pathway</w:t>
      </w:r>
      <w:r>
        <w:rPr>
          <w:rFonts w:ascii="Georgia" w:hAnsi="Georgia" w:cs="Georgia"/>
          <w:sz w:val="20"/>
          <w:sz-cs w:val="20"/>
          <w:b/>
          <w:spacing w:val="0"/>
          <w:color w:val="121826"/>
        </w:rPr>
        <w:t xml:space="preserve"/>
      </w:r>
    </w:p>
    <w:p>
      <w:pPr/>
      <w:r>
        <w:rPr>
          <w:rFonts w:ascii="Arial" w:hAnsi="Arial" w:cs="Arial"/>
          <w:sz w:val="17"/>
          <w:sz-cs w:val="17"/>
          <w:b/>
          <w:spacing w:val="0"/>
          <w:color w:val="FFFFFF"/>
        </w:rPr>
        <w:t xml:space="preserve">D</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R3</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P2</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Obinutuzumab substituted for rituximab</w:t>
      </w:r>
      <w:r>
        <w:rPr>
          <w:rFonts w:ascii="Georgia" w:hAnsi="Georgia" w:cs="Georgia"/>
          <w:sz w:val="20"/>
          <w:sz-cs w:val="20"/>
          <w:b/>
          <w:spacing w:val="0"/>
          <w:color w:val="121826"/>
        </w:rPr>
        <w:t xml:space="preserve"/>
      </w:r>
    </w:p>
    <w:p>
      <w:pPr/>
      <w:r>
        <w:rPr>
          <w:rFonts w:ascii="Arial" w:hAnsi="Arial" w:cs="Arial"/>
          <w:sz w:val="17"/>
          <w:sz-cs w:val="17"/>
          <w:b/>
          <w:spacing w:val="0"/>
          <w:color w:val="FFFFFF"/>
        </w:rPr>
        <w:t xml:space="preserve">D</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R5 no licence</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P4</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First line, older or transplant-ineligible</w:t>
      </w:r>
      <w:r>
        <w:rPr>
          <w:rFonts w:ascii="Georgia" w:hAnsi="Georgia" w:cs="Georgia"/>
          <w:sz w:val="20"/>
          <w:sz-cs w:val="20"/>
          <w:b/>
          <w:spacing w:val="0"/>
          <w:color w:val="121826"/>
        </w:rPr>
        <w:t xml:space="preserve"/>
      </w:r>
    </w:p>
    <w:p>
      <w:pPr/>
      <w:r>
        <w:rPr>
          <w:rFonts w:ascii="Georgia" w:hAnsi="Georgia" w:cs="Georgia"/>
          <w:sz w:val="20"/>
          <w:sz-cs w:val="20"/>
          <w:spacing w:val="0"/>
          <w:color w:val="121826"/>
        </w:rPr>
        <w:t xml:space="preserve">Bendamustine–rituximab, then maintenance ≥2 years</w:t>
      </w:r>
      <w:r>
        <w:rPr>
          <w:rFonts w:ascii="Georgia" w:hAnsi="Georgia" w:cs="Georgia"/>
          <w:sz w:val="20"/>
          <w:sz-cs w:val="20"/>
          <w:spacing w:val="0"/>
          <w:color w:val="121826"/>
        </w:rPr>
        <w:t xml:space="preserve"/>
      </w:r>
    </w:p>
    <w:p>
      <w:pPr/>
      <w:r>
        <w:rPr>
          <w:rFonts w:ascii="Arial" w:hAnsi="Arial" w:cs="Arial"/>
          <w:sz w:val="17"/>
          <w:sz-cs w:val="17"/>
          <w:b/>
          <w:spacing w:val="0"/>
          <w:color w:val="FFFFFF"/>
        </w:rPr>
        <w:t xml:space="preserve">B</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R1 routine — policy 17088P, off-label</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P1</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VR-CAP</w:t>
      </w:r>
      <w:r>
        <w:rPr>
          <w:rFonts w:ascii="Georgia" w:hAnsi="Georgia" w:cs="Georgia"/>
          <w:sz w:val="20"/>
          <w:sz-cs w:val="20"/>
          <w:b/>
          <w:spacing w:val="0"/>
          <w:color w:val="121826"/>
        </w:rPr>
        <w:t xml:space="preserve"/>
      </w:r>
    </w:p>
    <w:p>
      <w:pPr/>
      <w:r>
        <w:rPr>
          <w:rFonts w:ascii="Arial" w:hAnsi="Arial" w:cs="Arial"/>
          <w:sz w:val="17"/>
          <w:sz-cs w:val="17"/>
          <w:b/>
          <w:spacing w:val="0"/>
          <w:color w:val="FFFFFF"/>
        </w:rPr>
        <w:t xml:space="preserve">A</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R1 routine — TA370</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P2</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R-BAC</w:t>
      </w:r>
      <w:r>
        <w:rPr>
          <w:rFonts w:ascii="Georgia" w:hAnsi="Georgia" w:cs="Georgia"/>
          <w:sz w:val="20"/>
          <w:sz-cs w:val="20"/>
          <w:b/>
          <w:spacing w:val="0"/>
          <w:color w:val="121826"/>
        </w:rPr>
        <w:t xml:space="preserve"/>
      </w:r>
    </w:p>
    <w:p>
      <w:pPr/>
      <w:r>
        <w:rPr>
          <w:rFonts w:ascii="Arial" w:hAnsi="Arial" w:cs="Arial"/>
          <w:sz w:val="17"/>
          <w:sz-cs w:val="17"/>
          <w:b/>
          <w:spacing w:val="0"/>
          <w:color w:val="1B1406"/>
        </w:rPr>
        <w:t xml:space="preserve">C</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R3 guideline-supported</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P2</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Acalabrutinib with bendamustine–rituximab</w:t>
      </w:r>
      <w:r>
        <w:rPr>
          <w:rFonts w:ascii="Georgia" w:hAnsi="Georgia" w:cs="Georgia"/>
          <w:sz w:val="20"/>
          <w:sz-cs w:val="20"/>
          <w:b/>
          <w:spacing w:val="0"/>
          <w:color w:val="121826"/>
        </w:rPr>
        <w:t xml:space="preserve"/>
      </w:r>
    </w:p>
    <w:p>
      <w:pPr/>
      <w:r>
        <w:rPr>
          <w:rFonts w:ascii="Arial" w:hAnsi="Arial" w:cs="Arial"/>
          <w:sz w:val="17"/>
          <w:sz-cs w:val="17"/>
          <w:b/>
          <w:spacing w:val="0"/>
          <w:color w:val="FFFFFF"/>
        </w:rPr>
        <w:t xml:space="preserve">A</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R4 licensed, company scheme</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P3</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Adding bortezomib to BR, or lenalidomide to maintenance</w:t>
      </w:r>
      <w:r>
        <w:rPr>
          <w:rFonts w:ascii="Georgia" w:hAnsi="Georgia" w:cs="Georgia"/>
          <w:sz w:val="20"/>
          <w:sz-cs w:val="20"/>
          <w:b/>
          <w:spacing w:val="0"/>
          <w:color w:val="121826"/>
        </w:rPr>
        <w:t xml:space="preserve"/>
      </w:r>
    </w:p>
    <w:p>
      <w:pPr/>
      <w:r>
        <w:rPr>
          <w:rFonts w:ascii="Arial" w:hAnsi="Arial" w:cs="Arial"/>
          <w:sz w:val="17"/>
          <w:sz-cs w:val="17"/>
          <w:b/>
          <w:spacing w:val="0"/>
          <w:color w:val="FFFFFF"/>
        </w:rPr>
        <w:t xml:space="preserve">A</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P4</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Ibrutinib with BR (SHINE), or ibrutinib–rituximab (ENRICH)</w:t>
      </w:r>
      <w:r>
        <w:rPr>
          <w:rFonts w:ascii="Georgia" w:hAnsi="Georgia" w:cs="Georgia"/>
          <w:sz w:val="20"/>
          <w:sz-cs w:val="20"/>
          <w:b/>
          <w:spacing w:val="0"/>
          <w:color w:val="121826"/>
        </w:rPr>
        <w:t xml:space="preserve"/>
      </w:r>
    </w:p>
    <w:p>
      <w:pPr/>
      <w:r>
        <w:rPr>
          <w:rFonts w:ascii="Arial" w:hAnsi="Arial" w:cs="Arial"/>
          <w:sz w:val="17"/>
          <w:sz-cs w:val="17"/>
          <w:b/>
          <w:spacing w:val="0"/>
          <w:color w:val="FFFFFF"/>
        </w:rPr>
        <w:t xml:space="preserve">A</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R5 no route</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P4</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TP53-mutated</w:t>
      </w:r>
      <w:r>
        <w:rPr>
          <w:rFonts w:ascii="Georgia" w:hAnsi="Georgia" w:cs="Georgia"/>
          <w:sz w:val="20"/>
          <w:sz-cs w:val="20"/>
          <w:b/>
          <w:spacing w:val="0"/>
          <w:color w:val="121826"/>
        </w:rPr>
        <w:t xml:space="preserve"/>
      </w:r>
    </w:p>
    <w:p>
      <w:pPr/>
      <w:r>
        <w:rPr>
          <w:rFonts w:ascii="Georgia" w:hAnsi="Georgia" w:cs="Georgia"/>
          <w:sz w:val="20"/>
          <w:sz-cs w:val="20"/>
          <w:spacing w:val="0"/>
          <w:color w:val="121826"/>
        </w:rPr>
        <w:t xml:space="preserve">Trial referral</w:t>
      </w:r>
      <w:r>
        <w:rPr>
          <w:rFonts w:ascii="Georgia" w:hAnsi="Georgia" w:cs="Georgia"/>
          <w:sz w:val="20"/>
          <w:sz-cs w:val="20"/>
          <w:spacing w:val="0"/>
          <w:color w:val="121826"/>
        </w:rPr>
        <w:t xml:space="preserve"/>
      </w:r>
    </w:p>
    <w:p>
      <w:pPr/>
      <w:r>
        <w:rPr>
          <w:rFonts w:ascii="Arial" w:hAnsi="Arial" w:cs="Arial"/>
          <w:sz w:val="17"/>
          <w:sz-cs w:val="17"/>
          <w:b/>
          <w:spacing w:val="0"/>
          <w:color w:val="FFFFFF"/>
        </w:rPr>
        <w:t xml:space="preserve">G</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R3</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P1</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Anti-CD20 with BTK and BCL2 inhibition, first line</w:t>
      </w:r>
      <w:r>
        <w:rPr>
          <w:rFonts w:ascii="Georgia" w:hAnsi="Georgia" w:cs="Georgia"/>
          <w:sz w:val="20"/>
          <w:sz-cs w:val="20"/>
          <w:b/>
          <w:spacing w:val="0"/>
          <w:color w:val="121826"/>
        </w:rPr>
        <w:t xml:space="preserve"/>
      </w:r>
    </w:p>
    <w:p>
      <w:pPr/>
      <w:r>
        <w:rPr>
          <w:rFonts w:ascii="Arial" w:hAnsi="Arial" w:cs="Arial"/>
          <w:sz w:val="17"/>
          <w:sz-cs w:val="17"/>
          <w:b/>
          <w:spacing w:val="0"/>
          <w:color w:val="1B1406"/>
        </w:rPr>
        <w:t xml:space="preserve">C</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R5 no licence</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P4</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MRD-guided cessation</w:t>
      </w:r>
      <w:r>
        <w:rPr>
          <w:rFonts w:ascii="Georgia" w:hAnsi="Georgia" w:cs="Georgia"/>
          <w:sz w:val="20"/>
          <w:sz-cs w:val="20"/>
          <w:b/>
          <w:spacing w:val="0"/>
          <w:color w:val="121826"/>
        </w:rPr>
        <w:t xml:space="preserve"/>
      </w:r>
    </w:p>
    <w:p>
      <w:pPr/>
      <w:r>
        <w:rPr>
          <w:rFonts w:ascii="Arial" w:hAnsi="Arial" w:cs="Arial"/>
          <w:sz w:val="17"/>
          <w:sz-cs w:val="17"/>
          <w:b/>
          <w:spacing w:val="0"/>
          <w:color w:val="FFFFFF"/>
        </w:rPr>
        <w:t xml:space="preserve">B</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R5</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P4</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Relapsed or refractory</w:t>
      </w:r>
      <w:r>
        <w:rPr>
          <w:rFonts w:ascii="Georgia" w:hAnsi="Georgia" w:cs="Georgia"/>
          <w:sz w:val="20"/>
          <w:sz-cs w:val="20"/>
          <w:b/>
          <w:spacing w:val="0"/>
          <w:color w:val="121826"/>
        </w:rPr>
        <w:t xml:space="preserve"/>
      </w:r>
    </w:p>
    <w:p>
      <w:pPr/>
      <w:r>
        <w:rPr>
          <w:rFonts w:ascii="Georgia" w:hAnsi="Georgia" w:cs="Georgia"/>
          <w:sz w:val="20"/>
          <w:sz-cs w:val="20"/>
          <w:spacing w:val="0"/>
          <w:color w:val="121826"/>
        </w:rPr>
        <w:t xml:space="preserve">Ibrutinib or zanubrutinib after exactly one line</w:t>
      </w:r>
      <w:r>
        <w:rPr>
          <w:rFonts w:ascii="Georgia" w:hAnsi="Georgia" w:cs="Georgia"/>
          <w:sz w:val="20"/>
          <w:sz-cs w:val="20"/>
          <w:spacing w:val="0"/>
          <w:color w:val="121826"/>
        </w:rPr>
        <w:t xml:space="preserve"/>
      </w:r>
    </w:p>
    <w:p>
      <w:pPr/>
      <w:r>
        <w:rPr>
          <w:rFonts w:ascii="Arial" w:hAnsi="Arial" w:cs="Arial"/>
          <w:sz w:val="17"/>
          <w:sz-cs w:val="17"/>
          <w:b/>
          <w:spacing w:val="0"/>
          <w:color w:val="FFFFFF"/>
        </w:rPr>
        <w:t xml:space="preserve">B</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R1 routine — TA502, TA1081</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P2</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Brexucabtagene autoleucel after ≥2 lines incl. BTKi</w:t>
      </w:r>
      <w:r>
        <w:rPr>
          <w:rFonts w:ascii="Georgia" w:hAnsi="Georgia" w:cs="Georgia"/>
          <w:sz w:val="20"/>
          <w:sz-cs w:val="20"/>
          <w:b/>
          <w:spacing w:val="0"/>
          <w:color w:val="121826"/>
        </w:rPr>
        <w:t xml:space="preserve"/>
      </w:r>
    </w:p>
    <w:p>
      <w:pPr/>
      <w:r>
        <w:rPr>
          <w:rFonts w:ascii="Arial" w:hAnsi="Arial" w:cs="Arial"/>
          <w:sz w:val="17"/>
          <w:sz-cs w:val="17"/>
          <w:b/>
          <w:spacing w:val="0"/>
          <w:color w:val="1B1406"/>
        </w:rPr>
        <w:t xml:space="preserve">C</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R2 CDF — review remitted after appeal</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P2</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Pirtobrutinib after covalent BTKi</w:t>
      </w:r>
      <w:r>
        <w:rPr>
          <w:rFonts w:ascii="Georgia" w:hAnsi="Georgia" w:cs="Georgia"/>
          <w:sz w:val="20"/>
          <w:sz-cs w:val="20"/>
          <w:b/>
          <w:spacing w:val="0"/>
          <w:color w:val="121826"/>
        </w:rPr>
        <w:t xml:space="preserve"/>
      </w:r>
    </w:p>
    <w:p>
      <w:pPr/>
      <w:r>
        <w:rPr>
          <w:rFonts w:ascii="Arial" w:hAnsi="Arial" w:cs="Arial"/>
          <w:sz w:val="17"/>
          <w:sz-cs w:val="17"/>
          <w:b/>
          <w:spacing w:val="0"/>
          <w:color w:val="1B1406"/>
        </w:rPr>
        <w:t xml:space="preserve">C</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R4 licensed, no route</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P3</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Lisocabtagene maraleucel</w:t>
      </w:r>
      <w:r>
        <w:rPr>
          <w:rFonts w:ascii="Georgia" w:hAnsi="Georgia" w:cs="Georgia"/>
          <w:sz w:val="20"/>
          <w:sz-cs w:val="20"/>
          <w:b/>
          <w:spacing w:val="0"/>
          <w:color w:val="121826"/>
        </w:rPr>
        <w:t xml:space="preserve"/>
      </w:r>
    </w:p>
    <w:p>
      <w:pPr/>
      <w:r>
        <w:rPr>
          <w:rFonts w:ascii="Arial" w:hAnsi="Arial" w:cs="Arial"/>
          <w:sz w:val="17"/>
          <w:sz-cs w:val="17"/>
          <w:b/>
          <w:spacing w:val="0"/>
          <w:color w:val="1B1406"/>
        </w:rPr>
        <w:t xml:space="preserve">C</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R4 licensed, no route</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P3</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Lenalidomide monotherapy</w:t>
      </w:r>
      <w:r>
        <w:rPr>
          <w:rFonts w:ascii="Georgia" w:hAnsi="Georgia" w:cs="Georgia"/>
          <w:sz w:val="20"/>
          <w:sz-cs w:val="20"/>
          <w:b/>
          <w:spacing w:val="0"/>
          <w:color w:val="121826"/>
        </w:rPr>
        <w:t xml:space="preserve"/>
      </w:r>
    </w:p>
    <w:p>
      <w:pPr/>
      <w:r>
        <w:rPr>
          <w:rFonts w:ascii="Arial" w:hAnsi="Arial" w:cs="Arial"/>
          <w:sz w:val="17"/>
          <w:sz-cs w:val="17"/>
          <w:b/>
          <w:spacing w:val="0"/>
          <w:color w:val="1B1406"/>
        </w:rPr>
        <w:t xml:space="preserve">C</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R4 licensed, no route</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P3</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Ibrutinib with venetoclax</w:t>
      </w:r>
      <w:r>
        <w:rPr>
          <w:rFonts w:ascii="Georgia" w:hAnsi="Georgia" w:cs="Georgia"/>
          <w:sz w:val="20"/>
          <w:sz-cs w:val="20"/>
          <w:b/>
          <w:spacing w:val="0"/>
          <w:color w:val="121826"/>
        </w:rPr>
        <w:t xml:space="preserve"/>
      </w:r>
    </w:p>
    <w:p>
      <w:pPr/>
      <w:r>
        <w:rPr>
          <w:rFonts w:ascii="Arial" w:hAnsi="Arial" w:cs="Arial"/>
          <w:sz w:val="17"/>
          <w:sz-cs w:val="17"/>
          <w:b/>
          <w:spacing w:val="0"/>
          <w:color w:val="FFFFFF"/>
        </w:rPr>
        <w:t xml:space="preserve">A</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R5 no MCL licence</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P4</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Glofitamab — GLOBRYTE trial</w:t>
      </w:r>
      <w:r>
        <w:rPr>
          <w:rFonts w:ascii="Georgia" w:hAnsi="Georgia" w:cs="Georgia"/>
          <w:sz w:val="20"/>
          <w:sz-cs w:val="20"/>
          <w:b/>
          <w:spacing w:val="0"/>
          <w:color w:val="121826"/>
        </w:rPr>
        <w:t xml:space="preserve"/>
      </w:r>
    </w:p>
    <w:p>
      <w:pPr/>
      <w:r>
        <w:rPr>
          <w:rFonts w:ascii="Arial" w:hAnsi="Arial" w:cs="Arial"/>
          <w:sz w:val="17"/>
          <w:sz-cs w:val="17"/>
          <w:b/>
          <w:spacing w:val="0"/>
          <w:color w:val="1B1406"/>
        </w:rPr>
        <w:t xml:space="preserve">C</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R5 trial only</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P4</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Sonrotoclax — CELESTIAL-RRMCL trial</w:t>
      </w:r>
      <w:r>
        <w:rPr>
          <w:rFonts w:ascii="Georgia" w:hAnsi="Georgia" w:cs="Georgia"/>
          <w:sz w:val="20"/>
          <w:sz-cs w:val="20"/>
          <w:b/>
          <w:spacing w:val="0"/>
          <w:color w:val="121826"/>
        </w:rPr>
        <w:t xml:space="preserve"/>
      </w:r>
    </w:p>
    <w:p>
      <w:pPr/>
      <w:r>
        <w:rPr>
          <w:rFonts w:ascii="Arial" w:hAnsi="Arial" w:cs="Arial"/>
          <w:sz w:val="17"/>
          <w:sz-cs w:val="17"/>
          <w:b/>
          <w:spacing w:val="0"/>
          <w:color w:val="1B1406"/>
        </w:rPr>
        <w:t xml:space="preserve">C</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R5 trial only</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P4</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Allogeneic HCT after CAR-T failure</w:t>
      </w:r>
      <w:r>
        <w:rPr>
          <w:rFonts w:ascii="Georgia" w:hAnsi="Georgia" w:cs="Georgia"/>
          <w:sz w:val="20"/>
          <w:sz-cs w:val="20"/>
          <w:b/>
          <w:spacing w:val="0"/>
          <w:color w:val="121826"/>
        </w:rPr>
        <w:t xml:space="preserve"/>
      </w:r>
    </w:p>
    <w:p>
      <w:pPr/>
      <w:r>
        <w:rPr>
          <w:rFonts w:ascii="Arial" w:hAnsi="Arial" w:cs="Arial"/>
          <w:sz w:val="17"/>
          <w:sz-cs w:val="17"/>
          <w:b/>
          <w:spacing w:val="0"/>
          <w:color w:val="FFFFFF"/>
        </w:rPr>
        <w:t xml:space="preserve">G</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R3 specialist decision</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P3</w:t>
      </w:r>
      <w:r>
        <w:rPr>
          <w:rFonts w:ascii="Georgia" w:hAnsi="Georgia" w:cs="Georgia"/>
          <w:sz w:val="20"/>
          <w:sz-cs w:val="20"/>
          <w:spacing w:val="0"/>
          <w:color w:val="121826"/>
        </w:rPr>
        <w:t xml:space="preserve"/>
      </w:r>
    </w:p>
    <w:p>
      <w:pPr/>
      <w:r>
        <w:rPr>
          <w:rFonts w:ascii="Arial" w:hAnsi="Arial" w:cs="Arial"/>
          <w:sz w:val="17"/>
          <w:sz-cs w:val="17"/>
          <w:b/>
          <w:spacing w:val="0"/>
          <w:color w:val="771F23"/>
        </w:rPr>
        <w:t xml:space="preserve">THREE LINES TO CARRY IN YOUR HEAD</w:t>
      </w:r>
      <w:r>
        <w:rPr>
          <w:rFonts w:ascii="Arial" w:hAnsi="Arial" w:cs="Arial"/>
          <w:sz w:val="17"/>
          <w:sz-cs w:val="17"/>
          <w:b/>
          <w:spacing w:val="0"/>
          <w:color w:val="771F23"/>
        </w:rPr>
        <w:t xml:space="preserve"/>
      </w:r>
    </w:p>
    <w:p>
      <w:pPr>
        <w:spacing w:after="340"/>
      </w:pPr>
      <w:r>
        <w:rPr>
          <w:rFonts w:ascii="Georgia" w:hAnsi="Georgia" w:cs="Georgia"/>
          <w:sz w:val="34"/>
          <w:sz-cs w:val="34"/>
          <w:spacing w:val="0"/>
          <w:color w:val="121826"/>
        </w:rPr>
        <w:t xml:space="preserve">Bendamustine–rituximab is routinely commissioned in first line and is </w:t>
      </w:r>
      <w:r>
        <w:rPr>
          <w:rFonts w:ascii="Georgia" w:hAnsi="Georgia" w:cs="Georgia"/>
          <w:sz w:val="34"/>
          <w:sz-cs w:val="34"/>
          <w:i/>
          <w:spacing w:val="0"/>
          <w:color w:val="121826"/>
        </w:rPr>
        <w:t xml:space="preserve">off-label</w:t>
      </w:r>
      <w:r>
        <w:rPr>
          <w:rFonts w:ascii="Georgia" w:hAnsi="Georgia" w:cs="Georgia"/>
          <w:sz w:val="34"/>
          <w:sz-cs w:val="34"/>
          <w:spacing w:val="0"/>
          <w:color w:val="121826"/>
        </w:rPr>
        <w:t xml:space="preserve"> — NHS England policy 17088P says so itself. Commissioning and licensing are not the same thing and can point in opposite directions.</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The two first-line company schemes divide on transplant eligibility, in opposite directions: acalabrutinib–bendamustine–rituximab is licensed for patients </w:t>
      </w:r>
      <w:r>
        <w:rPr>
          <w:rFonts w:ascii="Georgia" w:hAnsi="Georgia" w:cs="Georgia"/>
          <w:sz w:val="34"/>
          <w:sz-cs w:val="34"/>
          <w:b/>
          <w:spacing w:val="0"/>
          <w:color w:val="121826"/>
        </w:rPr>
        <w:t xml:space="preserve">not</w:t>
      </w:r>
      <w:r>
        <w:rPr>
          <w:rFonts w:ascii="Georgia" w:hAnsi="Georgia" w:cs="Georgia"/>
          <w:sz w:val="34"/>
          <w:sz-cs w:val="34"/>
          <w:spacing w:val="0"/>
          <w:color w:val="121826"/>
        </w:rPr>
        <w:t xml:space="preserve"> eligible for ASCT, the TRIANGLE regimen for those who </w:t>
      </w:r>
      <w:r>
        <w:rPr>
          <w:rFonts w:ascii="Georgia" w:hAnsi="Georgia" w:cs="Georgia"/>
          <w:sz w:val="34"/>
          <w:sz-cs w:val="34"/>
          <w:b/>
          <w:spacing w:val="0"/>
          <w:color w:val="121826"/>
        </w:rPr>
        <w:t xml:space="preserve">are</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Brexucabtagene autoleucel is the only cellular therapy with an England route, TA677 managed access remains live, while the post-managed-access review remains unresolved following remittal. Confirm before you promise.</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Discuss allogeneic transplantation </w:t>
      </w:r>
      <w:r>
        <w:rPr>
          <w:rFonts w:ascii="Georgia" w:hAnsi="Georgia" w:cs="Georgia"/>
          <w:sz w:val="34"/>
          <w:sz-cs w:val="34"/>
          <w:i/>
          <w:spacing w:val="0"/>
          <w:color w:val="121826"/>
        </w:rPr>
        <w:t xml:space="preserve">before</w:t>
      </w:r>
      <w:r>
        <w:rPr>
          <w:rFonts w:ascii="Georgia" w:hAnsi="Georgia" w:cs="Georgia"/>
          <w:sz w:val="34"/>
          <w:sz-cs w:val="34"/>
          <w:spacing w:val="0"/>
          <w:color w:val="121826"/>
        </w:rPr>
        <w:t xml:space="preserve"> CAR-T, at covalent BTK-inhibitor progression. Remission status at transplant drives the outcome, and a patient who has already failed CAR-T is usually neither in remission nor fit enough.</w:t>
      </w:r>
      <w:r>
        <w:rPr>
          <w:rFonts w:ascii="Georgia" w:hAnsi="Georgia" w:cs="Georgia"/>
          <w:sz w:val="34"/>
          <w:sz-cs w:val="34"/>
          <w:spacing w:val="0"/>
          <w:color w:val="121826"/>
        </w:rPr>
        <w:t xml:space="preserve"/>
      </w:r>
    </w:p>
    <w:p>
      <w:pPr/>
      <w:r>
        <w:rPr>
          <w:rFonts w:ascii="Georgia" w:hAnsi="Georgia" w:cs="Georgia"/>
          <w:sz w:val="34"/>
          <w:sz-cs w:val="34"/>
          <w:b/>
          <w:spacing w:val="0"/>
          <w:color w:val="FFFFFF"/>
        </w:rPr>
        <w:t xml:space="preserve">Mohsin Haematology Academy</w:t>
      </w:r>
      <w:r>
        <w:rPr>
          <w:rFonts w:ascii="Georgia" w:hAnsi="Georgia" w:cs="Georgia"/>
          <w:sz w:val="34"/>
          <w:sz-cs w:val="34"/>
          <w:spacing w:val="0"/>
          <w:color w:val="FFFFFF"/>
        </w:rPr>
        <w:t xml:space="preserve"> · Accountable owner: Dr Muhammad Mohsin, Consultant Haematologist · MHA-MCL-2026-v2.1-PREVIEW-RC1 · controlled reviewed preview, not for clinical use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