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REQUEST FOR PROPOSAL (RFP)</w:t>
      </w:r>
    </w:p>
    <w:p>
      <w:pPr>
        <w:spacing w:after="100"/>
        <w:jc w:val="center"/>
      </w:pPr>
      <w:r>
        <w:rPr>
          <w:color w:val="2E5395"/>
          <w:sz w:val="26"/>
          <w:szCs w:val="26"/>
        </w:rPr>
        <w:t xml:space="preserve">Supply, Installation &amp; Maintenance of Enterprise IT Infrastructure</w:t>
      </w:r>
    </w:p>
    <w:p>
      <w:pPr>
        <w:spacing w:after="400"/>
        <w:jc w:val="center"/>
      </w:pPr>
      <w:r>
        <w:rPr>
          <w:color w:val="555555"/>
          <w:sz w:val="22"/>
          <w:szCs w:val="22"/>
        </w:rPr>
        <w:t xml:space="preserve">Reference No: RFP/2026/IT-0142</w:t>
      </w:r>
    </w:p>
    <w:p>
      <w:pPr>
        <w:pStyle w:val="Heading1"/>
      </w:pPr>
      <w:r>
        <w:t xml:space="preserve">1. Contracting Parties</w:t>
      </w:r>
    </w:p>
    <w:p>
      <w:pPr>
        <w:spacing w:after="160"/>
      </w:pPr>
      <w:r>
        <w:t xml:space="preserve">This tender is issued by Al Marjan Logistics Group LLC (“the Client”), a company incorporated in Dubai, United Arab Emirates, with its registered office at Office 1402, Business Bay, Dubai, UAE, and is open to qualified vendors (“the Contractor”) for the supply, installation, and three-year maintenance of enterprise IT infrastructure across four warehouse locations in Dubai and Sharjah.</w:t>
      </w:r>
    </w:p>
    <w:p>
      <w:pPr>
        <w:spacing w:after="160"/>
      </w:pPr>
      <w:r>
        <w:t xml:space="preserve">The successful bidder will be referred to throughout this document and the resulting contract as the “Contractor.” The Client reserves the right to award the contract in full or in part, or to reject all proposals without liability.</w:t>
      </w:r>
    </w:p>
    <w:p>
      <w:pPr>
        <w:pStyle w:val="Heading1"/>
      </w:pPr>
      <w:r>
        <w:t xml:space="preserve">2. Contract Value &amp; Payment Terms</w:t>
      </w:r>
    </w:p>
    <w:p>
      <w:pPr>
        <w:spacing w:after="160"/>
      </w:pPr>
      <w:r>
        <w:t xml:space="preserve">The estimated total contract value is AED 1,850,000 (United Arab Emirates Dirhams One Million Eight Hundred Fifty Thousand), inclusive of hardware, installation, licensing, and 36 months of maintenance support, exclusive of 5% VAT.</w:t>
      </w:r>
    </w:p>
    <w:p>
      <w:pPr>
        <w:spacing w:after="140"/>
      </w:pPr>
      <w:r>
        <w:rPr>
          <w:b/>
          <w:bCs/>
        </w:rPr>
        <w:t xml:space="preserve">2.1  </w:t>
      </w:r>
      <w:r>
        <w:t xml:space="preserve">An advance payment of 15% of the total contract value shall be released within 14 days of contract signature, against submission of an advance payment bank guarantee of equal value.</w:t>
      </w:r>
    </w:p>
    <w:p>
      <w:pPr>
        <w:spacing w:after="140"/>
      </w:pPr>
      <w:r>
        <w:rPr>
          <w:b/>
          <w:bCs/>
        </w:rPr>
        <w:t xml:space="preserve">2.2  </w:t>
      </w:r>
      <w:r>
        <w:t xml:space="preserve">30% of the contract value shall be paid upon successful delivery of all hardware to site, verified by a signed delivery note countersigned by the Client's IT Manager.</w:t>
      </w:r>
    </w:p>
    <w:p>
      <w:pPr>
        <w:spacing w:after="140"/>
      </w:pPr>
      <w:r>
        <w:rPr>
          <w:b/>
          <w:bCs/>
        </w:rPr>
        <w:t xml:space="preserve">2.3  </w:t>
      </w:r>
      <w:r>
        <w:t xml:space="preserve">40% of the contract value shall be paid upon completion of installation, configuration, and successful User Acceptance Testing (UAT), to be completed within 10 working days of installation.</w:t>
      </w:r>
    </w:p>
    <w:p>
      <w:pPr>
        <w:spacing w:after="140"/>
      </w:pPr>
      <w:r>
        <w:rPr>
          <w:b/>
          <w:bCs/>
        </w:rPr>
        <w:t xml:space="preserve">2.4  </w:t>
      </w:r>
      <w:r>
        <w:t xml:space="preserve">The remaining 15% shall be retained as a retention sum, payable 90 days after final UAT sign-off, conditional on no unresolved defects being outstanding.</w:t>
      </w:r>
    </w:p>
    <w:p>
      <w:pPr>
        <w:spacing w:after="140"/>
      </w:pPr>
      <w:r>
        <w:rPr>
          <w:b/>
          <w:bCs/>
        </w:rPr>
        <w:t xml:space="preserve">2.5  </w:t>
      </w:r>
      <w:r>
        <w:t xml:space="preserve">All invoices must be submitted with supporting documentation (delivery notes, UAT sign-off, LPO reference) and are payable within 45 days of the Client's acceptance of a valid invoice.</w:t>
      </w:r>
    </w:p>
    <w:p>
      <w:pPr>
        <w:pStyle w:val="Heading1"/>
      </w:pPr>
      <w:r>
        <w:t xml:space="preserve">3. Project Timeline &amp; Deadlines</w:t>
      </w:r>
    </w:p>
    <w:p>
      <w:pPr>
        <w:spacing w:after="160"/>
      </w:pPr>
      <w:r>
        <w:t xml:space="preserve">The Contractor shall adhere to the following milestones, calculated from the Effective Date (the date of contract signature by both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1"/>
                <w:szCs w:val="21"/>
              </w:rPr>
              <w:t xml:space="preserve">Milestone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1"/>
                <w:szCs w:val="21"/>
              </w:rPr>
              <w:t xml:space="preserve">Deadline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1"/>
                <w:szCs w:val="21"/>
              </w:rPr>
              <w:t xml:space="preserve">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Submission of detailed project plan and resource schedule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Within 7 days of Effective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Mandatory for kickoff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Procurement and delivery of all hardware to all 4 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Within 45 days of Effective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Subject to penalty clause 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Completion of installation and configuration at all sites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Within 75 days of Effective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Subject to penalty clause 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User Acceptance Testing (UAT) completed and signed off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Within 90 days of Effective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Final milestone for go-live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Submission of as-built documentation and training materials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Within 100 days of Effective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Required before final payment release</w:t>
            </w:r>
          </w:p>
        </w:tc>
      </w:tr>
    </w:tbl>
    <w:p>
      <w:pPr>
        <w:spacing w:after="200"/>
      </w:pPr>
    </w:p>
    <w:p>
      <w:pPr>
        <w:pStyle w:val="Heading1"/>
      </w:pPr>
      <w:r>
        <w:t xml:space="preserve">4. Scope of Work &amp; Deliverables</w:t>
      </w:r>
    </w:p>
    <w:p>
      <w:pPr>
        <w:spacing w:after="160"/>
      </w:pPr>
      <w:r>
        <w:t xml:space="preserve">The Contractor shall supply, install, configure, and maintain the following, at minimum:</w:t>
      </w:r>
    </w:p>
    <w:p>
      <w:pPr>
        <w:spacing w:after="140"/>
      </w:pPr>
      <w:r>
        <w:rPr>
          <w:b/>
          <w:bCs/>
        </w:rPr>
        <w:t xml:space="preserve">4.1  </w:t>
      </w:r>
      <w:r>
        <w:t xml:space="preserve">Supply and installation of 40 enterprise-grade desktop workstations and 15 laptops meeting the technical specifications in Annex A.</w:t>
      </w:r>
    </w:p>
    <w:p>
      <w:pPr>
        <w:spacing w:after="140"/>
      </w:pPr>
      <w:r>
        <w:rPr>
          <w:b/>
          <w:bCs/>
        </w:rPr>
        <w:t xml:space="preserve">4.2  </w:t>
      </w:r>
      <w:r>
        <w:t xml:space="preserve">Supply, installation, and configuration of 2 redundant rack-mounted servers with virtualization software, RAID-configured storage, and UPS backup at each of the 4 warehouse sites.</w:t>
      </w:r>
    </w:p>
    <w:p>
      <w:pPr>
        <w:spacing w:after="140"/>
      </w:pPr>
      <w:r>
        <w:rPr>
          <w:b/>
          <w:bCs/>
        </w:rPr>
        <w:t xml:space="preserve">4.3  </w:t>
      </w:r>
      <w:r>
        <w:t xml:space="preserve">Installation of a site-to-site VPN connecting all 4 locations to the Client's head office network, with documented failover testing.</w:t>
      </w:r>
    </w:p>
    <w:p>
      <w:pPr>
        <w:spacing w:after="140"/>
      </w:pPr>
      <w:r>
        <w:rPr>
          <w:b/>
          <w:bCs/>
        </w:rPr>
        <w:t xml:space="preserve">4.4  </w:t>
      </w:r>
      <w:r>
        <w:t xml:space="preserve">Supply and configuration of a unified network monitoring dashboard accessible to the Client's IT team, with role-based access control.</w:t>
      </w:r>
    </w:p>
    <w:p>
      <w:pPr>
        <w:spacing w:after="140"/>
      </w:pPr>
      <w:r>
        <w:rPr>
          <w:b/>
          <w:bCs/>
        </w:rPr>
        <w:t xml:space="preserve">4.5  </w:t>
      </w:r>
      <w:r>
        <w:t xml:space="preserve">Delivery of full as-built network documentation, including IP schema, rack diagrams, and a disaster recovery runbook.</w:t>
      </w:r>
    </w:p>
    <w:p>
      <w:pPr>
        <w:spacing w:after="140"/>
      </w:pPr>
      <w:r>
        <w:rPr>
          <w:b/>
          <w:bCs/>
        </w:rPr>
        <w:t xml:space="preserve">4.6  </w:t>
      </w:r>
      <w:r>
        <w:t xml:space="preserve">Provision of on-site training for up to 10 Client staff, covering system administration and first-line troubleshooting (minimum 16 hours).</w:t>
      </w:r>
    </w:p>
    <w:p>
      <w:pPr>
        <w:spacing w:after="140"/>
      </w:pPr>
      <w:r>
        <w:rPr>
          <w:b/>
          <w:bCs/>
        </w:rPr>
        <w:t xml:space="preserve">4.7  </w:t>
      </w:r>
      <w:r>
        <w:t xml:space="preserve">36 months of maintenance and support post-go-live, including quarterly preventive maintenance visits and unlimited remote support tickets.</w:t>
      </w:r>
    </w:p>
    <w:p>
      <w:pPr>
        <w:pStyle w:val="Heading1"/>
      </w:pPr>
      <w:r>
        <w:t xml:space="preserve">5. Service Level Agreement (Maintenance Period)</w:t>
      </w:r>
    </w:p>
    <w:p>
      <w:pPr>
        <w:spacing w:after="140"/>
      </w:pPr>
      <w:r>
        <w:rPr>
          <w:b/>
          <w:bCs/>
        </w:rPr>
        <w:t xml:space="preserve">5.1  </w:t>
      </w:r>
      <w:r>
        <w:t xml:space="preserve">Critical incidents (full site outage) must receive an on-site response within 4 hours during business hours (8am–6pm, Sunday–Thursday) and within 8 hours outside business hours.</w:t>
      </w:r>
    </w:p>
    <w:p>
      <w:pPr>
        <w:spacing w:after="140"/>
      </w:pPr>
      <w:r>
        <w:rPr>
          <w:b/>
          <w:bCs/>
        </w:rPr>
        <w:t xml:space="preserve">5.2  </w:t>
      </w:r>
      <w:r>
        <w:t xml:space="preserve">Non-critical incidents must receive a response within 24 hours and be resolved or have a documented remediation plan within 72 hours.</w:t>
      </w:r>
    </w:p>
    <w:p>
      <w:pPr>
        <w:spacing w:after="140"/>
      </w:pPr>
      <w:r>
        <w:rPr>
          <w:b/>
          <w:bCs/>
        </w:rPr>
        <w:t xml:space="preserve">5.3  </w:t>
      </w:r>
      <w:r>
        <w:t xml:space="preserve">Monthly uptime for all server infrastructure must not fall below 99.5%, measured and reported monthly to the Client.</w:t>
      </w:r>
    </w:p>
    <w:p>
      <w:pPr>
        <w:pStyle w:val="Heading1"/>
      </w:pPr>
      <w:r>
        <w:t xml:space="preserve">6. Penalties &amp; Liquidated Damages</w:t>
      </w:r>
    </w:p>
    <w:p>
      <w:pPr>
        <w:spacing w:after="140"/>
      </w:pPr>
      <w:r>
        <w:rPr>
          <w:b/>
          <w:bCs/>
        </w:rPr>
        <w:t xml:space="preserve">6.1  </w:t>
      </w:r>
      <w:r>
        <w:t xml:space="preserve">Delay Penalty: For each calendar day of delay beyond the deadlines specified in Section 3 (hardware delivery or installation completion), the Contractor shall pay liquidated damages of 0.5% of the total contract value per day, capped at a maximum of 10% of the total contract value.</w:t>
      </w:r>
    </w:p>
    <w:p>
      <w:pPr>
        <w:spacing w:after="140"/>
      </w:pPr>
      <w:r>
        <w:rPr>
          <w:b/>
          <w:bCs/>
        </w:rPr>
        <w:t xml:space="preserve">6.2  </w:t>
      </w:r>
      <w:r>
        <w:t xml:space="preserve">SLA Breach Penalty: For each calendar month in which the uptime requirement in Clause 5.3 is not met, the Client shall deduct AED 5,000 from the next maintenance invoice as a service credit.</w:t>
      </w:r>
    </w:p>
    <w:p>
      <w:pPr>
        <w:spacing w:after="140"/>
      </w:pPr>
      <w:r>
        <w:rPr>
          <w:b/>
          <w:bCs/>
        </w:rPr>
        <w:t xml:space="preserve">6.3  </w:t>
      </w:r>
      <w:r>
        <w:t xml:space="preserve">Critical Response Failure: Failure to meet the 4-hour critical response time in Clause 5.1 on more than two occasions within any rolling 90-day period shall constitute a material breach, entitling the Client to terminate the maintenance agreement for cause without penalty.</w:t>
      </w:r>
    </w:p>
    <w:p>
      <w:pPr>
        <w:spacing w:after="140"/>
      </w:pPr>
      <w:r>
        <w:rPr>
          <w:b/>
          <w:bCs/>
        </w:rPr>
        <w:t xml:space="preserve">6.4  </w:t>
      </w:r>
      <w:r>
        <w:t xml:space="preserve">Performance Bond Forfeiture: If liquidated damages under Clause 6.1 reach the 10% cap and the Contractor has still not completed the deliverables, the Client may forfeit the full performance bank guarantee referenced in Clause 8.2, in addition to pursuing further remedies.</w:t>
      </w:r>
    </w:p>
    <w:p>
      <w:pPr>
        <w:pStyle w:val="Heading1"/>
      </w:pPr>
      <w:r>
        <w:t xml:space="preserve">7. Termination</w:t>
      </w:r>
    </w:p>
    <w:p>
      <w:pPr>
        <w:spacing w:after="140"/>
      </w:pPr>
      <w:r>
        <w:rPr>
          <w:b/>
          <w:bCs/>
        </w:rPr>
        <w:t xml:space="preserve">7.1  </w:t>
      </w:r>
      <w:r>
        <w:t xml:space="preserve">The Client may terminate this Agreement for convenience with 30 days' written notice, in which case the Contractor shall be compensated only for work satisfactorily completed and verified up to the date of termination.</w:t>
      </w:r>
    </w:p>
    <w:p>
      <w:pPr>
        <w:spacing w:after="140"/>
      </w:pPr>
      <w:r>
        <w:rPr>
          <w:b/>
          <w:bCs/>
        </w:rPr>
        <w:t xml:space="preserve">7.2  </w:t>
      </w:r>
      <w:r>
        <w:t xml:space="preserve">The Client may terminate this Agreement for cause, with immediate effect and no notice period, in the event of: (a) insolvency or bankruptcy of the Contractor; (b) repeated material breach as defined in Clause 6.3; or (c) a delay exceeding 60 days beyond any milestone in Section 3.</w:t>
      </w:r>
    </w:p>
    <w:p>
      <w:pPr>
        <w:spacing w:after="140"/>
      </w:pPr>
      <w:r>
        <w:rPr>
          <w:b/>
          <w:bCs/>
        </w:rPr>
        <w:t xml:space="preserve">7.3  </w:t>
      </w:r>
      <w:r>
        <w:t xml:space="preserve">Upon termination for any reason, the Contractor shall hand over all documentation, source configurations, and credentials within 5 working days.</w:t>
      </w:r>
    </w:p>
    <w:p>
      <w:pPr>
        <w:pStyle w:val="Heading1"/>
      </w:pPr>
      <w:r>
        <w:t xml:space="preserve">8. Guarantees &amp; Bonds</w:t>
      </w:r>
    </w:p>
    <w:p>
      <w:pPr>
        <w:spacing w:after="140"/>
      </w:pPr>
      <w:r>
        <w:rPr>
          <w:b/>
          <w:bCs/>
        </w:rPr>
        <w:t xml:space="preserve">8.1  </w:t>
      </w:r>
      <w:r>
        <w:t xml:space="preserve">The Contractor shall submit an Advance Payment Guarantee equal to 15% of the contract value, valid until the advance is fully recovered through deductions from interim payments.</w:t>
      </w:r>
    </w:p>
    <w:p>
      <w:pPr>
        <w:spacing w:after="140"/>
      </w:pPr>
      <w:r>
        <w:rPr>
          <w:b/>
          <w:bCs/>
        </w:rPr>
        <w:t xml:space="preserve">8.2  </w:t>
      </w:r>
      <w:r>
        <w:t xml:space="preserve">The Contractor shall submit a Performance Bank Guarantee equal to 10% of the contract value, valid for the duration of the contract plus 90 days, to cover potential liquidated damages and warranty obligations.</w:t>
      </w:r>
    </w:p>
    <w:p>
      <w:pPr>
        <w:pStyle w:val="Heading1"/>
      </w:pPr>
      <w:r>
        <w:t xml:space="preserve">9. Confidentiality &amp; Data Protection</w:t>
      </w:r>
    </w:p>
    <w:p>
      <w:pPr>
        <w:spacing w:after="160"/>
      </w:pPr>
      <w:r>
        <w:t xml:space="preserve">The Contractor shall treat all Client data, network configurations, and business information as strictly confidential, and shall not disclose such information to any third party without prior written consent. This obligation survives termination of the Agreement for a period of 3 years.</w:t>
      </w:r>
    </w:p>
    <w:p>
      <w:pPr>
        <w:spacing w:after="160"/>
      </w:pPr>
      <w:r>
        <w:rPr>
          <w:i/>
          <w:iCs/>
          <w:color w:val="B45309"/>
        </w:rPr>
        <w:t xml:space="preserve">Note: This clause does not specify any penalty or financial remedy for breach of confidentiality — a gap a reviewer may wish to flag.</w:t>
      </w:r>
    </w:p>
    <w:p>
      <w:pPr>
        <w:pStyle w:val="Heading1"/>
      </w:pPr>
      <w:r>
        <w:t xml:space="preserve">10. Governing Law &amp; Dispute Resolution</w:t>
      </w:r>
    </w:p>
    <w:p>
      <w:pPr>
        <w:spacing w:after="160"/>
      </w:pPr>
      <w:r>
        <w:t xml:space="preserve">This Agreement shall be governed by and construed in accordance with the laws of the United Arab Emirates and the applicable regulations of the Dubai International Financial Centre (DIFC), where relevant.</w:t>
      </w:r>
    </w:p>
    <w:p>
      <w:pPr>
        <w:spacing w:after="160"/>
      </w:pPr>
      <w:r>
        <w:t xml:space="preserve">Any dispute arising out of or in connection with this Agreement shall first be referred to good-faith negotiation between senior representatives of both parties. If unresolved within 30 days, the dispute shall be referred to arbitration in Dubai under the rules of the Dubai International Arbitration Centre (DIAC), with proceedings conducted in English.</w:t>
      </w:r>
    </w:p>
    <w:p>
      <w:pPr>
        <w:pStyle w:val="Heading1"/>
      </w:pPr>
      <w:r>
        <w:t xml:space="preserve">11. Unusual &amp; High-Risk Clauses (For Review)</w:t>
      </w:r>
    </w:p>
    <w:p>
      <w:pPr>
        <w:spacing w:after="160"/>
      </w:pPr>
      <w:r>
        <w:rPr>
          <w:i/>
          <w:iCs/>
        </w:rPr>
        <w:t xml:space="preserve">The following clauses are highlighted as they may warrant particular attention from the Contractor's legal and finance teams before submission:</w:t>
      </w:r>
    </w:p>
    <w:p>
      <w:pPr>
        <w:spacing w:after="140"/>
      </w:pPr>
      <w:r>
        <w:rPr>
          <w:b/>
          <w:bCs/>
        </w:rPr>
        <w:t xml:space="preserve">11.1  </w:t>
      </w:r>
      <w:r>
        <w:t xml:space="preserve">Clause 6.4 allows forfeiture of the entire 10% performance bond in addition to, not instead of, accumulated daily penalties — representing a potential combined exposure of up to 20% of contract value.</w:t>
      </w:r>
    </w:p>
    <w:p>
      <w:pPr>
        <w:spacing w:after="140"/>
      </w:pPr>
      <w:r>
        <w:rPr>
          <w:b/>
          <w:bCs/>
        </w:rPr>
        <w:t xml:space="preserve">11.2  </w:t>
      </w:r>
      <w:r>
        <w:t xml:space="preserve">Clause 2.4 ties the final 15% retention payment to a 90-day post-UAT window with no defined cap on what constitutes an “unresolved defect,” creating open-ended payment risk.</w:t>
      </w:r>
    </w:p>
    <w:p>
      <w:pPr>
        <w:spacing w:after="140"/>
      </w:pPr>
      <w:r>
        <w:rPr>
          <w:b/>
          <w:bCs/>
        </w:rPr>
        <w:t xml:space="preserve">11.3  </w:t>
      </w:r>
      <w:r>
        <w:t xml:space="preserve">Clause 7.2(c) allows termination for cause after only 60 days' cumulative delay across the entire 100-day project timeline, a comparatively tight tolerance for a project of this scope.</w:t>
      </w:r>
    </w:p>
    <w:p>
      <w:pPr>
        <w:spacing w:after="140"/>
      </w:pPr>
      <w:r>
        <w:rPr>
          <w:b/>
          <w:bCs/>
        </w:rPr>
        <w:t xml:space="preserve">11.4  </w:t>
      </w:r>
      <w:r>
        <w:t xml:space="preserve">No force majeure clause is included in this draft RFP, meaning delays due to circumstances outside the Contractor's control may not be excused under the current language.</w:t>
      </w:r>
    </w:p>
    <w:p>
      <w:pPr>
        <w:pStyle w:val="Heading1"/>
      </w:pPr>
      <w:r>
        <w:t xml:space="preserve">12. Submission Requirements</w:t>
      </w:r>
    </w:p>
    <w:p>
      <w:pPr>
        <w:spacing w:after="160"/>
      </w:pPr>
      <w:r>
        <w:t xml:space="preserve">Bidders must submit technical and financial proposals as separate sealed documents no later than 14 days from the date of this RFP. Late submissions will not be considered. All prices must be quoted in AED, inclusive of all costs except VAT, and must remain valid for 90 days from the submission deadline.</w:t>
      </w:r>
    </w:p>
    <w:p>
      <w:pPr>
        <w:spacing w:after="300"/>
      </w:pPr>
    </w:p>
    <w:p>
      <w:pPr>
        <w:spacing w:after="160"/>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TENDER DOCUMENT — RFP/2026/IT-0142</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2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2026-06-23T08:18:25.142Z</dcterms:created>
  <dcterms:modified xsi:type="dcterms:W3CDTF">2026-06-23T08:18:25.142Z</dcterms:modified>
</cp:coreProperties>
</file>

<file path=docProps/custom.xml><?xml version="1.0" encoding="utf-8"?>
<Properties xmlns="http://schemas.openxmlformats.org/officeDocument/2006/custom-properties" xmlns:vt="http://schemas.openxmlformats.org/officeDocument/2006/docPropsVTypes"/>
</file>