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126D85C" w14:textId="77777777" w:rsidR="00051389" w:rsidRDefault="008F59FA">
      <w:pPr>
        <w:rPr>
          <w:rFonts w:ascii="Times" w:eastAsia="Times" w:hAnsi="Times" w:cs="Times"/>
          <w:b/>
          <w:sz w:val="72"/>
          <w:szCs w:val="72"/>
        </w:rPr>
      </w:pPr>
      <w:r>
        <w:rPr>
          <w:noProof/>
          <w:lang w:val="en-IN" w:eastAsia="en-IN"/>
        </w:rPr>
        <mc:AlternateContent>
          <mc:Choice Requires="wps">
            <w:drawing>
              <wp:anchor distT="0" distB="0" distL="114300" distR="114300" simplePos="0" relativeHeight="251658240" behindDoc="0" locked="0" layoutInCell="1" hidden="0" allowOverlap="1" wp14:anchorId="6C5C47C9" wp14:editId="31392EC9">
                <wp:simplePos x="0" y="0"/>
                <wp:positionH relativeFrom="margin">
                  <wp:posOffset>-679862</wp:posOffset>
                </wp:positionH>
                <wp:positionV relativeFrom="paragraph">
                  <wp:posOffset>-225631</wp:posOffset>
                </wp:positionV>
                <wp:extent cx="6674400" cy="2696400"/>
                <wp:effectExtent l="0" t="0" r="12700" b="27940"/>
                <wp:wrapNone/>
                <wp:docPr id="1" name="Rectangle 1"/>
                <wp:cNvGraphicFramePr/>
                <a:graphic xmlns:a="http://schemas.openxmlformats.org/drawingml/2006/main">
                  <a:graphicData uri="http://schemas.microsoft.com/office/word/2010/wordprocessingShape">
                    <wps:wsp>
                      <wps:cNvSpPr/>
                      <wps:spPr>
                        <a:xfrm>
                          <a:off x="0" y="0"/>
                          <a:ext cx="6674400" cy="2696400"/>
                        </a:xfrm>
                        <a:prstGeom prst="rect">
                          <a:avLst/>
                        </a:prstGeom>
                        <a:solidFill>
                          <a:srgbClr val="000000"/>
                        </a:solidFill>
                        <a:ln w="9525" cap="flat" cmpd="sng">
                          <a:solidFill>
                            <a:srgbClr val="000000"/>
                          </a:solidFill>
                          <a:prstDash val="solid"/>
                          <a:miter lim="8000"/>
                          <a:headEnd type="none" w="sm" len="sm"/>
                          <a:tailEnd type="none" w="sm" len="sm"/>
                        </a:ln>
                      </wps:spPr>
                      <wps:txbx>
                        <w:txbxContent>
                          <w:p w14:paraId="3FB2CA12" w14:textId="77777777" w:rsidR="00051389" w:rsidRDefault="00051389">
                            <w:pPr>
                              <w:textDirection w:val="btLr"/>
                            </w:pPr>
                          </w:p>
                          <w:p w14:paraId="0AA8A0B6" w14:textId="301FD9F5" w:rsidR="00624C93" w:rsidRPr="00144658" w:rsidRDefault="00144658">
                            <w:pPr>
                              <w:textDirection w:val="btLr"/>
                              <w:rPr>
                                <w:sz w:val="56"/>
                                <w:szCs w:val="56"/>
                              </w:rPr>
                            </w:pPr>
                            <w:r w:rsidRPr="00144658">
                              <w:rPr>
                                <w:rFonts w:ascii="Helvetica Neue" w:eastAsia="Helvetica Neue" w:hAnsi="Helvetica Neue" w:cs="Helvetica Neue"/>
                                <w:color w:val="FFFFFF"/>
                                <w:sz w:val="56"/>
                                <w:szCs w:val="56"/>
                              </w:rPr>
                              <w:t xml:space="preserve">Instructor’s </w:t>
                            </w:r>
                            <w:r w:rsidR="00642944" w:rsidRPr="00642944">
                              <w:rPr>
                                <w:rFonts w:ascii="Helvetica Neue" w:eastAsia="Helvetica Neue" w:hAnsi="Helvetica Neue" w:cs="Helvetica Neue"/>
                                <w:color w:val="FFFFFF"/>
                                <w:sz w:val="56"/>
                                <w:szCs w:val="56"/>
                              </w:rPr>
                              <w:t>Resource</w:t>
                            </w:r>
                            <w:r w:rsidR="00642944">
                              <w:rPr>
                                <w:rFonts w:ascii="Helvetica Neue" w:eastAsia="Helvetica Neue" w:hAnsi="Helvetica Neue" w:cs="Helvetica Neue"/>
                                <w:color w:val="FFFFFF"/>
                                <w:sz w:val="56"/>
                                <w:szCs w:val="56"/>
                              </w:rPr>
                              <w:t xml:space="preserve"> </w:t>
                            </w:r>
                            <w:r w:rsidRPr="00144658">
                              <w:rPr>
                                <w:rFonts w:ascii="Helvetica Neue" w:eastAsia="Helvetica Neue" w:hAnsi="Helvetica Neue" w:cs="Helvetica Neue"/>
                                <w:color w:val="FFFFFF"/>
                                <w:sz w:val="56"/>
                                <w:szCs w:val="56"/>
                              </w:rPr>
                              <w:t xml:space="preserve">Manual </w:t>
                            </w:r>
                            <w:r w:rsidR="00624C93" w:rsidRPr="00624C93">
                              <w:rPr>
                                <w:rFonts w:ascii="Helvetica Neue" w:eastAsia="Helvetica Neue" w:hAnsi="Helvetica Neue" w:cs="Helvetica Neue"/>
                                <w:color w:val="FFFFFF"/>
                                <w:sz w:val="56"/>
                                <w:szCs w:val="56"/>
                              </w:rPr>
                              <w:t>(Download Only)</w:t>
                            </w:r>
                            <w:r>
                              <w:rPr>
                                <w:rFonts w:ascii="Helvetica Neue" w:eastAsia="Helvetica Neue" w:hAnsi="Helvetica Neue" w:cs="Helvetica Neue"/>
                                <w:color w:val="FFFFFF"/>
                                <w:sz w:val="56"/>
                                <w:szCs w:val="56"/>
                              </w:rPr>
                              <w:t xml:space="preserve"> </w:t>
                            </w:r>
                            <w:r w:rsidR="00624C93" w:rsidRPr="00624C93">
                              <w:rPr>
                                <w:rFonts w:ascii="Helvetica Neue" w:eastAsia="Helvetica Neue" w:hAnsi="Helvetica Neue" w:cs="Helvetica Neue"/>
                                <w:color w:val="FFFFFF"/>
                                <w:sz w:val="56"/>
                                <w:szCs w:val="56"/>
                              </w:rPr>
                              <w:t xml:space="preserve">for </w:t>
                            </w:r>
                            <w:r w:rsidR="00642944" w:rsidRPr="00642944">
                              <w:rPr>
                                <w:rFonts w:ascii="Helvetica Neue" w:eastAsia="Helvetica Neue" w:hAnsi="Helvetica Neue" w:cs="Helvetica Neue"/>
                                <w:color w:val="FFFFFF"/>
                                <w:sz w:val="56"/>
                                <w:szCs w:val="56"/>
                              </w:rPr>
                              <w:t>International Economics: Theory and Policy</w:t>
                            </w:r>
                          </w:p>
                          <w:p w14:paraId="7899B073" w14:textId="77777777" w:rsidR="00624C93" w:rsidRPr="00144658" w:rsidRDefault="00624C93">
                            <w:pPr>
                              <w:textDirection w:val="btLr"/>
                              <w:rPr>
                                <w:rFonts w:ascii="Helvetica Neue" w:eastAsia="Helvetica Neue" w:hAnsi="Helvetica Neue" w:cs="Helvetica Neue"/>
                                <w:color w:val="FFFFFF"/>
                                <w:sz w:val="40"/>
                                <w:szCs w:val="56"/>
                              </w:rPr>
                            </w:pPr>
                          </w:p>
                          <w:p w14:paraId="70767A07" w14:textId="77777777" w:rsidR="002B6A20" w:rsidRDefault="00624C93">
                            <w:pPr>
                              <w:textDirection w:val="btLr"/>
                              <w:rPr>
                                <w:rFonts w:ascii="Helvetica Neue" w:eastAsia="Helvetica Neue" w:hAnsi="Helvetica Neue" w:cs="Helvetica Neue"/>
                                <w:color w:val="FFFFFF"/>
                                <w:sz w:val="56"/>
                                <w:szCs w:val="56"/>
                              </w:rPr>
                            </w:pPr>
                            <w:r w:rsidRPr="00624C93">
                              <w:rPr>
                                <w:rFonts w:ascii="Helvetica Neue" w:eastAsia="Helvetica Neue" w:hAnsi="Helvetica Neue" w:cs="Helvetica Neue"/>
                                <w:color w:val="FFFFFF"/>
                                <w:sz w:val="56"/>
                                <w:szCs w:val="56"/>
                              </w:rPr>
                              <w:t xml:space="preserve">Revised by </w:t>
                            </w:r>
                          </w:p>
                          <w:p w14:paraId="7DBAF11C" w14:textId="1D693233" w:rsidR="00051389" w:rsidRPr="00624C93" w:rsidRDefault="00642944" w:rsidP="00642944">
                            <w:pPr>
                              <w:textDirection w:val="btLr"/>
                              <w:rPr>
                                <w:sz w:val="56"/>
                                <w:szCs w:val="56"/>
                              </w:rPr>
                            </w:pPr>
                            <w:r w:rsidRPr="00642944">
                              <w:rPr>
                                <w:rFonts w:ascii="Helvetica Neue" w:eastAsia="Helvetica Neue" w:hAnsi="Helvetica Neue" w:cs="Helvetica Neue"/>
                                <w:color w:val="FFFFFF"/>
                                <w:sz w:val="56"/>
                                <w:szCs w:val="56"/>
                              </w:rPr>
                              <w:t>Hisham Foad</w:t>
                            </w:r>
                            <w:r>
                              <w:rPr>
                                <w:rFonts w:ascii="Helvetica Neue" w:eastAsia="Helvetica Neue" w:hAnsi="Helvetica Neue" w:cs="Helvetica Neue"/>
                                <w:color w:val="FFFFFF"/>
                                <w:sz w:val="56"/>
                                <w:szCs w:val="56"/>
                              </w:rPr>
                              <w:t xml:space="preserve"> &amp; Mike Casey</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C5C47C9" id="Rectangle 1" o:spid="_x0000_s1026" style="position:absolute;margin-left:-53.55pt;margin-top:-17.75pt;width:525.55pt;height:212.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" fillcolor="black">
                <v:stroke startarrowwidth="narrow" startarrowlength="short" endarrowwidth="narrow" endarrowlength="short" miterlimit="5243f"/>
                <v:textbox inset="2.53958mm,1.2694mm,2.53958mm,1.2694mm">
                  <w:txbxContent>
                    <w:p w14:paraId="3FB2CA12" w14:textId="77777777" w:rsidR="00051389" w:rsidRDefault="00051389">
                      <w:pPr>
                        <w:textDirection w:val="btLr"/>
                      </w:pPr>
                    </w:p>
                    <w:p w14:paraId="0AA8A0B6" w14:textId="301FD9F5" w:rsidR="00624C93" w:rsidRPr="00144658" w:rsidRDefault="00144658">
                      <w:pPr>
                        <w:textDirection w:val="btLr"/>
                        <w:rPr>
                          <w:sz w:val="56"/>
                          <w:szCs w:val="56"/>
                        </w:rPr>
                      </w:pPr>
                      <w:r w:rsidRPr="00144658">
                        <w:rPr>
                          <w:rFonts w:ascii="Helvetica Neue" w:eastAsia="Helvetica Neue" w:hAnsi="Helvetica Neue" w:cs="Helvetica Neue"/>
                          <w:color w:val="FFFFFF"/>
                          <w:sz w:val="56"/>
                          <w:szCs w:val="56"/>
                        </w:rPr>
                        <w:t xml:space="preserve">Instructor’s </w:t>
                      </w:r>
                      <w:r w:rsidR="00642944" w:rsidRPr="00642944">
                        <w:rPr>
                          <w:rFonts w:ascii="Helvetica Neue" w:eastAsia="Helvetica Neue" w:hAnsi="Helvetica Neue" w:cs="Helvetica Neue"/>
                          <w:color w:val="FFFFFF"/>
                          <w:sz w:val="56"/>
                          <w:szCs w:val="56"/>
                        </w:rPr>
                        <w:t>Resource</w:t>
                      </w:r>
                      <w:r w:rsidR="00642944">
                        <w:rPr>
                          <w:rFonts w:ascii="Helvetica Neue" w:eastAsia="Helvetica Neue" w:hAnsi="Helvetica Neue" w:cs="Helvetica Neue"/>
                          <w:color w:val="FFFFFF"/>
                          <w:sz w:val="56"/>
                          <w:szCs w:val="56"/>
                        </w:rPr>
                        <w:t xml:space="preserve"> </w:t>
                      </w:r>
                      <w:r w:rsidRPr="00144658">
                        <w:rPr>
                          <w:rFonts w:ascii="Helvetica Neue" w:eastAsia="Helvetica Neue" w:hAnsi="Helvetica Neue" w:cs="Helvetica Neue"/>
                          <w:color w:val="FFFFFF"/>
                          <w:sz w:val="56"/>
                          <w:szCs w:val="56"/>
                        </w:rPr>
                        <w:t xml:space="preserve">Manual </w:t>
                      </w:r>
                      <w:r w:rsidR="00624C93" w:rsidRPr="00624C93">
                        <w:rPr>
                          <w:rFonts w:ascii="Helvetica Neue" w:eastAsia="Helvetica Neue" w:hAnsi="Helvetica Neue" w:cs="Helvetica Neue"/>
                          <w:color w:val="FFFFFF"/>
                          <w:sz w:val="56"/>
                          <w:szCs w:val="56"/>
                        </w:rPr>
                        <w:t>(Download Only)</w:t>
                      </w:r>
                      <w:r>
                        <w:rPr>
                          <w:rFonts w:ascii="Helvetica Neue" w:eastAsia="Helvetica Neue" w:hAnsi="Helvetica Neue" w:cs="Helvetica Neue"/>
                          <w:color w:val="FFFFFF"/>
                          <w:sz w:val="56"/>
                          <w:szCs w:val="56"/>
                        </w:rPr>
                        <w:t xml:space="preserve"> </w:t>
                      </w:r>
                      <w:r w:rsidR="00624C93" w:rsidRPr="00624C93">
                        <w:rPr>
                          <w:rFonts w:ascii="Helvetica Neue" w:eastAsia="Helvetica Neue" w:hAnsi="Helvetica Neue" w:cs="Helvetica Neue"/>
                          <w:color w:val="FFFFFF"/>
                          <w:sz w:val="56"/>
                          <w:szCs w:val="56"/>
                        </w:rPr>
                        <w:t xml:space="preserve">for </w:t>
                      </w:r>
                      <w:r w:rsidR="00642944" w:rsidRPr="00642944">
                        <w:rPr>
                          <w:rFonts w:ascii="Helvetica Neue" w:eastAsia="Helvetica Neue" w:hAnsi="Helvetica Neue" w:cs="Helvetica Neue"/>
                          <w:color w:val="FFFFFF"/>
                          <w:sz w:val="56"/>
                          <w:szCs w:val="56"/>
                        </w:rPr>
                        <w:t>International Economics: Theory and Policy</w:t>
                      </w:r>
                    </w:p>
                    <w:p w14:paraId="7899B073" w14:textId="77777777" w:rsidR="00624C93" w:rsidRPr="00144658" w:rsidRDefault="00624C93">
                      <w:pPr>
                        <w:textDirection w:val="btLr"/>
                        <w:rPr>
                          <w:rFonts w:ascii="Helvetica Neue" w:eastAsia="Helvetica Neue" w:hAnsi="Helvetica Neue" w:cs="Helvetica Neue"/>
                          <w:color w:val="FFFFFF"/>
                          <w:sz w:val="40"/>
                          <w:szCs w:val="56"/>
                        </w:rPr>
                      </w:pPr>
                    </w:p>
                    <w:p w14:paraId="70767A07" w14:textId="77777777" w:rsidR="002B6A20" w:rsidRDefault="00624C93">
                      <w:pPr>
                        <w:textDirection w:val="btLr"/>
                        <w:rPr>
                          <w:rFonts w:ascii="Helvetica Neue" w:eastAsia="Helvetica Neue" w:hAnsi="Helvetica Neue" w:cs="Helvetica Neue"/>
                          <w:color w:val="FFFFFF"/>
                          <w:sz w:val="56"/>
                          <w:szCs w:val="56"/>
                        </w:rPr>
                      </w:pPr>
                      <w:r w:rsidRPr="00624C93">
                        <w:rPr>
                          <w:rFonts w:ascii="Helvetica Neue" w:eastAsia="Helvetica Neue" w:hAnsi="Helvetica Neue" w:cs="Helvetica Neue"/>
                          <w:color w:val="FFFFFF"/>
                          <w:sz w:val="56"/>
                          <w:szCs w:val="56"/>
                        </w:rPr>
                        <w:t xml:space="preserve">Revised by </w:t>
                      </w:r>
                    </w:p>
                    <w:p w14:paraId="7DBAF11C" w14:textId="1D693233" w:rsidR="00051389" w:rsidRPr="00624C93" w:rsidRDefault="00642944" w:rsidP="00642944">
                      <w:pPr>
                        <w:textDirection w:val="btLr"/>
                        <w:rPr>
                          <w:sz w:val="56"/>
                          <w:szCs w:val="56"/>
                        </w:rPr>
                      </w:pPr>
                      <w:r w:rsidRPr="00642944">
                        <w:rPr>
                          <w:rFonts w:ascii="Helvetica Neue" w:eastAsia="Helvetica Neue" w:hAnsi="Helvetica Neue" w:cs="Helvetica Neue"/>
                          <w:color w:val="FFFFFF"/>
                          <w:sz w:val="56"/>
                          <w:szCs w:val="56"/>
                        </w:rPr>
                        <w:t>Hisham Foad</w:t>
                      </w:r>
                      <w:r>
                        <w:rPr>
                          <w:rFonts w:ascii="Helvetica Neue" w:eastAsia="Helvetica Neue" w:hAnsi="Helvetica Neue" w:cs="Helvetica Neue"/>
                          <w:color w:val="FFFFFF"/>
                          <w:sz w:val="56"/>
                          <w:szCs w:val="56"/>
                        </w:rPr>
                        <w:t xml:space="preserve"> &amp; Mike Casey</w:t>
                      </w:r>
                    </w:p>
                  </w:txbxContent>
                </v:textbox>
                <w10:wrap anchorx="margin"/>
              </v:rect>
            </w:pict>
          </mc:Fallback>
        </mc:AlternateContent>
      </w:r>
    </w:p>
    <w:p w14:paraId="4A46E0F7" w14:textId="77777777" w:rsidR="00051389" w:rsidRDefault="00051389">
      <w:pPr>
        <w:rPr>
          <w:rFonts w:ascii="Times" w:eastAsia="Times" w:hAnsi="Times" w:cs="Times"/>
          <w:b/>
          <w:sz w:val="72"/>
          <w:szCs w:val="72"/>
        </w:rPr>
      </w:pPr>
    </w:p>
    <w:p w14:paraId="1C314FA2" w14:textId="77777777" w:rsidR="00051389" w:rsidRDefault="00051389">
      <w:pPr>
        <w:rPr>
          <w:rFonts w:ascii="Times" w:eastAsia="Times" w:hAnsi="Times" w:cs="Times"/>
          <w:b/>
          <w:sz w:val="72"/>
          <w:szCs w:val="72"/>
        </w:rPr>
      </w:pPr>
    </w:p>
    <w:p w14:paraId="2AC8A802" w14:textId="77777777" w:rsidR="00051389" w:rsidRDefault="00051389"/>
    <w:p w14:paraId="6EE22A5E" w14:textId="77777777" w:rsidR="00051389" w:rsidRDefault="00051389">
      <w:pPr>
        <w:rPr>
          <w:rFonts w:ascii="Times" w:eastAsia="Times" w:hAnsi="Times" w:cs="Times"/>
          <w:b/>
          <w:sz w:val="76"/>
          <w:szCs w:val="76"/>
        </w:rPr>
      </w:pPr>
    </w:p>
    <w:p w14:paraId="7ADCD19E" w14:textId="77777777" w:rsidR="00676F20" w:rsidRDefault="00676F20">
      <w:pPr>
        <w:jc w:val="right"/>
        <w:rPr>
          <w:rFonts w:ascii="Times" w:eastAsia="Times" w:hAnsi="Times" w:cs="Times"/>
          <w:b/>
          <w:sz w:val="76"/>
          <w:szCs w:val="76"/>
        </w:rPr>
      </w:pPr>
    </w:p>
    <w:p w14:paraId="69AF519E" w14:textId="5380B79A" w:rsidR="00144658" w:rsidRPr="006A3A09" w:rsidRDefault="00642944">
      <w:pPr>
        <w:jc w:val="right"/>
        <w:rPr>
          <w:rFonts w:ascii="Times" w:eastAsia="Times" w:hAnsi="Times" w:cs="Times"/>
          <w:b/>
          <w:sz w:val="72"/>
          <w:szCs w:val="72"/>
        </w:rPr>
      </w:pPr>
      <w:r w:rsidRPr="00642944">
        <w:rPr>
          <w:rFonts w:ascii="Times" w:eastAsia="Times" w:hAnsi="Times" w:cs="Times"/>
          <w:b/>
          <w:sz w:val="72"/>
          <w:szCs w:val="72"/>
        </w:rPr>
        <w:t>International Economics: Theory and Policy</w:t>
      </w:r>
    </w:p>
    <w:p w14:paraId="5593FFFE" w14:textId="07722C48" w:rsidR="00051389" w:rsidRDefault="00144658">
      <w:pPr>
        <w:jc w:val="right"/>
        <w:rPr>
          <w:rFonts w:ascii="Times" w:eastAsia="Times" w:hAnsi="Times" w:cs="Times"/>
          <w:i/>
          <w:sz w:val="44"/>
          <w:szCs w:val="44"/>
        </w:rPr>
      </w:pPr>
      <w:r w:rsidRPr="00144658">
        <w:rPr>
          <w:rFonts w:ascii="Times" w:eastAsia="Times" w:hAnsi="Times" w:cs="Times"/>
          <w:b/>
          <w:sz w:val="76"/>
          <w:szCs w:val="76"/>
        </w:rPr>
        <w:t xml:space="preserve"> </w:t>
      </w:r>
      <w:r w:rsidR="00642944">
        <w:rPr>
          <w:rFonts w:ascii="Times" w:eastAsia="Times" w:hAnsi="Times" w:cs="Times"/>
          <w:i/>
          <w:sz w:val="44"/>
          <w:szCs w:val="44"/>
        </w:rPr>
        <w:t>Twelfth</w:t>
      </w:r>
      <w:r w:rsidR="008F59FA">
        <w:rPr>
          <w:rFonts w:ascii="Times" w:eastAsia="Times" w:hAnsi="Times" w:cs="Times"/>
          <w:i/>
          <w:sz w:val="44"/>
          <w:szCs w:val="44"/>
        </w:rPr>
        <w:t xml:space="preserve"> Edition</w:t>
      </w:r>
    </w:p>
    <w:p w14:paraId="3154E42D" w14:textId="77777777" w:rsidR="00642944" w:rsidRDefault="00642944">
      <w:pPr>
        <w:spacing w:before="1560"/>
        <w:ind w:left="3600"/>
        <w:rPr>
          <w:rFonts w:ascii="Times" w:eastAsia="Times" w:hAnsi="Times" w:cs="Times"/>
          <w:sz w:val="58"/>
          <w:szCs w:val="58"/>
        </w:rPr>
      </w:pPr>
      <w:r w:rsidRPr="00642944">
        <w:rPr>
          <w:rFonts w:ascii="Times" w:eastAsia="Times" w:hAnsi="Times" w:cs="Times"/>
          <w:sz w:val="58"/>
          <w:szCs w:val="58"/>
        </w:rPr>
        <w:t>Paul R. Krugman</w:t>
      </w:r>
      <w:r w:rsidR="008F59FA">
        <w:rPr>
          <w:rFonts w:ascii="Times" w:eastAsia="Times" w:hAnsi="Times" w:cs="Times"/>
          <w:sz w:val="58"/>
          <w:szCs w:val="58"/>
        </w:rPr>
        <w:br/>
      </w:r>
      <w:r w:rsidRPr="00642944">
        <w:rPr>
          <w:rFonts w:ascii="Times" w:eastAsia="Times" w:hAnsi="Times" w:cs="Times"/>
          <w:sz w:val="58"/>
          <w:szCs w:val="58"/>
        </w:rPr>
        <w:t>Maurice Obstfeld</w:t>
      </w:r>
    </w:p>
    <w:p w14:paraId="29D0A0E5" w14:textId="48812D75" w:rsidR="00051389" w:rsidRDefault="00642944" w:rsidP="00642944">
      <w:pPr>
        <w:ind w:left="3600"/>
        <w:rPr>
          <w:rFonts w:ascii="Times" w:eastAsia="Times" w:hAnsi="Times" w:cs="Times"/>
          <w:sz w:val="58"/>
          <w:szCs w:val="58"/>
        </w:rPr>
      </w:pPr>
      <w:r w:rsidRPr="00642944">
        <w:rPr>
          <w:rFonts w:ascii="Times" w:eastAsia="Times" w:hAnsi="Times" w:cs="Times"/>
          <w:sz w:val="58"/>
          <w:szCs w:val="58"/>
        </w:rPr>
        <w:t>Marc J. Melitz</w:t>
      </w:r>
      <w:r w:rsidR="008F59FA">
        <w:rPr>
          <w:rFonts w:ascii="Times" w:eastAsia="Times" w:hAnsi="Times" w:cs="Times"/>
          <w:sz w:val="58"/>
          <w:szCs w:val="58"/>
        </w:rPr>
        <w:t xml:space="preserve"> </w:t>
      </w:r>
    </w:p>
    <w:p w14:paraId="27185AB3" w14:textId="453FA611" w:rsidR="00051389" w:rsidRDefault="00051389" w:rsidP="0078072F">
      <w:bookmarkStart w:id="0" w:name="_gjdgxs" w:colFirst="0" w:colLast="0"/>
      <w:bookmarkEnd w:id="0"/>
    </w:p>
    <w:p w14:paraId="35D2C433" w14:textId="71BDB330" w:rsidR="0078072F" w:rsidRDefault="0078072F" w:rsidP="0078072F"/>
    <w:p w14:paraId="15903067" w14:textId="39969168" w:rsidR="0078072F" w:rsidRDefault="0078072F" w:rsidP="0078072F">
      <w:r>
        <w:rPr>
          <w:noProof/>
          <w:lang w:val="en-IN" w:eastAsia="en-IN"/>
        </w:rPr>
        <w:drawing>
          <wp:anchor distT="0" distB="0" distL="114300" distR="114300" simplePos="0" relativeHeight="251660288" behindDoc="0" locked="0" layoutInCell="1" hidden="0" allowOverlap="1" wp14:anchorId="605503AB" wp14:editId="387A9C80">
            <wp:simplePos x="0" y="0"/>
            <wp:positionH relativeFrom="column">
              <wp:posOffset>0</wp:posOffset>
            </wp:positionH>
            <wp:positionV relativeFrom="paragraph">
              <wp:posOffset>-635</wp:posOffset>
            </wp:positionV>
            <wp:extent cx="1543050" cy="695325"/>
            <wp:effectExtent l="0" t="0" r="0" b="0"/>
            <wp:wrapNone/>
            <wp:docPr id="2" name="image1.jpg" descr="C:\Users\uferncl\Desktop\PearsonLogo_Horizontal_Mono_Blk.jpg"/>
            <wp:cNvGraphicFramePr/>
            <a:graphic xmlns:a="http://schemas.openxmlformats.org/drawingml/2006/main">
              <a:graphicData uri="http://schemas.openxmlformats.org/drawingml/2006/picture">
                <pic:pic xmlns:pic="http://schemas.openxmlformats.org/drawingml/2006/picture">
                  <pic:nvPicPr>
                    <pic:cNvPr id="0" name="image1.jpg" descr="C:\Users\uferncl\Desktop\PearsonLogo_Horizontal_Mono_Blk.jpg"/>
                    <pic:cNvPicPr preferRelativeResize="0"/>
                  </pic:nvPicPr>
                  <pic:blipFill>
                    <a:blip r:embed="rId4"/>
                    <a:srcRect/>
                    <a:stretch>
                      <a:fillRect/>
                    </a:stretch>
                  </pic:blipFill>
                  <pic:spPr>
                    <a:xfrm>
                      <a:off x="0" y="0"/>
                      <a:ext cx="1543050" cy="695325"/>
                    </a:xfrm>
                    <a:prstGeom prst="rect">
                      <a:avLst/>
                    </a:prstGeom>
                    <a:ln/>
                  </pic:spPr>
                </pic:pic>
              </a:graphicData>
            </a:graphic>
          </wp:anchor>
        </w:drawing>
      </w:r>
    </w:p>
    <w:p w14:paraId="51FF7989" w14:textId="50E66A64" w:rsidR="0078072F" w:rsidRDefault="0078072F" w:rsidP="0078072F"/>
    <w:p w14:paraId="328C4E34" w14:textId="4BA0EC7E" w:rsidR="0078072F" w:rsidRDefault="0078072F" w:rsidP="0078072F"/>
    <w:p w14:paraId="779D822D" w14:textId="7097E178" w:rsidR="0078072F" w:rsidRDefault="0078072F" w:rsidP="0078072F"/>
    <w:p w14:paraId="0DB1B2CE" w14:textId="75254633" w:rsidR="0078072F" w:rsidRDefault="0078072F" w:rsidP="0078072F"/>
    <w:p w14:paraId="320309AA" w14:textId="52D2AB1F" w:rsidR="0078072F" w:rsidRDefault="0078072F" w:rsidP="0078072F"/>
    <w:p w14:paraId="76FBAF2E" w14:textId="307C7FA2" w:rsidR="0078072F" w:rsidRDefault="0078072F" w:rsidP="0078072F"/>
    <w:p w14:paraId="33393083" w14:textId="3406D015" w:rsidR="0078072F" w:rsidRDefault="0078072F" w:rsidP="0078072F"/>
    <w:p w14:paraId="04697BD7" w14:textId="5DC0A226" w:rsidR="0078072F" w:rsidRDefault="0078072F" w:rsidP="0078072F"/>
    <w:p w14:paraId="42196ABD" w14:textId="6420B3D1" w:rsidR="0078072F" w:rsidRDefault="0078072F" w:rsidP="0078072F"/>
    <w:p w14:paraId="72111018" w14:textId="77777777" w:rsidR="0078072F" w:rsidRDefault="0078072F" w:rsidP="0078072F">
      <w:pPr>
        <w:rPr>
          <w:rFonts w:ascii="Arial" w:eastAsia="Arial" w:hAnsi="Arial" w:cs="Arial"/>
          <w:b/>
        </w:rPr>
      </w:pPr>
    </w:p>
    <w:p w14:paraId="13A351C5" w14:textId="77777777" w:rsidR="0078072F" w:rsidRDefault="0078072F" w:rsidP="0078072F">
      <w:pPr>
        <w:rPr>
          <w:rFonts w:ascii="Arial" w:eastAsia="Arial" w:hAnsi="Arial" w:cs="Arial"/>
          <w:b/>
        </w:rPr>
      </w:pPr>
    </w:p>
    <w:p w14:paraId="7B84BF84" w14:textId="77777777" w:rsidR="0078072F" w:rsidRDefault="0078072F" w:rsidP="0078072F">
      <w:pPr>
        <w:rPr>
          <w:rFonts w:ascii="Arial" w:eastAsia="Arial" w:hAnsi="Arial" w:cs="Arial"/>
          <w:b/>
        </w:rPr>
      </w:pPr>
    </w:p>
    <w:p w14:paraId="2EB419B3" w14:textId="77777777" w:rsidR="0078072F" w:rsidRDefault="0078072F" w:rsidP="0078072F">
      <w:pPr>
        <w:rPr>
          <w:rFonts w:ascii="Arial" w:eastAsia="Arial" w:hAnsi="Arial" w:cs="Arial"/>
          <w:b/>
        </w:rPr>
      </w:pPr>
    </w:p>
    <w:p w14:paraId="4E4AAD7C" w14:textId="77777777" w:rsidR="0078072F" w:rsidRDefault="0078072F" w:rsidP="0078072F">
      <w:pPr>
        <w:rPr>
          <w:rFonts w:ascii="Arial" w:eastAsia="Arial" w:hAnsi="Arial" w:cs="Arial"/>
          <w:b/>
        </w:rPr>
      </w:pPr>
      <w:r>
        <w:rPr>
          <w:rFonts w:ascii="Arial" w:eastAsia="Arial" w:hAnsi="Arial" w:cs="Arial"/>
          <w:b/>
        </w:rPr>
        <w:t>This work is protected by United States copyright laws and is provided solely for the use of instructors in teaching their courses and assessing student learning.  Dissemination or sale of any part of this work (including on the World Wide Web) will destroy the integrity of the work and is not permitted.   The work and materials from it should never be made available to students except by instructors using the accompanying text in their classes.   All recipients of this work are expected to abide by these restrictions and to honor the intended pedagogical purposes and the needs of other instructors who rely on these materials.</w:t>
      </w:r>
    </w:p>
    <w:p w14:paraId="21EE5680" w14:textId="77777777" w:rsidR="0078072F" w:rsidRDefault="0078072F" w:rsidP="0078072F">
      <w:pPr>
        <w:rPr>
          <w:rFonts w:ascii="Times" w:eastAsia="Times" w:hAnsi="Times" w:cs="Times"/>
        </w:rPr>
      </w:pPr>
    </w:p>
    <w:p w14:paraId="4F7927EB" w14:textId="77777777" w:rsidR="0078072F" w:rsidRPr="006C2A3C" w:rsidRDefault="0078072F" w:rsidP="0078072F">
      <w:pPr>
        <w:spacing w:line="280" w:lineRule="auto"/>
        <w:rPr>
          <w:rFonts w:ascii="Times" w:eastAsia="Times" w:hAnsi="Times" w:cs="Times"/>
          <w:bCs/>
          <w:sz w:val="22"/>
          <w:szCs w:val="22"/>
        </w:rPr>
      </w:pPr>
      <w:r w:rsidRPr="006C2A3C">
        <w:rPr>
          <w:rFonts w:ascii="Times" w:eastAsia="Times" w:hAnsi="Times" w:cs="Times"/>
          <w:bCs/>
          <w:sz w:val="22"/>
          <w:szCs w:val="22"/>
        </w:rPr>
        <w:t>Please contact https://support.pearson.com/getsupport/s/contactsupport with any queries on this content.</w:t>
      </w:r>
    </w:p>
    <w:p w14:paraId="75FD3DC8" w14:textId="77777777" w:rsidR="0078072F" w:rsidRDefault="0078072F" w:rsidP="0078072F">
      <w:pPr>
        <w:rPr>
          <w:rFonts w:ascii="Times" w:eastAsia="Times" w:hAnsi="Times" w:cs="Times"/>
          <w:sz w:val="22"/>
          <w:szCs w:val="22"/>
        </w:rPr>
      </w:pPr>
    </w:p>
    <w:p w14:paraId="0F381294" w14:textId="5F221F04" w:rsidR="0078072F" w:rsidRDefault="0078072F" w:rsidP="0078072F">
      <w:pPr>
        <w:rPr>
          <w:rFonts w:ascii="Times" w:eastAsia="Times" w:hAnsi="Times" w:cs="Times"/>
          <w:color w:val="000000"/>
          <w:sz w:val="22"/>
          <w:szCs w:val="22"/>
        </w:rPr>
      </w:pPr>
      <w:r>
        <w:rPr>
          <w:rFonts w:ascii="Times" w:eastAsia="Times" w:hAnsi="Times" w:cs="Times"/>
          <w:color w:val="000000"/>
          <w:sz w:val="22"/>
          <w:szCs w:val="22"/>
        </w:rPr>
        <w:t>Copyright © 2022</w:t>
      </w:r>
      <w:r w:rsidR="008D2BA0">
        <w:rPr>
          <w:rFonts w:ascii="Times" w:eastAsia="Times" w:hAnsi="Times" w:cs="Times"/>
          <w:color w:val="000000"/>
          <w:sz w:val="22"/>
          <w:szCs w:val="22"/>
        </w:rPr>
        <w:t>, 2018, 201</w:t>
      </w:r>
      <w:r w:rsidR="001E2A72">
        <w:rPr>
          <w:rFonts w:ascii="Times" w:eastAsia="Times" w:hAnsi="Times" w:cs="Times"/>
          <w:color w:val="000000"/>
          <w:sz w:val="22"/>
          <w:szCs w:val="22"/>
        </w:rPr>
        <w:t>5</w:t>
      </w:r>
      <w:r>
        <w:rPr>
          <w:rFonts w:ascii="Times" w:eastAsia="Times" w:hAnsi="Times" w:cs="Times"/>
          <w:color w:val="3366FF"/>
          <w:sz w:val="22"/>
          <w:szCs w:val="22"/>
        </w:rPr>
        <w:t xml:space="preserve"> </w:t>
      </w:r>
      <w:r>
        <w:rPr>
          <w:rFonts w:ascii="Times" w:eastAsia="Times" w:hAnsi="Times" w:cs="Times"/>
          <w:color w:val="000000"/>
          <w:sz w:val="22"/>
          <w:szCs w:val="22"/>
        </w:rPr>
        <w:t>by Pearson Education, Inc. or its affiliates</w:t>
      </w:r>
      <w:r w:rsidR="00B712A3">
        <w:rPr>
          <w:rFonts w:ascii="Times" w:eastAsia="Times" w:hAnsi="Times" w:cs="Times"/>
          <w:color w:val="000000"/>
          <w:sz w:val="22"/>
          <w:szCs w:val="22"/>
        </w:rPr>
        <w:t>, 221 River Street, Hoboken, NJ 07030</w:t>
      </w:r>
      <w:r>
        <w:rPr>
          <w:rFonts w:ascii="Times" w:eastAsia="Times" w:hAnsi="Times" w:cs="Times"/>
          <w:color w:val="000000"/>
          <w:sz w:val="22"/>
          <w:szCs w:val="22"/>
        </w:rPr>
        <w:t xml:space="preserve">. All Rights Reserved. Manufactured in the United States of America. This publication is protected by copyright, and permission should be obtained from the publisher prior to any prohibited reproduction, storage in a retrieval system, or transmission in any form or by any means, electronic, mechanical, photocopying, recording, or otherwise. For information regarding permissions, request forms, and the appropriate contacts within the Pearson Education Global Rights and Permissions department, please visit </w:t>
      </w:r>
      <w:hyperlink r:id="rId5">
        <w:r>
          <w:rPr>
            <w:rFonts w:ascii="Times" w:eastAsia="Times" w:hAnsi="Times" w:cs="Times"/>
            <w:color w:val="0563C1"/>
            <w:sz w:val="22"/>
            <w:szCs w:val="22"/>
            <w:u w:val="single"/>
          </w:rPr>
          <w:t>www.pearsoned.com/permissions/</w:t>
        </w:r>
      </w:hyperlink>
      <w:r>
        <w:rPr>
          <w:rFonts w:ascii="Times" w:eastAsia="Times" w:hAnsi="Times" w:cs="Times"/>
          <w:color w:val="000000"/>
          <w:sz w:val="22"/>
          <w:szCs w:val="22"/>
        </w:rPr>
        <w:t>.</w:t>
      </w:r>
    </w:p>
    <w:p w14:paraId="752D610C" w14:textId="77777777" w:rsidR="0078072F" w:rsidRDefault="0078072F" w:rsidP="0078072F">
      <w:pPr>
        <w:rPr>
          <w:rFonts w:ascii="Times" w:eastAsia="Times" w:hAnsi="Times" w:cs="Times"/>
          <w:color w:val="3366FF"/>
          <w:sz w:val="22"/>
          <w:szCs w:val="22"/>
        </w:rPr>
      </w:pPr>
      <w:bookmarkStart w:id="1" w:name="_GoBack"/>
      <w:bookmarkEnd w:id="1"/>
    </w:p>
    <w:p w14:paraId="68F10CC8" w14:textId="249A6E85" w:rsidR="0078072F" w:rsidRDefault="00754340" w:rsidP="0078072F">
      <w:pPr>
        <w:rPr>
          <w:rFonts w:ascii="Times" w:eastAsia="Times" w:hAnsi="Times" w:cs="Times"/>
          <w:sz w:val="22"/>
          <w:szCs w:val="22"/>
        </w:rPr>
      </w:pPr>
      <w:r>
        <w:rPr>
          <w:rFonts w:ascii="Times" w:eastAsia="Times" w:hAnsi="Times" w:cs="Times"/>
          <w:sz w:val="22"/>
          <w:szCs w:val="22"/>
        </w:rPr>
        <w:t>PEARSON</w:t>
      </w:r>
      <w:r w:rsidR="0078072F">
        <w:rPr>
          <w:rFonts w:ascii="Times" w:eastAsia="Times" w:hAnsi="Times" w:cs="Times"/>
          <w:sz w:val="22"/>
          <w:szCs w:val="22"/>
        </w:rPr>
        <w:t xml:space="preserve"> </w:t>
      </w:r>
      <w:r w:rsidR="00641D44">
        <w:rPr>
          <w:rFonts w:ascii="Times" w:eastAsia="Times" w:hAnsi="Times" w:cs="Times"/>
          <w:sz w:val="22"/>
          <w:szCs w:val="22"/>
        </w:rPr>
        <w:t xml:space="preserve">and </w:t>
      </w:r>
      <w:r w:rsidRPr="00754340">
        <w:rPr>
          <w:rFonts w:ascii="Times" w:eastAsia="Times" w:hAnsi="Times" w:cs="Times"/>
          <w:sz w:val="22"/>
          <w:szCs w:val="22"/>
        </w:rPr>
        <w:t>MYLAB</w:t>
      </w:r>
      <w:r w:rsidR="0078072F">
        <w:rPr>
          <w:rFonts w:ascii="Times" w:eastAsia="Times" w:hAnsi="Times" w:cs="Times"/>
          <w:sz w:val="22"/>
          <w:szCs w:val="22"/>
        </w:rPr>
        <w:t xml:space="preserve"> are exclusive trademarks owned by Pearson Education, Inc. or its affiliates in the U.S. and/or other countries.</w:t>
      </w:r>
    </w:p>
    <w:p w14:paraId="02844594" w14:textId="77777777" w:rsidR="0078072F" w:rsidRDefault="0078072F" w:rsidP="0078072F">
      <w:pPr>
        <w:rPr>
          <w:rFonts w:ascii="Times" w:eastAsia="Times" w:hAnsi="Times" w:cs="Times"/>
          <w:sz w:val="22"/>
          <w:szCs w:val="22"/>
        </w:rPr>
      </w:pPr>
    </w:p>
    <w:p w14:paraId="276DE7FA" w14:textId="77777777" w:rsidR="0078072F" w:rsidRDefault="0078072F" w:rsidP="0078072F">
      <w:pPr>
        <w:rPr>
          <w:rFonts w:ascii="Times" w:eastAsia="Times" w:hAnsi="Times" w:cs="Times"/>
        </w:rPr>
      </w:pPr>
      <w:r>
        <w:rPr>
          <w:rFonts w:ascii="Times" w:eastAsia="Times" w:hAnsi="Times" w:cs="Times"/>
          <w:sz w:val="22"/>
          <w:szCs w:val="22"/>
        </w:rPr>
        <w:t>Unless otherwise indicated herein, any third-party trademarks, logos, or icons that may appear in this work are the property of their respective owners, and any references to third-party trademarks, logos, icons, or other trade dress are for demonstrative or descriptive purposes only. Such references are not intended to imply any sponsorship, endorsement, authorization, or promotion of Pearson’s products by the owners of such marks, or any relationship between the owner and Pearson Education, Inc., or its affiliates, authors, licensees, or distributors.</w:t>
      </w:r>
    </w:p>
    <w:p w14:paraId="3E6937EA" w14:textId="5483837E" w:rsidR="0078072F" w:rsidRDefault="0078072F" w:rsidP="0078072F"/>
    <w:p w14:paraId="545850AA" w14:textId="5B1B6611" w:rsidR="0078072F" w:rsidRDefault="0078072F" w:rsidP="0078072F"/>
    <w:p w14:paraId="452791FC" w14:textId="03173E14" w:rsidR="0078072F" w:rsidRPr="0078072F" w:rsidRDefault="0078072F" w:rsidP="0078072F">
      <w:pPr>
        <w:ind w:left="5040"/>
        <w:jc w:val="center"/>
        <w:rPr>
          <w:rFonts w:ascii="Arial" w:hAnsi="Arial" w:cs="Arial"/>
        </w:rPr>
      </w:pPr>
      <w:r>
        <w:t xml:space="preserve">   </w:t>
      </w:r>
      <w:r w:rsidR="00AC0C88">
        <w:rPr>
          <w:rFonts w:ascii="Arial" w:hAnsi="Arial" w:cs="Arial"/>
        </w:rPr>
        <w:t xml:space="preserve">ISBN-10: </w:t>
      </w:r>
      <w:r w:rsidR="00AC0C88" w:rsidRPr="00AC0C88">
        <w:rPr>
          <w:rFonts w:ascii="Arial" w:hAnsi="Arial" w:cs="Arial"/>
        </w:rPr>
        <w:t>0135767040</w:t>
      </w:r>
    </w:p>
    <w:p w14:paraId="33082590" w14:textId="200AA637" w:rsidR="0078072F" w:rsidRPr="0078072F" w:rsidRDefault="0078072F" w:rsidP="0078072F">
      <w:pPr>
        <w:jc w:val="right"/>
        <w:rPr>
          <w:rFonts w:ascii="Arial" w:hAnsi="Arial" w:cs="Arial"/>
        </w:rPr>
      </w:pPr>
      <w:r w:rsidRPr="0078072F">
        <w:rPr>
          <w:rFonts w:ascii="Arial" w:hAnsi="Arial" w:cs="Arial"/>
        </w:rPr>
        <w:t xml:space="preserve">ISBN-13: </w:t>
      </w:r>
      <w:r w:rsidR="00AC0C88" w:rsidRPr="00AC0C88">
        <w:rPr>
          <w:rFonts w:ascii="Arial" w:hAnsi="Arial" w:cs="Arial"/>
        </w:rPr>
        <w:t>9780135767047</w:t>
      </w:r>
    </w:p>
    <w:p w14:paraId="6592F189" w14:textId="77777777" w:rsidR="0078072F" w:rsidRDefault="0078072F" w:rsidP="0078072F">
      <w:r>
        <w:rPr>
          <w:noProof/>
          <w:lang w:val="en-IN" w:eastAsia="en-IN"/>
        </w:rPr>
        <w:drawing>
          <wp:inline distT="0" distB="0" distL="0" distR="0" wp14:anchorId="5148F354" wp14:editId="76ABC031">
            <wp:extent cx="1638300" cy="742950"/>
            <wp:effectExtent l="0" t="0" r="0" b="0"/>
            <wp:docPr id="3" name="image1.jpg" descr="C:\Users\uferncl\Desktop\PearsonLogo_Horizontal_Mono_Blk.jpg"/>
            <wp:cNvGraphicFramePr/>
            <a:graphic xmlns:a="http://schemas.openxmlformats.org/drawingml/2006/main">
              <a:graphicData uri="http://schemas.openxmlformats.org/drawingml/2006/picture">
                <pic:pic xmlns:pic="http://schemas.openxmlformats.org/drawingml/2006/picture">
                  <pic:nvPicPr>
                    <pic:cNvPr id="0" name="image1.jpg" descr="C:\Users\uferncl\Desktop\PearsonLogo_Horizontal_Mono_Blk.jpg"/>
                    <pic:cNvPicPr preferRelativeResize="0"/>
                  </pic:nvPicPr>
                  <pic:blipFill>
                    <a:blip r:embed="rId6"/>
                    <a:srcRect/>
                    <a:stretch>
                      <a:fillRect/>
                    </a:stretch>
                  </pic:blipFill>
                  <pic:spPr>
                    <a:xfrm>
                      <a:off x="0" y="0"/>
                      <a:ext cx="1638300" cy="742950"/>
                    </a:xfrm>
                    <a:prstGeom prst="rect">
                      <a:avLst/>
                    </a:prstGeom>
                    <a:ln/>
                  </pic:spPr>
                </pic:pic>
              </a:graphicData>
            </a:graphic>
          </wp:inline>
        </w:drawing>
      </w:r>
    </w:p>
    <w:p w14:paraId="559F4CFD" w14:textId="35F92079" w:rsidR="0078072F" w:rsidRDefault="0078072F">
      <w:r>
        <w:br w:type="page"/>
      </w:r>
    </w:p>
    <w:p w14:paraId="0FC1A063" w14:textId="77777777" w:rsidR="0078072F" w:rsidRDefault="0078072F" w:rsidP="0078072F">
      <w:pPr>
        <w:pStyle w:val="Heading3"/>
        <w:jc w:val="center"/>
        <w:rPr>
          <w:color w:val="000000"/>
        </w:rPr>
      </w:pPr>
    </w:p>
    <w:p w14:paraId="1232B236" w14:textId="77777777" w:rsidR="0078072F" w:rsidRPr="0078072F" w:rsidRDefault="0078072F" w:rsidP="0078072F">
      <w:pPr>
        <w:pStyle w:val="Heading3"/>
        <w:jc w:val="center"/>
        <w:rPr>
          <w:rFonts w:ascii="Garamond" w:eastAsia="Times New Roman" w:hAnsi="Garamond" w:cs="Garamond"/>
          <w:bCs/>
          <w:color w:val="000000"/>
        </w:rPr>
      </w:pPr>
      <w:r w:rsidRPr="0078072F">
        <w:rPr>
          <w:rFonts w:ascii="Garamond" w:eastAsia="Times New Roman" w:hAnsi="Garamond" w:cs="Garamond"/>
          <w:bCs/>
          <w:color w:val="000000"/>
        </w:rPr>
        <w:t>Table of Contents</w:t>
      </w:r>
    </w:p>
    <w:p w14:paraId="3DEB7698" w14:textId="77777777" w:rsidR="0078072F" w:rsidRPr="000B5C5A" w:rsidRDefault="0078072F" w:rsidP="0078072F">
      <w:pPr>
        <w:rPr>
          <w:sz w:val="28"/>
          <w:szCs w:val="28"/>
        </w:rPr>
      </w:pPr>
    </w:p>
    <w:p w14:paraId="0D3168CF" w14:textId="77777777" w:rsidR="0078072F" w:rsidRPr="00D9396B" w:rsidRDefault="0078072F" w:rsidP="0078072F">
      <w:pPr>
        <w:pStyle w:val="BodyContents"/>
      </w:pPr>
      <w:bookmarkStart w:id="2" w:name="_1fob9te" w:colFirst="0" w:colLast="0"/>
      <w:bookmarkEnd w:id="2"/>
      <w:r>
        <w:rPr>
          <w:b/>
          <w:bCs/>
        </w:rPr>
        <w:t>Chapter 1</w:t>
      </w:r>
      <w:r>
        <w:tab/>
      </w:r>
      <w:r w:rsidRPr="00D9396B">
        <w:t xml:space="preserve">Introduction </w:t>
      </w:r>
      <w:r>
        <w:tab/>
      </w:r>
      <w:r w:rsidRPr="00D9396B">
        <w:t>1</w:t>
      </w:r>
    </w:p>
    <w:p w14:paraId="3B8E7A88" w14:textId="77777777" w:rsidR="0078072F" w:rsidRPr="00D9396B" w:rsidRDefault="0078072F" w:rsidP="0078072F">
      <w:pPr>
        <w:pStyle w:val="BodyContents"/>
      </w:pPr>
      <w:r w:rsidRPr="00D9396B">
        <w:rPr>
          <w:b/>
        </w:rPr>
        <w:t xml:space="preserve">Chapter 2 </w:t>
      </w:r>
      <w:r w:rsidRPr="00D9396B">
        <w:tab/>
        <w:t xml:space="preserve">World Trade: An Overview </w:t>
      </w:r>
      <w:r>
        <w:tab/>
        <w:t>3</w:t>
      </w:r>
    </w:p>
    <w:p w14:paraId="63FF891F" w14:textId="77777777" w:rsidR="0078072F" w:rsidRPr="00605C65" w:rsidRDefault="0078072F" w:rsidP="0078072F">
      <w:pPr>
        <w:pStyle w:val="BodyContents"/>
      </w:pPr>
      <w:r w:rsidRPr="00D9396B">
        <w:rPr>
          <w:b/>
        </w:rPr>
        <w:t xml:space="preserve">Chapter 3 </w:t>
      </w:r>
      <w:r w:rsidRPr="00D9396B">
        <w:tab/>
        <w:t xml:space="preserve">Labor Productivity and Comparative </w:t>
      </w:r>
      <w:r w:rsidRPr="00605C65">
        <w:t xml:space="preserve">Advantage: The </w:t>
      </w:r>
      <w:proofErr w:type="spellStart"/>
      <w:r w:rsidRPr="00605C65">
        <w:t>Ricardian</w:t>
      </w:r>
      <w:proofErr w:type="spellEnd"/>
      <w:r w:rsidRPr="00605C65">
        <w:t xml:space="preserve"> Model </w:t>
      </w:r>
      <w:r w:rsidRPr="00605C65">
        <w:tab/>
        <w:t>7</w:t>
      </w:r>
    </w:p>
    <w:p w14:paraId="5D3C62AC" w14:textId="481E1779" w:rsidR="0078072F" w:rsidRPr="00605C65" w:rsidRDefault="0078072F" w:rsidP="0078072F">
      <w:pPr>
        <w:pStyle w:val="BodyContents"/>
      </w:pPr>
      <w:r w:rsidRPr="00605C65">
        <w:rPr>
          <w:b/>
        </w:rPr>
        <w:t xml:space="preserve">Chapter 4 </w:t>
      </w:r>
      <w:r w:rsidRPr="00605C65">
        <w:tab/>
        <w:t xml:space="preserve">Specific Factors and Income Distribution </w:t>
      </w:r>
      <w:r w:rsidRPr="00605C65">
        <w:tab/>
        <w:t>1</w:t>
      </w:r>
      <w:r w:rsidR="007B5092">
        <w:t>4</w:t>
      </w:r>
    </w:p>
    <w:p w14:paraId="70A23659" w14:textId="1D2DAEC3" w:rsidR="0078072F" w:rsidRPr="00605C65" w:rsidRDefault="0078072F" w:rsidP="0078072F">
      <w:pPr>
        <w:pStyle w:val="BodyContents"/>
      </w:pPr>
      <w:r w:rsidRPr="00605C65">
        <w:rPr>
          <w:b/>
        </w:rPr>
        <w:t xml:space="preserve">Chapter 5 </w:t>
      </w:r>
      <w:r w:rsidRPr="00605C65">
        <w:tab/>
        <w:t xml:space="preserve">Resources and Trade: The </w:t>
      </w:r>
      <w:proofErr w:type="spellStart"/>
      <w:r w:rsidRPr="00605C65">
        <w:t>Heckscher</w:t>
      </w:r>
      <w:proofErr w:type="spellEnd"/>
      <w:r w:rsidRPr="00605C65">
        <w:t xml:space="preserve">-Ohlin Model </w:t>
      </w:r>
      <w:r w:rsidRPr="00605C65">
        <w:tab/>
        <w:t>2</w:t>
      </w:r>
      <w:r w:rsidR="00663DC4">
        <w:t>3</w:t>
      </w:r>
    </w:p>
    <w:p w14:paraId="1A0BFAAE" w14:textId="2D8919BC" w:rsidR="0078072F" w:rsidRPr="00605C65" w:rsidRDefault="0078072F" w:rsidP="0078072F">
      <w:pPr>
        <w:pStyle w:val="BodyContents"/>
      </w:pPr>
      <w:r w:rsidRPr="00605C65">
        <w:rPr>
          <w:b/>
        </w:rPr>
        <w:t xml:space="preserve">Chapter 6 </w:t>
      </w:r>
      <w:r w:rsidRPr="00605C65">
        <w:tab/>
      </w:r>
      <w:proofErr w:type="gramStart"/>
      <w:r w:rsidRPr="00605C65">
        <w:t>The</w:t>
      </w:r>
      <w:proofErr w:type="gramEnd"/>
      <w:r w:rsidRPr="00605C65">
        <w:t xml:space="preserve"> Standard Trade Model </w:t>
      </w:r>
      <w:r w:rsidRPr="00605C65">
        <w:tab/>
      </w:r>
      <w:r w:rsidR="00750709">
        <w:t>3</w:t>
      </w:r>
      <w:r w:rsidR="00662D16">
        <w:t>1</w:t>
      </w:r>
    </w:p>
    <w:p w14:paraId="589CB2E9" w14:textId="2E4A6726" w:rsidR="0078072F" w:rsidRPr="00605C65" w:rsidRDefault="0078072F" w:rsidP="0078072F">
      <w:pPr>
        <w:pStyle w:val="BodyContents"/>
      </w:pPr>
      <w:r w:rsidRPr="00605C65">
        <w:rPr>
          <w:b/>
        </w:rPr>
        <w:t xml:space="preserve">Chapter 7 </w:t>
      </w:r>
      <w:r w:rsidRPr="00605C65">
        <w:tab/>
        <w:t xml:space="preserve">External Economies of Scale and the International Location of Production </w:t>
      </w:r>
      <w:r w:rsidRPr="00605C65">
        <w:tab/>
      </w:r>
      <w:r w:rsidR="00750709">
        <w:t>4</w:t>
      </w:r>
      <w:r w:rsidR="00662D16">
        <w:t>0</w:t>
      </w:r>
    </w:p>
    <w:p w14:paraId="0E887C59" w14:textId="14DF4E78" w:rsidR="0078072F" w:rsidRPr="00605C65" w:rsidRDefault="0078072F" w:rsidP="0078072F">
      <w:pPr>
        <w:pStyle w:val="BodyContents"/>
      </w:pPr>
      <w:r w:rsidRPr="00605C65">
        <w:rPr>
          <w:b/>
        </w:rPr>
        <w:t xml:space="preserve">Chapter 8 </w:t>
      </w:r>
      <w:r w:rsidRPr="00605C65">
        <w:tab/>
        <w:t xml:space="preserve">Firms in the Global Economy: Export </w:t>
      </w:r>
      <w:r w:rsidR="00662D16">
        <w:t>and Foreign Sourcing Decisions</w:t>
      </w:r>
      <w:r w:rsidRPr="00605C65">
        <w:t xml:space="preserve"> </w:t>
      </w:r>
      <w:r w:rsidRPr="00605C65">
        <w:br/>
        <w:t xml:space="preserve">and Multinational Enterprises </w:t>
      </w:r>
      <w:r w:rsidRPr="00605C65">
        <w:tab/>
        <w:t>4</w:t>
      </w:r>
      <w:r w:rsidR="00662D16">
        <w:t>6</w:t>
      </w:r>
    </w:p>
    <w:p w14:paraId="251724CC" w14:textId="1B8DC94C" w:rsidR="0078072F" w:rsidRPr="00605C65" w:rsidRDefault="0078072F" w:rsidP="0078072F">
      <w:pPr>
        <w:pStyle w:val="BodyContents"/>
      </w:pPr>
      <w:r w:rsidRPr="00605C65">
        <w:rPr>
          <w:b/>
        </w:rPr>
        <w:t xml:space="preserve">Chapter 9 </w:t>
      </w:r>
      <w:r w:rsidRPr="00605C65">
        <w:tab/>
      </w:r>
      <w:proofErr w:type="gramStart"/>
      <w:r w:rsidRPr="00605C65">
        <w:t>The</w:t>
      </w:r>
      <w:proofErr w:type="gramEnd"/>
      <w:r w:rsidRPr="00605C65">
        <w:t xml:space="preserve"> Instruments of Trade Policy </w:t>
      </w:r>
      <w:r w:rsidRPr="00605C65">
        <w:tab/>
        <w:t>5</w:t>
      </w:r>
      <w:r w:rsidR="00DE3A0F">
        <w:t>5</w:t>
      </w:r>
    </w:p>
    <w:p w14:paraId="03EB5E03" w14:textId="4CE115F1" w:rsidR="0078072F" w:rsidRPr="00605C65" w:rsidRDefault="0078072F" w:rsidP="0078072F">
      <w:pPr>
        <w:pStyle w:val="BodyContents"/>
      </w:pPr>
      <w:r w:rsidRPr="00605C65">
        <w:rPr>
          <w:b/>
        </w:rPr>
        <w:t xml:space="preserve">Chapter 10 </w:t>
      </w:r>
      <w:r w:rsidRPr="00605C65">
        <w:tab/>
      </w:r>
      <w:proofErr w:type="gramStart"/>
      <w:r w:rsidRPr="00605C65">
        <w:t>The</w:t>
      </w:r>
      <w:proofErr w:type="gramEnd"/>
      <w:r w:rsidRPr="00605C65">
        <w:t xml:space="preserve"> Political Economy of Trade Policy </w:t>
      </w:r>
      <w:r w:rsidRPr="00605C65">
        <w:tab/>
        <w:t>6</w:t>
      </w:r>
      <w:r w:rsidR="00DE3A0F">
        <w:t>4</w:t>
      </w:r>
    </w:p>
    <w:p w14:paraId="77823988" w14:textId="74DF9511" w:rsidR="0078072F" w:rsidRPr="00605C65" w:rsidRDefault="0078072F" w:rsidP="0078072F">
      <w:pPr>
        <w:pStyle w:val="BodyContents"/>
      </w:pPr>
      <w:r w:rsidRPr="00605C65">
        <w:rPr>
          <w:b/>
        </w:rPr>
        <w:t xml:space="preserve">Chapter 11 </w:t>
      </w:r>
      <w:r w:rsidRPr="00605C65">
        <w:tab/>
        <w:t xml:space="preserve">Trade Policy in Developing Countries </w:t>
      </w:r>
      <w:r w:rsidRPr="00605C65">
        <w:tab/>
      </w:r>
      <w:r w:rsidR="00EE7D15">
        <w:t>7</w:t>
      </w:r>
      <w:r w:rsidR="00DE3A0F">
        <w:t>3</w:t>
      </w:r>
    </w:p>
    <w:p w14:paraId="59E60932" w14:textId="39E8E418" w:rsidR="0078072F" w:rsidRPr="00605C65" w:rsidRDefault="0078072F" w:rsidP="0078072F">
      <w:pPr>
        <w:pStyle w:val="BodyContents"/>
      </w:pPr>
      <w:r w:rsidRPr="00605C65">
        <w:rPr>
          <w:b/>
        </w:rPr>
        <w:t xml:space="preserve">Chapter 12 </w:t>
      </w:r>
      <w:r w:rsidRPr="00605C65">
        <w:tab/>
        <w:t xml:space="preserve">Controversies in Trade Policy </w:t>
      </w:r>
      <w:r w:rsidRPr="00605C65">
        <w:tab/>
        <w:t>7</w:t>
      </w:r>
      <w:r w:rsidR="00DE3A0F">
        <w:t>7</w:t>
      </w:r>
    </w:p>
    <w:p w14:paraId="68FBA77E" w14:textId="65F744F4" w:rsidR="0078072F" w:rsidRPr="00605C65" w:rsidRDefault="0078072F" w:rsidP="0078072F">
      <w:pPr>
        <w:pStyle w:val="BodyContents"/>
      </w:pPr>
      <w:r w:rsidRPr="00605C65">
        <w:rPr>
          <w:b/>
        </w:rPr>
        <w:t xml:space="preserve">Chapter 13  </w:t>
      </w:r>
      <w:r w:rsidRPr="00605C65">
        <w:tab/>
        <w:t xml:space="preserve">National Income Accounting and the Balance of Payments </w:t>
      </w:r>
      <w:r w:rsidRPr="00605C65">
        <w:tab/>
      </w:r>
      <w:r>
        <w:t>8</w:t>
      </w:r>
      <w:r w:rsidR="00DE3A0F">
        <w:t>4</w:t>
      </w:r>
    </w:p>
    <w:p w14:paraId="19556EEF" w14:textId="2EB351FB" w:rsidR="0078072F" w:rsidRPr="00605C65" w:rsidRDefault="0078072F" w:rsidP="0078072F">
      <w:pPr>
        <w:pStyle w:val="BodyContents"/>
      </w:pPr>
      <w:r w:rsidRPr="00605C65">
        <w:rPr>
          <w:b/>
        </w:rPr>
        <w:t xml:space="preserve">Chapter 14 </w:t>
      </w:r>
      <w:r w:rsidRPr="00605C65">
        <w:tab/>
        <w:t xml:space="preserve">Exchange Rates and the Foreign Exchange Market: An Asset Approach </w:t>
      </w:r>
      <w:r w:rsidRPr="00605C65">
        <w:tab/>
      </w:r>
      <w:r w:rsidR="00F53E2F">
        <w:t>9</w:t>
      </w:r>
      <w:r w:rsidR="00DE3A0F">
        <w:t>3</w:t>
      </w:r>
    </w:p>
    <w:p w14:paraId="7D8D7859" w14:textId="73AACE1F" w:rsidR="0078072F" w:rsidRPr="00605C65" w:rsidRDefault="0078072F" w:rsidP="0078072F">
      <w:pPr>
        <w:pStyle w:val="BodyContents"/>
      </w:pPr>
      <w:r w:rsidRPr="00605C65">
        <w:rPr>
          <w:b/>
        </w:rPr>
        <w:t xml:space="preserve">Chapter 15 </w:t>
      </w:r>
      <w:r w:rsidRPr="00605C65">
        <w:tab/>
        <w:t xml:space="preserve">Money, Interest Rates, and Exchange Rates </w:t>
      </w:r>
      <w:r w:rsidRPr="00605C65">
        <w:tab/>
      </w:r>
      <w:r>
        <w:t>10</w:t>
      </w:r>
      <w:r w:rsidR="00DE3A0F">
        <w:t>5</w:t>
      </w:r>
    </w:p>
    <w:p w14:paraId="374EF102" w14:textId="291559FC" w:rsidR="0078072F" w:rsidRPr="00605C65" w:rsidRDefault="0078072F" w:rsidP="0078072F">
      <w:pPr>
        <w:pStyle w:val="BodyContents"/>
      </w:pPr>
      <w:r w:rsidRPr="00605C65">
        <w:rPr>
          <w:b/>
        </w:rPr>
        <w:t xml:space="preserve">Chapter 16 </w:t>
      </w:r>
      <w:r w:rsidRPr="00605C65">
        <w:tab/>
        <w:t xml:space="preserve">Price Levels and the Exchange Rate in the Long Run </w:t>
      </w:r>
      <w:r w:rsidRPr="00605C65">
        <w:tab/>
      </w:r>
      <w:r>
        <w:t>11</w:t>
      </w:r>
      <w:r w:rsidR="00DE3A0F">
        <w:t>4</w:t>
      </w:r>
    </w:p>
    <w:p w14:paraId="6A80AB2C" w14:textId="6B0B1439" w:rsidR="0078072F" w:rsidRPr="00605C65" w:rsidRDefault="0078072F" w:rsidP="0078072F">
      <w:pPr>
        <w:pStyle w:val="BodyContents"/>
      </w:pPr>
      <w:r w:rsidRPr="00605C65">
        <w:rPr>
          <w:b/>
        </w:rPr>
        <w:t xml:space="preserve">Chapter 17 </w:t>
      </w:r>
      <w:r w:rsidRPr="00605C65">
        <w:tab/>
        <w:t xml:space="preserve">Output and the Exchange Rate in the Short Run </w:t>
      </w:r>
      <w:r w:rsidRPr="00605C65">
        <w:tab/>
      </w:r>
      <w:r>
        <w:t>1</w:t>
      </w:r>
      <w:r w:rsidR="00AB7C10">
        <w:t>2</w:t>
      </w:r>
      <w:r w:rsidR="00DE3A0F">
        <w:t>3</w:t>
      </w:r>
    </w:p>
    <w:p w14:paraId="6533A1D5" w14:textId="44FF0B8E" w:rsidR="0078072F" w:rsidRPr="00605C65" w:rsidRDefault="0078072F" w:rsidP="0078072F">
      <w:pPr>
        <w:pStyle w:val="BodyContents"/>
      </w:pPr>
      <w:r w:rsidRPr="00605C65">
        <w:rPr>
          <w:b/>
        </w:rPr>
        <w:t xml:space="preserve">Chapter 18 </w:t>
      </w:r>
      <w:r w:rsidRPr="00605C65">
        <w:tab/>
        <w:t xml:space="preserve">Fixed Exchange Rates and Foreign Exchange Intervention </w:t>
      </w:r>
      <w:r w:rsidRPr="00605C65">
        <w:tab/>
      </w:r>
      <w:r>
        <w:t>13</w:t>
      </w:r>
      <w:r w:rsidR="00DE3A0F">
        <w:t>5</w:t>
      </w:r>
    </w:p>
    <w:p w14:paraId="08D442F9" w14:textId="40FEC031" w:rsidR="0078072F" w:rsidRPr="00605C65" w:rsidRDefault="0078072F" w:rsidP="0078072F">
      <w:pPr>
        <w:pStyle w:val="BodyContents"/>
      </w:pPr>
      <w:r w:rsidRPr="00605C65">
        <w:rPr>
          <w:b/>
        </w:rPr>
        <w:t xml:space="preserve">Chapter 19 </w:t>
      </w:r>
      <w:r w:rsidRPr="00605C65">
        <w:tab/>
        <w:t>In</w:t>
      </w:r>
      <w:r w:rsidR="00FA4DE3">
        <w:t>ternational Monetary Systems: A</w:t>
      </w:r>
      <w:r w:rsidRPr="00605C65">
        <w:t xml:space="preserve"> Historical Overview </w:t>
      </w:r>
      <w:r w:rsidRPr="00605C65">
        <w:tab/>
      </w:r>
      <w:r>
        <w:t>14</w:t>
      </w:r>
      <w:r w:rsidR="00DE3A0F">
        <w:t>6</w:t>
      </w:r>
    </w:p>
    <w:p w14:paraId="5219EEB9" w14:textId="227F0BB7" w:rsidR="0078072F" w:rsidRPr="00605C65" w:rsidRDefault="0078072F" w:rsidP="0078072F">
      <w:pPr>
        <w:pStyle w:val="BodyContents"/>
      </w:pPr>
      <w:r w:rsidRPr="00605C65">
        <w:rPr>
          <w:b/>
        </w:rPr>
        <w:t xml:space="preserve">Chapter 20 </w:t>
      </w:r>
      <w:r w:rsidRPr="00605C65">
        <w:tab/>
        <w:t xml:space="preserve">Financial Globalization: Opportunity and Crisis </w:t>
      </w:r>
      <w:r w:rsidRPr="00605C65">
        <w:tab/>
      </w:r>
      <w:r>
        <w:t>1</w:t>
      </w:r>
      <w:r w:rsidR="00DE3A0F">
        <w:t>57</w:t>
      </w:r>
    </w:p>
    <w:p w14:paraId="47E805C0" w14:textId="3791E064" w:rsidR="0078072F" w:rsidRPr="00605C65" w:rsidRDefault="0078072F" w:rsidP="0078072F">
      <w:pPr>
        <w:pStyle w:val="BodyContents"/>
      </w:pPr>
      <w:r w:rsidRPr="00605C65">
        <w:rPr>
          <w:b/>
        </w:rPr>
        <w:t xml:space="preserve">Chapter 21 </w:t>
      </w:r>
      <w:r w:rsidRPr="00605C65">
        <w:tab/>
        <w:t xml:space="preserve">Optimum Currency Areas and the Euro </w:t>
      </w:r>
      <w:r w:rsidRPr="00605C65">
        <w:tab/>
      </w:r>
      <w:r>
        <w:t>1</w:t>
      </w:r>
      <w:r w:rsidR="00DE3A0F">
        <w:t>66</w:t>
      </w:r>
    </w:p>
    <w:p w14:paraId="2B3168B9" w14:textId="5BFF5B19" w:rsidR="0078072F" w:rsidRPr="00D9396B" w:rsidRDefault="0078072F" w:rsidP="0078072F">
      <w:pPr>
        <w:pStyle w:val="BodyContents"/>
        <w:rPr>
          <w:color w:val="000000"/>
        </w:rPr>
      </w:pPr>
      <w:r w:rsidRPr="00605C65">
        <w:rPr>
          <w:b/>
        </w:rPr>
        <w:t xml:space="preserve">Chapter </w:t>
      </w:r>
      <w:r w:rsidRPr="00605C65">
        <w:rPr>
          <w:b/>
          <w:szCs w:val="22"/>
        </w:rPr>
        <w:t xml:space="preserve">22 </w:t>
      </w:r>
      <w:r w:rsidRPr="00605C65">
        <w:tab/>
      </w:r>
      <w:r w:rsidRPr="00605C65">
        <w:rPr>
          <w:szCs w:val="22"/>
        </w:rPr>
        <w:t xml:space="preserve">Developing </w:t>
      </w:r>
      <w:r w:rsidRPr="00605C65">
        <w:t xml:space="preserve">Countries: Growth, Crisis, and Reform </w:t>
      </w:r>
      <w:r w:rsidRPr="00605C65">
        <w:tab/>
      </w:r>
      <w:r>
        <w:t>1</w:t>
      </w:r>
      <w:r w:rsidR="00DE3A0F">
        <w:t>76</w:t>
      </w:r>
    </w:p>
    <w:p w14:paraId="315F816C" w14:textId="77777777" w:rsidR="0078072F" w:rsidRDefault="0078072F" w:rsidP="0078072F"/>
    <w:sectPr w:rsidR="0078072F">
      <w:pgSz w:w="12240" w:h="15840"/>
      <w:pgMar w:top="1440" w:right="1800" w:bottom="720" w:left="180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w:panose1 w:val="02070409020205020404"/>
    <w:charset w:val="00"/>
    <w:family w:val="modern"/>
    <w:notTrueType/>
    <w:pitch w:val="fixed"/>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ITCKabelStd-Medium">
    <w:altName w:val="Times New Roman"/>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389"/>
    <w:rsid w:val="000060A6"/>
    <w:rsid w:val="00051389"/>
    <w:rsid w:val="00081933"/>
    <w:rsid w:val="00086A78"/>
    <w:rsid w:val="000A240C"/>
    <w:rsid w:val="00144658"/>
    <w:rsid w:val="001E2A72"/>
    <w:rsid w:val="002A1757"/>
    <w:rsid w:val="002B6A20"/>
    <w:rsid w:val="003B1F4F"/>
    <w:rsid w:val="004D53D1"/>
    <w:rsid w:val="005A6C2F"/>
    <w:rsid w:val="00624C93"/>
    <w:rsid w:val="00641D44"/>
    <w:rsid w:val="00642944"/>
    <w:rsid w:val="00662D16"/>
    <w:rsid w:val="00663DC4"/>
    <w:rsid w:val="00676F20"/>
    <w:rsid w:val="006A3A09"/>
    <w:rsid w:val="006F0B5A"/>
    <w:rsid w:val="006F3735"/>
    <w:rsid w:val="00750709"/>
    <w:rsid w:val="00754340"/>
    <w:rsid w:val="0078072F"/>
    <w:rsid w:val="007A3AA3"/>
    <w:rsid w:val="007B5092"/>
    <w:rsid w:val="008D2BA0"/>
    <w:rsid w:val="008F59FA"/>
    <w:rsid w:val="009B5362"/>
    <w:rsid w:val="00AB7C10"/>
    <w:rsid w:val="00AC0C88"/>
    <w:rsid w:val="00B15603"/>
    <w:rsid w:val="00B712A3"/>
    <w:rsid w:val="00B85DBC"/>
    <w:rsid w:val="00BC2A8A"/>
    <w:rsid w:val="00DE3A0F"/>
    <w:rsid w:val="00E95931"/>
    <w:rsid w:val="00EE7D15"/>
    <w:rsid w:val="00F53E2F"/>
    <w:rsid w:val="00FA4DE3"/>
    <w:rsid w:val="00FF2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0F0F7"/>
  <w15:docId w15:val="{8E893328-E0C5-4502-8C2B-7379EF6C5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w:eastAsia="Courier" w:hAnsi="Courier" w:cs="Courier"/>
        <w:sz w:val="24"/>
        <w:szCs w:val="24"/>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BodyContents">
    <w:name w:val="Body_Contents"/>
    <w:basedOn w:val="Normal"/>
    <w:qFormat/>
    <w:rsid w:val="0078072F"/>
    <w:pPr>
      <w:widowControl/>
      <w:tabs>
        <w:tab w:val="left" w:pos="1503"/>
        <w:tab w:val="right" w:leader="dot" w:pos="8856"/>
        <w:tab w:val="right" w:pos="9432"/>
      </w:tabs>
      <w:spacing w:after="180"/>
      <w:ind w:left="1530" w:hanging="1530"/>
    </w:pPr>
    <w:rPr>
      <w:rFonts w:ascii="Times" w:eastAsia="Times New Roman" w:hAnsi="Times" w:cs="ITCKabelStd-Medium"/>
      <w:sz w:val="22"/>
      <w:szCs w:val="20"/>
      <w:lang w:bidi="en-US"/>
    </w:rPr>
  </w:style>
  <w:style w:type="paragraph" w:styleId="BalloonText">
    <w:name w:val="Balloon Text"/>
    <w:basedOn w:val="Normal"/>
    <w:link w:val="BalloonTextChar"/>
    <w:uiPriority w:val="99"/>
    <w:semiHidden/>
    <w:unhideWhenUsed/>
    <w:rsid w:val="00B712A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12A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www.pearsoned.com/permissions/"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3</Pages>
  <Words>555</Words>
  <Characters>3169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Anitha Vijayakumar</cp:lastModifiedBy>
  <cp:revision>40</cp:revision>
  <cp:lastPrinted>2021-10-08T09:02:00Z</cp:lastPrinted>
  <dcterms:created xsi:type="dcterms:W3CDTF">2020-12-22T23:36:00Z</dcterms:created>
  <dcterms:modified xsi:type="dcterms:W3CDTF">2021-10-08T10:20:00Z</dcterms:modified>
</cp:coreProperties>
</file>