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4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8829"/>
        <w:gridCol w:w="1113"/>
      </w:tblGrid>
      <w:tr w:rsidR="00F77D67" w:rsidRPr="006A6C31" w14:paraId="4AF02019" w14:textId="77777777" w:rsidTr="00F7690C">
        <w:trPr>
          <w:trHeight w:val="1152"/>
          <w:jc w:val="center"/>
        </w:trPr>
        <w:tc>
          <w:tcPr>
            <w:tcW w:w="9942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998ACB5" w14:textId="77777777" w:rsidR="00F77D67" w:rsidRPr="006A6C31" w:rsidRDefault="00F77D67" w:rsidP="00F7690C">
            <w:pPr>
              <w:keepNext/>
              <w:keepLines/>
              <w:spacing w:before="360" w:after="80" w:line="240" w:lineRule="auto"/>
              <w:jc w:val="center"/>
              <w:outlineLvl w:val="0"/>
              <w:rPr>
                <w:rFonts w:ascii="Tahoma" w:eastAsiaTheme="majorEastAsia" w:hAnsi="Tahoma" w:cs="Tahoma"/>
                <w:kern w:val="0"/>
                <w:sz w:val="32"/>
                <w:szCs w:val="32"/>
                <w:lang w:val="en-CA"/>
                <w14:ligatures w14:val="none"/>
              </w:rPr>
            </w:pPr>
            <w:r w:rsidRPr="006A6C31">
              <w:rPr>
                <w:rFonts w:ascii="Tahoma" w:eastAsiaTheme="majorEastAsia" w:hAnsi="Tahoma" w:cs="Tahoma"/>
                <w:kern w:val="0"/>
                <w:sz w:val="32"/>
                <w:szCs w:val="32"/>
                <w:lang w:val="en-CA"/>
                <w14:ligatures w14:val="none"/>
              </w:rPr>
              <w:t>ECON311</w:t>
            </w:r>
          </w:p>
          <w:p w14:paraId="512671FF" w14:textId="77777777" w:rsidR="00F77D67" w:rsidRPr="006A6C31" w:rsidRDefault="00F77D67" w:rsidP="00F7690C">
            <w:pPr>
              <w:spacing w:before="120" w:after="0" w:line="240" w:lineRule="auto"/>
              <w:jc w:val="center"/>
              <w:rPr>
                <w:rFonts w:ascii="Tahoma" w:eastAsia="Times New Roman" w:hAnsi="Tahoma" w:cs="Tahoma"/>
                <w:b/>
                <w:kern w:val="0"/>
                <w:sz w:val="32"/>
                <w:szCs w:val="32"/>
                <w:lang w:val="en-CA"/>
                <w14:ligatures w14:val="none"/>
              </w:rPr>
            </w:pPr>
            <w:r w:rsidRPr="006A6C31">
              <w:rPr>
                <w:rFonts w:ascii="Tahoma" w:eastAsia="Times New Roman" w:hAnsi="Tahoma" w:cs="Tahoma"/>
                <w:b/>
                <w:kern w:val="0"/>
                <w:sz w:val="32"/>
                <w:szCs w:val="32"/>
                <w:lang w:val="en-CA"/>
                <w14:ligatures w14:val="none"/>
              </w:rPr>
              <w:t>Critical Review</w:t>
            </w:r>
          </w:p>
        </w:tc>
      </w:tr>
      <w:tr w:rsidR="00F77D67" w:rsidRPr="006A6C31" w14:paraId="65C53DD6" w14:textId="77777777" w:rsidTr="00F7690C">
        <w:trPr>
          <w:trHeight w:val="340"/>
          <w:jc w:val="center"/>
        </w:trPr>
        <w:tc>
          <w:tcPr>
            <w:tcW w:w="9942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90C3E76" w14:textId="7110A25F" w:rsidR="00F77D67" w:rsidRPr="00BE05EB" w:rsidRDefault="00F77D67" w:rsidP="00F7690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lang w:val="en-CA"/>
                <w14:ligatures w14:val="none"/>
              </w:rPr>
            </w:pP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 xml:space="preserve">Name: </w:t>
            </w:r>
            <w:r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Joel Koerner</w:t>
            </w:r>
          </w:p>
        </w:tc>
      </w:tr>
      <w:tr w:rsidR="00F77D67" w:rsidRPr="006A6C31" w14:paraId="2E75E737" w14:textId="77777777" w:rsidTr="00F7690C">
        <w:trPr>
          <w:trHeight w:val="340"/>
          <w:jc w:val="center"/>
        </w:trPr>
        <w:tc>
          <w:tcPr>
            <w:tcW w:w="9942" w:type="dxa"/>
            <w:gridSpan w:val="2"/>
            <w:tcBorders>
              <w:top w:val="single" w:sz="6" w:space="0" w:color="auto"/>
              <w:bottom w:val="nil"/>
            </w:tcBorders>
            <w:vAlign w:val="center"/>
          </w:tcPr>
          <w:p w14:paraId="5AE21614" w14:textId="77777777" w:rsidR="00F77D67" w:rsidRPr="006A6C31" w:rsidRDefault="00F77D67" w:rsidP="00F769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 xml:space="preserve">Topic: </w:t>
            </w:r>
            <w:r w:rsidRPr="006A6C31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Review of “The COVID crisis and productivity growth”</w:t>
            </w:r>
          </w:p>
        </w:tc>
      </w:tr>
      <w:tr w:rsidR="00F77D67" w:rsidRPr="006A6C31" w14:paraId="22DFE2B9" w14:textId="77777777" w:rsidTr="00F7690C">
        <w:trPr>
          <w:trHeight w:val="340"/>
          <w:jc w:val="center"/>
        </w:trPr>
        <w:tc>
          <w:tcPr>
            <w:tcW w:w="8829" w:type="dxa"/>
            <w:tcBorders>
              <w:top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33FCAC" w14:textId="77777777" w:rsidR="00F77D67" w:rsidRPr="00B731E7" w:rsidRDefault="00F77D67" w:rsidP="00F769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</w:pPr>
            <w:r w:rsidRPr="00B731E7"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  <w:t>Introduction:</w:t>
            </w:r>
          </w:p>
        </w:tc>
        <w:tc>
          <w:tcPr>
            <w:tcW w:w="11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1714E90" w14:textId="440CD352" w:rsidR="00F77D67" w:rsidRPr="006A6C31" w:rsidRDefault="00F27FBA" w:rsidP="00F7690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3.5</w:t>
            </w:r>
            <w:r w:rsidR="00F77D67"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/5</w:t>
            </w:r>
          </w:p>
        </w:tc>
      </w:tr>
      <w:tr w:rsidR="00F77D67" w:rsidRPr="006A6C31" w14:paraId="47AAFDC2" w14:textId="77777777" w:rsidTr="00F7690C">
        <w:trPr>
          <w:trHeight w:val="834"/>
          <w:jc w:val="center"/>
        </w:trPr>
        <w:tc>
          <w:tcPr>
            <w:tcW w:w="9942" w:type="dxa"/>
            <w:gridSpan w:val="2"/>
            <w:tcBorders>
              <w:top w:val="dotted" w:sz="4" w:space="0" w:color="auto"/>
              <w:bottom w:val="nil"/>
            </w:tcBorders>
          </w:tcPr>
          <w:p w14:paraId="0209A927" w14:textId="1D86821E" w:rsidR="00F77D67" w:rsidRPr="00B731E7" w:rsidRDefault="006F2952" w:rsidP="00F77D6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  <w:r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The </w:t>
            </w:r>
            <w:r w:rsidR="00CA70CB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overview of the article presented in the introduction is incomplete. The goal of the article is to use a growth accounting framework to discuss the </w:t>
            </w:r>
            <w:r w:rsidR="00F27FBA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potential long-run effects of the pandemic on measured productivity. </w:t>
            </w:r>
          </w:p>
        </w:tc>
      </w:tr>
      <w:tr w:rsidR="00F77D67" w:rsidRPr="006A6C31" w14:paraId="2121229B" w14:textId="77777777" w:rsidTr="00F7690C">
        <w:trPr>
          <w:trHeight w:val="340"/>
          <w:jc w:val="center"/>
        </w:trPr>
        <w:tc>
          <w:tcPr>
            <w:tcW w:w="8829" w:type="dxa"/>
            <w:tcBorders>
              <w:top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5D5C4FD" w14:textId="77777777" w:rsidR="00F77D67" w:rsidRPr="00B731E7" w:rsidRDefault="00F77D67" w:rsidP="00F769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</w:pPr>
            <w:r w:rsidRPr="00B731E7"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  <w:t>Critical Economic Analysis:</w:t>
            </w:r>
          </w:p>
        </w:tc>
        <w:tc>
          <w:tcPr>
            <w:tcW w:w="11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4F2C94A" w14:textId="3940599D" w:rsidR="00F77D67" w:rsidRPr="006A6C31" w:rsidRDefault="00DF6D41" w:rsidP="00F7690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2</w:t>
            </w:r>
            <w:r w:rsidR="0081665D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6</w:t>
            </w:r>
            <w:r w:rsidR="00F77D67"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/30</w:t>
            </w:r>
          </w:p>
        </w:tc>
      </w:tr>
      <w:tr w:rsidR="00F77D67" w:rsidRPr="006A6C31" w14:paraId="7EE77084" w14:textId="77777777" w:rsidTr="00F7690C">
        <w:trPr>
          <w:trHeight w:val="1401"/>
          <w:jc w:val="center"/>
        </w:trPr>
        <w:tc>
          <w:tcPr>
            <w:tcW w:w="9942" w:type="dxa"/>
            <w:gridSpan w:val="2"/>
            <w:tcBorders>
              <w:top w:val="nil"/>
              <w:bottom w:val="single" w:sz="12" w:space="0" w:color="auto"/>
            </w:tcBorders>
          </w:tcPr>
          <w:p w14:paraId="0F395E91" w14:textId="753022A4" w:rsidR="00F77D67" w:rsidRPr="00B731E7" w:rsidRDefault="00F77D67" w:rsidP="00F77D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  <w:r w:rsidRPr="00B731E7">
              <w:rPr>
                <w:rFonts w:ascii="Times New Roman" w:hAnsi="Times New Roman" w:cs="Times New Roman"/>
                <w:b/>
                <w:bCs/>
                <w:u w:val="single"/>
                <w:lang w:val="en-CA"/>
              </w:rPr>
              <w:t>Labour:</w:t>
            </w:r>
            <w:r w:rsidR="00C57C8E" w:rsidRPr="00B731E7">
              <w:rPr>
                <w:rFonts w:ascii="Times New Roman" w:hAnsi="Times New Roman" w:cs="Times New Roman"/>
                <w:lang w:val="en-CA"/>
              </w:rPr>
              <w:t xml:space="preserve"> Thi</w:t>
            </w:r>
            <w:r w:rsidR="00B731E7" w:rsidRPr="00B731E7">
              <w:rPr>
                <w:rFonts w:ascii="Times New Roman" w:hAnsi="Times New Roman" w:cs="Times New Roman"/>
                <w:lang w:val="en-CA"/>
              </w:rPr>
              <w:t>s topic was not discussed in your critical review</w:t>
            </w:r>
          </w:p>
          <w:p w14:paraId="26ED9461" w14:textId="4070AC6D" w:rsidR="00F77D67" w:rsidRPr="00B731E7" w:rsidRDefault="00F77D67" w:rsidP="00F77D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</w:pPr>
            <w:r w:rsidRPr="00B731E7">
              <w:rPr>
                <w:rFonts w:ascii="Times New Roman" w:hAnsi="Times New Roman" w:cs="Times New Roman"/>
                <w:b/>
                <w:u w:val="single"/>
                <w:lang w:val="en-CA"/>
              </w:rPr>
              <w:t>Capital:</w:t>
            </w:r>
            <w:r w:rsidR="00B731E7" w:rsidRPr="00B731E7">
              <w:rPr>
                <w:rFonts w:ascii="Times New Roman" w:hAnsi="Times New Roman" w:cs="Times New Roman"/>
                <w:bCs/>
                <w:lang w:val="en-CA"/>
              </w:rPr>
              <w:t xml:space="preserve"> </w:t>
            </w:r>
            <w:r w:rsidR="00B731E7" w:rsidRPr="00B731E7">
              <w:rPr>
                <w:rFonts w:ascii="Times New Roman" w:hAnsi="Times New Roman" w:cs="Times New Roman"/>
                <w:lang w:val="en-CA"/>
              </w:rPr>
              <w:t>This topic was not discussed in your critical review</w:t>
            </w:r>
          </w:p>
          <w:p w14:paraId="03620D75" w14:textId="77777777" w:rsidR="00F77D67" w:rsidRPr="00B731E7" w:rsidRDefault="00F77D67" w:rsidP="00F77D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CA"/>
                <w14:ligatures w14:val="none"/>
              </w:rPr>
            </w:pPr>
            <w:r w:rsidRPr="00B731E7">
              <w:rPr>
                <w:rFonts w:ascii="Times New Roman" w:eastAsia="Times New Roman" w:hAnsi="Times New Roman" w:cs="Times New Roman"/>
                <w:b/>
                <w:bCs/>
                <w:kern w:val="0"/>
                <w:lang w:val="en-CA"/>
                <w14:ligatures w14:val="none"/>
              </w:rPr>
              <w:t xml:space="preserve">TFP: </w:t>
            </w:r>
          </w:p>
          <w:p w14:paraId="577CF5F2" w14:textId="77777777" w:rsidR="00E93821" w:rsidRPr="00B731E7" w:rsidRDefault="00F77D67" w:rsidP="00E93821">
            <w:pPr>
              <w:pStyle w:val="ListParagraph"/>
              <w:numPr>
                <w:ilvl w:val="2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</w:pPr>
            <w:r w:rsidRPr="00B731E7"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  <w:t>Within-Firm:</w:t>
            </w:r>
            <w:r w:rsidR="00713487" w:rsidRPr="00B731E7"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  <w:t xml:space="preserve"> </w:t>
            </w:r>
            <w:r w:rsidR="00585556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You discussion of within-firm productivity growth is well done. </w:t>
            </w:r>
            <w:r w:rsidR="00E93821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Your citation, which </w:t>
            </w:r>
          </w:p>
          <w:p w14:paraId="63AAE82A" w14:textId="1BE82D51" w:rsidR="00F77D67" w:rsidRPr="00B731E7" w:rsidRDefault="00E93821" w:rsidP="00E93821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</w:pPr>
            <w:r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directly updates the prediction </w:t>
            </w:r>
            <w:r w:rsidR="00F8662A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of the article regarding firms receiving support to maintain the workforce during the pandemic</w:t>
            </w:r>
            <w:r w:rsidR="005B7A6A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, adds </w:t>
            </w:r>
            <w:r w:rsidR="00C22524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a lot of value to your </w:t>
            </w:r>
            <w:r w:rsidR="00530F06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review</w:t>
            </w:r>
            <w:r w:rsidR="00C22524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. </w:t>
            </w:r>
            <w:r w:rsidR="00513E35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A</w:t>
            </w:r>
            <w:r w:rsidR="00BB11DF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topic in the article</w:t>
            </w:r>
            <w:r w:rsidR="00513E35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that you </w:t>
            </w:r>
            <w:r w:rsidR="00BA569C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are interpreting incorrectly </w:t>
            </w:r>
            <w:r w:rsidR="0026215C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is</w:t>
            </w:r>
            <w:r w:rsidR="00530F06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</w:t>
            </w:r>
            <w:r w:rsidR="0026215C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the source of intangible inputs loss. </w:t>
            </w:r>
            <w:r w:rsidR="00925441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In the article, the authors do not consider hiring costs an issue for long-term </w:t>
            </w:r>
            <w:r w:rsidR="00635A58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growth, but the fact that losing workers with lots of firm-specific knowledge results in a loss of intangible assets. Therefore, rehiring the old workers to perform the same task will not lead to a loss of intangible assets. </w:t>
            </w:r>
            <w:r w:rsidR="00677DF4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Your discussion of knowledge capital is not clear</w:t>
            </w:r>
            <w:r w:rsidR="00250B07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. On the other hand, your discussion of onshoring and </w:t>
            </w:r>
            <w:r w:rsidR="003F2A36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deglobalization</w:t>
            </w:r>
            <w:r w:rsidR="00250B07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in the context of </w:t>
            </w:r>
            <w:r w:rsidR="003F2A36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within-firm productivity is very good.</w:t>
            </w:r>
          </w:p>
          <w:p w14:paraId="57666869" w14:textId="77777777" w:rsidR="009602E9" w:rsidRPr="00B731E7" w:rsidRDefault="00F77D67" w:rsidP="00F77D67">
            <w:pPr>
              <w:pStyle w:val="ListParagraph"/>
              <w:numPr>
                <w:ilvl w:val="2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</w:pPr>
            <w:r w:rsidRPr="00B731E7"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  <w:t>Across-Firm:</w:t>
            </w:r>
            <w:r w:rsidR="003F2A36" w:rsidRPr="00B731E7"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  <w:t xml:space="preserve"> </w:t>
            </w:r>
            <w:r w:rsidR="00ED79A9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Both,</w:t>
            </w:r>
            <w:r w:rsidR="009602E9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your discussions of zombie firms and financial constraints are clear. Again, I </w:t>
            </w:r>
          </w:p>
          <w:p w14:paraId="2E9988F9" w14:textId="7AFB643D" w:rsidR="00F77D67" w:rsidRPr="00B731E7" w:rsidRDefault="00590004" w:rsidP="009602E9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t</w:t>
            </w:r>
            <w:r w:rsidR="009602E9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hink</w:t>
            </w:r>
            <w:r w:rsidR="00B731E7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that</w:t>
            </w:r>
            <w:r w:rsidR="009602E9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your discussion of the authors</w:t>
            </w:r>
            <w:r w:rsidR="009C4BA9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’</w:t>
            </w:r>
            <w:r w:rsidR="009602E9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prediction </w:t>
            </w:r>
            <w:r w:rsidR="003F6CCE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citing updated</w:t>
            </w:r>
            <w:r w:rsidR="006F7E66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evidence </w:t>
            </w:r>
            <w:r w:rsidR="006B0B1A" w:rsidRPr="006B0B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strengthens</w:t>
            </w:r>
            <w:r w:rsidR="009C4BA9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your review. On the other hand, </w:t>
            </w:r>
            <w:r w:rsidR="00F65381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your discussion of firm selection is not clear</w:t>
            </w:r>
            <w:r w:rsidR="009C4BA9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</w:t>
            </w:r>
            <w:r w:rsidR="009602E9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</w:t>
            </w:r>
            <w:r w:rsidR="00677DF4" w:rsidRPr="00B731E7"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  <w:t xml:space="preserve"> </w:t>
            </w:r>
          </w:p>
          <w:p w14:paraId="79D2BF54" w14:textId="77777777" w:rsidR="00C57C8E" w:rsidRPr="00B731E7" w:rsidRDefault="00F77D67" w:rsidP="00C57C8E">
            <w:pPr>
              <w:pStyle w:val="ListParagraph"/>
              <w:numPr>
                <w:ilvl w:val="2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</w:pPr>
            <w:r w:rsidRPr="00B731E7"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  <w:t>Across-Sectors:</w:t>
            </w:r>
            <w:r w:rsidR="001B472C" w:rsidRPr="00B731E7"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  <w:t xml:space="preserve"> </w:t>
            </w:r>
            <w:r w:rsidR="001B472C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Your discussion of the impact of across sector reallocation </w:t>
            </w:r>
            <w:r w:rsidR="0029501C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does not </w:t>
            </w:r>
            <w:r w:rsidR="007E45E7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explain the </w:t>
            </w:r>
          </w:p>
          <w:p w14:paraId="532879A5" w14:textId="236D0BE3" w:rsidR="00F77D67" w:rsidRPr="00B731E7" w:rsidRDefault="00C57C8E" w:rsidP="00C57C8E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</w:pPr>
            <w:r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connection between this channel and the effect of Covid on long-run productivity. Is Health Care a more productivity sector than Tourism? Is this shift permanent</w:t>
            </w:r>
            <w:r w:rsidR="000D245F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</w:t>
            </w:r>
            <w:r w:rsidR="0029501C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</w:t>
            </w:r>
            <w:r w:rsidR="001B472C" w:rsidRPr="00B731E7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</w:t>
            </w:r>
          </w:p>
          <w:p w14:paraId="52CF89D4" w14:textId="77777777" w:rsidR="00F77D67" w:rsidRPr="00B731E7" w:rsidRDefault="00F77D67" w:rsidP="00F769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</w:p>
        </w:tc>
      </w:tr>
      <w:tr w:rsidR="00F77D67" w:rsidRPr="006A6C31" w14:paraId="559A1904" w14:textId="77777777" w:rsidTr="00F7690C">
        <w:trPr>
          <w:trHeight w:val="340"/>
          <w:jc w:val="center"/>
        </w:trPr>
        <w:tc>
          <w:tcPr>
            <w:tcW w:w="8829" w:type="dxa"/>
            <w:tcBorders>
              <w:top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FD46461" w14:textId="77777777" w:rsidR="00F77D67" w:rsidRPr="006A6C31" w:rsidRDefault="00F77D67" w:rsidP="00F7690C">
            <w:pPr>
              <w:spacing w:after="0" w:line="240" w:lineRule="auto"/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</w:pP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Exposition:</w:t>
            </w:r>
          </w:p>
        </w:tc>
        <w:tc>
          <w:tcPr>
            <w:tcW w:w="11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21B8A6B" w14:textId="6DA115FE" w:rsidR="00F77D67" w:rsidRPr="006A6C31" w:rsidRDefault="00BB11DF" w:rsidP="00F7690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8.5</w:t>
            </w:r>
            <w:r w:rsidR="00F77D67"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/10</w:t>
            </w:r>
          </w:p>
        </w:tc>
      </w:tr>
      <w:tr w:rsidR="00F77D67" w:rsidRPr="006A6C31" w14:paraId="0F90B625" w14:textId="77777777" w:rsidTr="00F7690C">
        <w:trPr>
          <w:trHeight w:val="283"/>
          <w:jc w:val="center"/>
        </w:trPr>
        <w:tc>
          <w:tcPr>
            <w:tcW w:w="9942" w:type="dxa"/>
            <w:gridSpan w:val="2"/>
            <w:tcBorders>
              <w:top w:val="nil"/>
            </w:tcBorders>
          </w:tcPr>
          <w:p w14:paraId="4A9BB127" w14:textId="77777777" w:rsidR="00F77D67" w:rsidRDefault="006123E6" w:rsidP="00F77D67">
            <w:pPr>
              <w:pStyle w:val="ListParagraph"/>
              <w:numPr>
                <w:ilvl w:val="0"/>
                <w:numId w:val="2"/>
              </w:numPr>
              <w:spacing w:after="20" w:line="240" w:lineRule="auto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The critical review is properly organized and for the most part well written.</w:t>
            </w:r>
          </w:p>
          <w:p w14:paraId="13BE88BF" w14:textId="07A30579" w:rsidR="006123E6" w:rsidRPr="004D208F" w:rsidRDefault="006123E6" w:rsidP="00F77D67">
            <w:pPr>
              <w:pStyle w:val="ListParagraph"/>
              <w:numPr>
                <w:ilvl w:val="0"/>
                <w:numId w:val="2"/>
              </w:numPr>
              <w:spacing w:after="20" w:line="240" w:lineRule="auto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There are paragraphs that could have benefited from another round of editing.</w:t>
            </w:r>
          </w:p>
        </w:tc>
      </w:tr>
      <w:tr w:rsidR="00F77D67" w:rsidRPr="006A6C31" w14:paraId="465CCD24" w14:textId="77777777" w:rsidTr="00F7690C">
        <w:trPr>
          <w:trHeight w:val="340"/>
          <w:jc w:val="center"/>
        </w:trPr>
        <w:tc>
          <w:tcPr>
            <w:tcW w:w="8829" w:type="dxa"/>
            <w:tcBorders>
              <w:top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DA86A1B" w14:textId="77777777" w:rsidR="00F77D67" w:rsidRPr="006A6C31" w:rsidRDefault="00F77D67" w:rsidP="00F7690C">
            <w:pPr>
              <w:spacing w:after="0" w:line="240" w:lineRule="auto"/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</w:pP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Conclusion:</w:t>
            </w:r>
          </w:p>
        </w:tc>
        <w:tc>
          <w:tcPr>
            <w:tcW w:w="11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0FB5E49" w14:textId="4F0343A0" w:rsidR="00F77D67" w:rsidRPr="006A6C31" w:rsidRDefault="00A13E21" w:rsidP="00F7690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3.5</w:t>
            </w:r>
            <w:r w:rsidR="00F77D67"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/5</w:t>
            </w:r>
          </w:p>
        </w:tc>
      </w:tr>
      <w:tr w:rsidR="00F77D67" w:rsidRPr="006A6C31" w14:paraId="5D9ED3F6" w14:textId="77777777" w:rsidTr="00F7690C">
        <w:trPr>
          <w:trHeight w:val="393"/>
          <w:jc w:val="center"/>
        </w:trPr>
        <w:tc>
          <w:tcPr>
            <w:tcW w:w="9942" w:type="dxa"/>
            <w:gridSpan w:val="2"/>
            <w:tcBorders>
              <w:top w:val="nil"/>
              <w:bottom w:val="single" w:sz="12" w:space="0" w:color="auto"/>
            </w:tcBorders>
          </w:tcPr>
          <w:p w14:paraId="7136C7E0" w14:textId="2206C35C" w:rsidR="00F77D67" w:rsidRPr="004D208F" w:rsidRDefault="007541AD" w:rsidP="00F77D67">
            <w:pPr>
              <w:pStyle w:val="ListParagraph"/>
              <w:numPr>
                <w:ilvl w:val="0"/>
                <w:numId w:val="3"/>
              </w:numPr>
              <w:spacing w:after="20" w:line="240" w:lineRule="auto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Your conclusion is incomplete and does not properly summarize your discussion. Also,</w:t>
            </w:r>
            <w:r w:rsidR="0070789B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you introduce the topic of </w:t>
            </w:r>
            <w:r w:rsidR="00262A96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selection on firm </w:t>
            </w:r>
            <w:r w:rsidR="006123E6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size,</w:t>
            </w:r>
            <w:r w:rsidR="00262A96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which is neither discussed in the main analysis section, </w:t>
            </w:r>
            <w:r w:rsidR="00BB11DF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nor</w:t>
            </w:r>
            <w:r w:rsidR="00262A96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properly explained in the conclusion </w:t>
            </w:r>
            <w:r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</w:t>
            </w:r>
          </w:p>
        </w:tc>
      </w:tr>
      <w:tr w:rsidR="00F77D67" w:rsidRPr="006A6C31" w14:paraId="0D336FA7" w14:textId="77777777" w:rsidTr="00F7690C">
        <w:trPr>
          <w:trHeight w:val="340"/>
          <w:jc w:val="center"/>
        </w:trPr>
        <w:tc>
          <w:tcPr>
            <w:tcW w:w="9942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1365A50" w14:textId="483D7441" w:rsidR="00F77D67" w:rsidRPr="006A6C31" w:rsidRDefault="00F77D67" w:rsidP="00F769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</w:pP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 xml:space="preserve">Grade: </w:t>
            </w:r>
            <w:r w:rsidRPr="006A6C31"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  <w:t xml:space="preserve"> </w:t>
            </w:r>
            <w:r w:rsidR="00411FF2" w:rsidRPr="00411FF2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4</w:t>
            </w:r>
            <w:r w:rsidR="0034312C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1</w:t>
            </w:r>
            <w:r w:rsidR="001F407A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.5</w:t>
            </w:r>
            <w:r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/</w:t>
            </w: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 xml:space="preserve">50 = </w:t>
            </w:r>
            <w:r w:rsidR="00411FF2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8</w:t>
            </w:r>
            <w:r w:rsidR="001F407A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3</w:t>
            </w: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%</w:t>
            </w:r>
          </w:p>
        </w:tc>
      </w:tr>
    </w:tbl>
    <w:p w14:paraId="0B7D1EBA" w14:textId="77777777" w:rsidR="007515CD" w:rsidRDefault="007515CD"/>
    <w:sectPr w:rsidR="007515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A107D"/>
    <w:multiLevelType w:val="hybridMultilevel"/>
    <w:tmpl w:val="9286C8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02E54A0"/>
    <w:multiLevelType w:val="hybridMultilevel"/>
    <w:tmpl w:val="7E12EC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6965DF2"/>
    <w:multiLevelType w:val="multilevel"/>
    <w:tmpl w:val="B750FA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0" w:firstLine="360"/>
      </w:pPr>
      <w:rPr>
        <w:rFonts w:ascii="Wingdings" w:hAnsi="Wingdings" w:hint="default"/>
      </w:rPr>
    </w:lvl>
    <w:lvl w:ilvl="3">
      <w:start w:val="1"/>
      <w:numFmt w:val="upperRoman"/>
      <w:lvlText w:val="%4."/>
      <w:lvlJc w:val="right"/>
      <w:pPr>
        <w:ind w:left="99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01C2C24"/>
    <w:multiLevelType w:val="hybridMultilevel"/>
    <w:tmpl w:val="4CF0E8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86533743">
    <w:abstractNumId w:val="1"/>
  </w:num>
  <w:num w:numId="2" w16cid:durableId="1670789479">
    <w:abstractNumId w:val="2"/>
  </w:num>
  <w:num w:numId="3" w16cid:durableId="708068145">
    <w:abstractNumId w:val="3"/>
  </w:num>
  <w:num w:numId="4" w16cid:durableId="423647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D67"/>
    <w:rsid w:val="00067B1E"/>
    <w:rsid w:val="000D245F"/>
    <w:rsid w:val="0012139D"/>
    <w:rsid w:val="001B472C"/>
    <w:rsid w:val="001F407A"/>
    <w:rsid w:val="00250B07"/>
    <w:rsid w:val="0026215C"/>
    <w:rsid w:val="00262A96"/>
    <w:rsid w:val="0029501C"/>
    <w:rsid w:val="0034312C"/>
    <w:rsid w:val="003F2A36"/>
    <w:rsid w:val="003F6CCE"/>
    <w:rsid w:val="00411FF2"/>
    <w:rsid w:val="00513E35"/>
    <w:rsid w:val="00530F06"/>
    <w:rsid w:val="00585556"/>
    <w:rsid w:val="00590004"/>
    <w:rsid w:val="005B7A6A"/>
    <w:rsid w:val="006123E6"/>
    <w:rsid w:val="00635A58"/>
    <w:rsid w:val="00677DF4"/>
    <w:rsid w:val="006B0B1A"/>
    <w:rsid w:val="006F2952"/>
    <w:rsid w:val="006F7E66"/>
    <w:rsid w:val="0070789B"/>
    <w:rsid w:val="00713487"/>
    <w:rsid w:val="007515CD"/>
    <w:rsid w:val="007541AD"/>
    <w:rsid w:val="007E45E7"/>
    <w:rsid w:val="00804AE3"/>
    <w:rsid w:val="0081665D"/>
    <w:rsid w:val="008F0B33"/>
    <w:rsid w:val="00925441"/>
    <w:rsid w:val="009602E9"/>
    <w:rsid w:val="009C4BA9"/>
    <w:rsid w:val="00A13E21"/>
    <w:rsid w:val="00A23980"/>
    <w:rsid w:val="00B731E7"/>
    <w:rsid w:val="00B9706D"/>
    <w:rsid w:val="00BA569C"/>
    <w:rsid w:val="00BB11DF"/>
    <w:rsid w:val="00C22524"/>
    <w:rsid w:val="00C57C8E"/>
    <w:rsid w:val="00CA70CB"/>
    <w:rsid w:val="00DF6D41"/>
    <w:rsid w:val="00E93821"/>
    <w:rsid w:val="00EB5A8D"/>
    <w:rsid w:val="00ED79A9"/>
    <w:rsid w:val="00F27FBA"/>
    <w:rsid w:val="00F65381"/>
    <w:rsid w:val="00F77D67"/>
    <w:rsid w:val="00F8662A"/>
    <w:rsid w:val="00FF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E1FB1"/>
  <w15:chartTrackingRefBased/>
  <w15:docId w15:val="{8994A23D-1787-4615-AA83-841C6AA91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D67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7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Freylejer</dc:creator>
  <cp:keywords/>
  <dc:description/>
  <cp:lastModifiedBy>Leandro Freylejer</cp:lastModifiedBy>
  <cp:revision>51</cp:revision>
  <dcterms:created xsi:type="dcterms:W3CDTF">2026-04-21T19:41:00Z</dcterms:created>
  <dcterms:modified xsi:type="dcterms:W3CDTF">2026-04-22T06:25:00Z</dcterms:modified>
</cp:coreProperties>
</file>