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A653C" w14:textId="77777777" w:rsidR="008B5A2B" w:rsidRPr="008B5A2B" w:rsidRDefault="008B5A2B" w:rsidP="008B5A2B">
      <w:pPr>
        <w:rPr>
          <w:b/>
          <w:bCs/>
        </w:rPr>
      </w:pPr>
      <w:r w:rsidRPr="008B5A2B">
        <w:rPr>
          <w:b/>
          <w:bCs/>
        </w:rPr>
        <w:t>Lecture Title:</w:t>
      </w:r>
    </w:p>
    <w:p w14:paraId="2CEA86B0" w14:textId="77777777" w:rsidR="008B5A2B" w:rsidRPr="008B5A2B" w:rsidRDefault="008B5A2B" w:rsidP="008B5A2B">
      <w:r w:rsidRPr="008B5A2B">
        <w:rPr>
          <w:b/>
          <w:bCs/>
        </w:rPr>
        <w:t>The Economics of Climate Change and Sustainability: Theory and Practice in Canada</w:t>
      </w:r>
    </w:p>
    <w:p w14:paraId="3C3DEA40" w14:textId="77777777" w:rsidR="008B5A2B" w:rsidRPr="008B5A2B" w:rsidRDefault="003F2B7C" w:rsidP="008B5A2B">
      <w:r>
        <w:rPr>
          <w:noProof/>
        </w:rPr>
        <w:pict w14:anchorId="72381E38">
          <v:rect id="_x0000_i1033" alt="" style="width:468pt;height:.05pt;mso-width-percent:0;mso-height-percent:0;mso-width-percent:0;mso-height-percent:0" o:hralign="center" o:hrstd="t" o:hr="t" fillcolor="#a0a0a0" stroked="f"/>
        </w:pict>
      </w:r>
    </w:p>
    <w:p w14:paraId="2E506AB3" w14:textId="77777777" w:rsidR="008B5A2B" w:rsidRPr="008B5A2B" w:rsidRDefault="008B5A2B" w:rsidP="008B5A2B">
      <w:pPr>
        <w:rPr>
          <w:b/>
          <w:bCs/>
        </w:rPr>
      </w:pPr>
      <w:r w:rsidRPr="008B5A2B">
        <w:rPr>
          <w:b/>
          <w:bCs/>
        </w:rPr>
        <w:t>Introduction (10 minutes)</w:t>
      </w:r>
    </w:p>
    <w:p w14:paraId="5E1A1983" w14:textId="77777777" w:rsidR="008B5A2B" w:rsidRPr="008B5A2B" w:rsidRDefault="008B5A2B" w:rsidP="008B5A2B">
      <w:r w:rsidRPr="008B5A2B">
        <w:rPr>
          <w:b/>
          <w:bCs/>
        </w:rPr>
        <w:t>Climate Change and Economics: An Overview</w:t>
      </w:r>
      <w:r w:rsidRPr="008B5A2B">
        <w:br/>
        <w:t>Climate change can be understood through key economic concepts such as externalities, public goods, and market failure. These concepts explain why climate change presents a challenge for both governments and markets.</w:t>
      </w:r>
    </w:p>
    <w:p w14:paraId="2A51912E" w14:textId="77777777" w:rsidR="008B5A2B" w:rsidRPr="008B5A2B" w:rsidRDefault="008B5A2B" w:rsidP="008B5A2B">
      <w:r w:rsidRPr="008B5A2B">
        <w:rPr>
          <w:b/>
          <w:bCs/>
        </w:rPr>
        <w:t>Canada’s Climate Challenge</w:t>
      </w:r>
      <w:r w:rsidRPr="008B5A2B">
        <w:br/>
        <w:t>As a resource-rich nation with an economy linked to natural resources, Canada faces unique economic and environmental challenges. Rising temperatures, economic reliance on carbon-intensive industries, and the costs of climate adaptation are central issues.</w:t>
      </w:r>
    </w:p>
    <w:p w14:paraId="163B5C58" w14:textId="77777777" w:rsidR="008B5A2B" w:rsidRPr="008B5A2B" w:rsidRDefault="008B5A2B" w:rsidP="008B5A2B">
      <w:pPr>
        <w:numPr>
          <w:ilvl w:val="0"/>
          <w:numId w:val="1"/>
        </w:numPr>
      </w:pPr>
      <w:r w:rsidRPr="008B5A2B">
        <w:rPr>
          <w:b/>
          <w:bCs/>
        </w:rPr>
        <w:t>Source:</w:t>
      </w:r>
      <w:r w:rsidRPr="008B5A2B">
        <w:t xml:space="preserve"> Government of Canada (2019), </w:t>
      </w:r>
      <w:r w:rsidRPr="008B5A2B">
        <w:rPr>
          <w:i/>
          <w:iCs/>
        </w:rPr>
        <w:t>Canada's Changing Climate Report</w:t>
      </w:r>
      <w:r w:rsidRPr="008B5A2B">
        <w:t xml:space="preserve">. Available at: </w:t>
      </w:r>
      <w:hyperlink r:id="rId5" w:tgtFrame="_new" w:history="1">
        <w:r w:rsidRPr="008B5A2B">
          <w:rPr>
            <w:rStyle w:val="Hyperlink"/>
          </w:rPr>
          <w:t>Canada.ca</w:t>
        </w:r>
      </w:hyperlink>
    </w:p>
    <w:p w14:paraId="7E524C25" w14:textId="77777777" w:rsidR="008B5A2B" w:rsidRPr="008B5A2B" w:rsidRDefault="003F2B7C" w:rsidP="008B5A2B">
      <w:r>
        <w:rPr>
          <w:noProof/>
        </w:rPr>
        <w:pict w14:anchorId="6DEC35A3">
          <v:rect id="_x0000_i1032" alt="" style="width:468pt;height:.05pt;mso-width-percent:0;mso-height-percent:0;mso-width-percent:0;mso-height-percent:0" o:hralign="center" o:hrstd="t" o:hr="t" fillcolor="#a0a0a0" stroked="f"/>
        </w:pict>
      </w:r>
    </w:p>
    <w:p w14:paraId="36401FC7" w14:textId="77777777" w:rsidR="008B5A2B" w:rsidRPr="008B5A2B" w:rsidRDefault="008B5A2B" w:rsidP="008B5A2B">
      <w:pPr>
        <w:rPr>
          <w:b/>
          <w:bCs/>
        </w:rPr>
      </w:pPr>
      <w:r w:rsidRPr="008B5A2B">
        <w:rPr>
          <w:b/>
          <w:bCs/>
        </w:rPr>
        <w:t>1. The Economics of Climate Change: Theory (20 minutes)</w:t>
      </w:r>
    </w:p>
    <w:p w14:paraId="550FE457" w14:textId="77777777" w:rsidR="008B5A2B" w:rsidRPr="008B5A2B" w:rsidRDefault="008B5A2B" w:rsidP="008B5A2B">
      <w:r w:rsidRPr="008B5A2B">
        <w:rPr>
          <w:b/>
          <w:bCs/>
        </w:rPr>
        <w:t>1.1 Externalities and Market Failures</w:t>
      </w:r>
    </w:p>
    <w:p w14:paraId="5DB7CFA5" w14:textId="77777777" w:rsidR="008B5A2B" w:rsidRPr="008B5A2B" w:rsidRDefault="008B5A2B" w:rsidP="008B5A2B">
      <w:pPr>
        <w:numPr>
          <w:ilvl w:val="0"/>
          <w:numId w:val="2"/>
        </w:numPr>
      </w:pPr>
      <w:r w:rsidRPr="008B5A2B">
        <w:rPr>
          <w:b/>
          <w:bCs/>
        </w:rPr>
        <w:t>Negative Externalities:</w:t>
      </w:r>
      <w:r w:rsidRPr="008B5A2B">
        <w:t xml:space="preserve"> Climate change is a classic negative externality, where the social costs of emissions are not reflected in market prices, leading to overconsumption and environmental degradation.</w:t>
      </w:r>
    </w:p>
    <w:p w14:paraId="6FA5D850" w14:textId="77777777" w:rsidR="008B5A2B" w:rsidRPr="008B5A2B" w:rsidRDefault="008B5A2B" w:rsidP="008B5A2B">
      <w:r w:rsidRPr="008B5A2B">
        <w:rPr>
          <w:b/>
          <w:bCs/>
        </w:rPr>
        <w:t>Canadian Example:</w:t>
      </w:r>
      <w:r w:rsidRPr="008B5A2B">
        <w:t xml:space="preserve"> Canada’s oil sands present a case of over-reliance on carbon-intensive energy, where the social cost of pollution is externalized.</w:t>
      </w:r>
    </w:p>
    <w:p w14:paraId="48685A11" w14:textId="77777777" w:rsidR="008B5A2B" w:rsidRPr="008B5A2B" w:rsidRDefault="008B5A2B" w:rsidP="008B5A2B">
      <w:pPr>
        <w:numPr>
          <w:ilvl w:val="0"/>
          <w:numId w:val="2"/>
        </w:numPr>
      </w:pPr>
      <w:r w:rsidRPr="008B5A2B">
        <w:rPr>
          <w:b/>
          <w:bCs/>
        </w:rPr>
        <w:t>Source:</w:t>
      </w:r>
      <w:r w:rsidRPr="008B5A2B">
        <w:t xml:space="preserve"> Nordhaus, W. (1991), </w:t>
      </w:r>
      <w:r w:rsidRPr="008B5A2B">
        <w:rPr>
          <w:i/>
          <w:iCs/>
        </w:rPr>
        <w:t>To Slow or Not to Slow: The Economics of the Greenhouse Effect</w:t>
      </w:r>
      <w:r w:rsidRPr="008B5A2B">
        <w:t xml:space="preserve">, </w:t>
      </w:r>
      <w:r w:rsidRPr="008B5A2B">
        <w:rPr>
          <w:i/>
          <w:iCs/>
        </w:rPr>
        <w:t>The Economic Journal</w:t>
      </w:r>
      <w:r w:rsidRPr="008B5A2B">
        <w:t>.</w:t>
      </w:r>
    </w:p>
    <w:p w14:paraId="66541251" w14:textId="77777777" w:rsidR="008B5A2B" w:rsidRPr="008B5A2B" w:rsidRDefault="008B5A2B" w:rsidP="008B5A2B">
      <w:r w:rsidRPr="008B5A2B">
        <w:rPr>
          <w:b/>
          <w:bCs/>
        </w:rPr>
        <w:t>1.2 Public Goods and the Free Rider Problem</w:t>
      </w:r>
    </w:p>
    <w:p w14:paraId="424FACF4" w14:textId="77777777" w:rsidR="008B5A2B" w:rsidRPr="008B5A2B" w:rsidRDefault="008B5A2B" w:rsidP="008B5A2B">
      <w:pPr>
        <w:numPr>
          <w:ilvl w:val="0"/>
          <w:numId w:val="3"/>
        </w:numPr>
      </w:pPr>
      <w:r w:rsidRPr="008B5A2B">
        <w:rPr>
          <w:b/>
          <w:bCs/>
        </w:rPr>
        <w:t>Public Goods:</w:t>
      </w:r>
      <w:r w:rsidRPr="008B5A2B">
        <w:t xml:space="preserve"> Clean air and stable climates are public goods, meaning they are non-excludable and non-rivalrous. This leads to the free-rider problem, where countries may not reduce emissions if others do not.</w:t>
      </w:r>
    </w:p>
    <w:p w14:paraId="05AAEC54" w14:textId="77777777" w:rsidR="008B5A2B" w:rsidRPr="008B5A2B" w:rsidRDefault="008B5A2B" w:rsidP="008B5A2B">
      <w:r w:rsidRPr="008B5A2B">
        <w:rPr>
          <w:b/>
          <w:bCs/>
        </w:rPr>
        <w:t>Canadian Context:</w:t>
      </w:r>
      <w:r w:rsidRPr="008B5A2B">
        <w:t xml:space="preserve"> Canada, contributing only 1.5% of global emissions, is susceptible to the global free-rider problem, depending on international cooperation to combat climate change.</w:t>
      </w:r>
    </w:p>
    <w:p w14:paraId="09390446" w14:textId="77777777" w:rsidR="008B5A2B" w:rsidRPr="008B5A2B" w:rsidRDefault="008B5A2B" w:rsidP="008B5A2B">
      <w:pPr>
        <w:numPr>
          <w:ilvl w:val="0"/>
          <w:numId w:val="3"/>
        </w:numPr>
      </w:pPr>
      <w:r w:rsidRPr="008B5A2B">
        <w:rPr>
          <w:b/>
          <w:bCs/>
        </w:rPr>
        <w:t>Source:</w:t>
      </w:r>
      <w:r w:rsidRPr="008B5A2B">
        <w:t xml:space="preserve"> Hardin, G. (1968), </w:t>
      </w:r>
      <w:r w:rsidRPr="008B5A2B">
        <w:rPr>
          <w:i/>
          <w:iCs/>
        </w:rPr>
        <w:t>The Tragedy of the Commons</w:t>
      </w:r>
      <w:r w:rsidRPr="008B5A2B">
        <w:t xml:space="preserve">, </w:t>
      </w:r>
      <w:r w:rsidRPr="008B5A2B">
        <w:rPr>
          <w:i/>
          <w:iCs/>
        </w:rPr>
        <w:t>Science</w:t>
      </w:r>
      <w:r w:rsidRPr="008B5A2B">
        <w:t>.</w:t>
      </w:r>
    </w:p>
    <w:p w14:paraId="6B6595EB" w14:textId="77777777" w:rsidR="008B5A2B" w:rsidRPr="008B5A2B" w:rsidRDefault="008B5A2B" w:rsidP="008B5A2B">
      <w:r w:rsidRPr="008B5A2B">
        <w:rPr>
          <w:b/>
          <w:bCs/>
        </w:rPr>
        <w:t>1.3 The Tragedy of the Commons</w:t>
      </w:r>
    </w:p>
    <w:p w14:paraId="333543D2" w14:textId="77777777" w:rsidR="008B5A2B" w:rsidRPr="008B5A2B" w:rsidRDefault="008B5A2B" w:rsidP="008B5A2B">
      <w:pPr>
        <w:numPr>
          <w:ilvl w:val="0"/>
          <w:numId w:val="4"/>
        </w:numPr>
      </w:pPr>
      <w:r w:rsidRPr="008B5A2B">
        <w:rPr>
          <w:b/>
          <w:bCs/>
        </w:rPr>
        <w:t>Application in Canada:</w:t>
      </w:r>
      <w:r w:rsidRPr="008B5A2B">
        <w:t xml:space="preserve"> In Canada’s Arctic, melting sea ice opens access to natural resources like oil, but exploiting them risks further environmental damage—a classic example of the tragedy of the commons.</w:t>
      </w:r>
    </w:p>
    <w:p w14:paraId="1D77950D" w14:textId="77777777" w:rsidR="008B5A2B" w:rsidRPr="008B5A2B" w:rsidRDefault="008B5A2B" w:rsidP="008B5A2B">
      <w:pPr>
        <w:numPr>
          <w:ilvl w:val="0"/>
          <w:numId w:val="4"/>
        </w:numPr>
      </w:pPr>
      <w:r w:rsidRPr="008B5A2B">
        <w:rPr>
          <w:b/>
          <w:bCs/>
        </w:rPr>
        <w:t>Source:</w:t>
      </w:r>
      <w:r w:rsidRPr="008B5A2B">
        <w:t xml:space="preserve"> Ostrom, E. (1990), </w:t>
      </w:r>
      <w:r w:rsidRPr="008B5A2B">
        <w:rPr>
          <w:i/>
          <w:iCs/>
        </w:rPr>
        <w:t>Governing the Commons</w:t>
      </w:r>
      <w:r w:rsidRPr="008B5A2B">
        <w:t>, Cambridge University Press.</w:t>
      </w:r>
    </w:p>
    <w:p w14:paraId="0F9DCB53" w14:textId="77777777" w:rsidR="008B5A2B" w:rsidRPr="008B5A2B" w:rsidRDefault="003F2B7C" w:rsidP="008B5A2B">
      <w:r>
        <w:rPr>
          <w:noProof/>
        </w:rPr>
        <w:pict w14:anchorId="19D2B29E">
          <v:rect id="_x0000_i1031" alt="" style="width:468pt;height:.05pt;mso-width-percent:0;mso-height-percent:0;mso-width-percent:0;mso-height-percent:0" o:hralign="center" o:hrstd="t" o:hr="t" fillcolor="#a0a0a0" stroked="f"/>
        </w:pict>
      </w:r>
    </w:p>
    <w:p w14:paraId="338DDA16" w14:textId="77777777" w:rsidR="008B5A2B" w:rsidRPr="008B5A2B" w:rsidRDefault="008B5A2B" w:rsidP="008B5A2B">
      <w:pPr>
        <w:rPr>
          <w:b/>
          <w:bCs/>
        </w:rPr>
      </w:pPr>
      <w:r w:rsidRPr="008B5A2B">
        <w:rPr>
          <w:b/>
          <w:bCs/>
        </w:rPr>
        <w:t>2. Economic Costs of Climate Change in Canada (20 minutes)</w:t>
      </w:r>
    </w:p>
    <w:p w14:paraId="63F45AE7" w14:textId="77777777" w:rsidR="008B5A2B" w:rsidRPr="008B5A2B" w:rsidRDefault="008B5A2B" w:rsidP="008B5A2B">
      <w:r w:rsidRPr="008B5A2B">
        <w:rPr>
          <w:b/>
          <w:bCs/>
        </w:rPr>
        <w:t>2.1 Cost-Benefit Analysis of Climate Policy</w:t>
      </w:r>
    </w:p>
    <w:p w14:paraId="305032C0" w14:textId="77777777" w:rsidR="008B5A2B" w:rsidRPr="008B5A2B" w:rsidRDefault="008B5A2B" w:rsidP="008B5A2B">
      <w:pPr>
        <w:numPr>
          <w:ilvl w:val="0"/>
          <w:numId w:val="5"/>
        </w:numPr>
      </w:pPr>
      <w:r w:rsidRPr="008B5A2B">
        <w:rPr>
          <w:b/>
          <w:bCs/>
        </w:rPr>
        <w:t>Cost-Benefit Analysis (CBA):</w:t>
      </w:r>
      <w:r w:rsidRPr="008B5A2B">
        <w:t xml:space="preserve"> Weighs the immediate costs of climate action (e.g., carbon taxes) against long-term benefits (e.g., reduced health costs and avoided environmental damage).</w:t>
      </w:r>
    </w:p>
    <w:p w14:paraId="0FB7B9A2" w14:textId="77777777" w:rsidR="008B5A2B" w:rsidRPr="008B5A2B" w:rsidRDefault="008B5A2B" w:rsidP="008B5A2B">
      <w:r w:rsidRPr="008B5A2B">
        <w:rPr>
          <w:b/>
          <w:bCs/>
        </w:rPr>
        <w:lastRenderedPageBreak/>
        <w:t>Example:</w:t>
      </w:r>
      <w:r w:rsidRPr="008B5A2B">
        <w:t xml:space="preserve"> Canada’s investments in flood defenses in cities like Vancouver are </w:t>
      </w:r>
      <w:proofErr w:type="gramStart"/>
      <w:r w:rsidRPr="008B5A2B">
        <w:t>high-cost</w:t>
      </w:r>
      <w:proofErr w:type="gramEnd"/>
      <w:r w:rsidRPr="008B5A2B">
        <w:t xml:space="preserve"> in the short term but can prevent far greater losses due to rising sea levels and storm surges.</w:t>
      </w:r>
    </w:p>
    <w:p w14:paraId="16593314" w14:textId="77777777" w:rsidR="008B5A2B" w:rsidRPr="008B5A2B" w:rsidRDefault="008B5A2B" w:rsidP="008B5A2B">
      <w:pPr>
        <w:numPr>
          <w:ilvl w:val="0"/>
          <w:numId w:val="5"/>
        </w:numPr>
      </w:pPr>
      <w:r w:rsidRPr="008B5A2B">
        <w:rPr>
          <w:b/>
          <w:bCs/>
        </w:rPr>
        <w:t>Source:</w:t>
      </w:r>
      <w:r w:rsidRPr="008B5A2B">
        <w:t xml:space="preserve"> Stern, N. (2006), </w:t>
      </w:r>
      <w:r w:rsidRPr="008B5A2B">
        <w:rPr>
          <w:i/>
          <w:iCs/>
        </w:rPr>
        <w:t>The Economics of Climate Change: The Stern Review</w:t>
      </w:r>
      <w:r w:rsidRPr="008B5A2B">
        <w:t>, Cambridge University Press.</w:t>
      </w:r>
    </w:p>
    <w:p w14:paraId="770934B8" w14:textId="77777777" w:rsidR="008B5A2B" w:rsidRPr="008B5A2B" w:rsidRDefault="008B5A2B" w:rsidP="008B5A2B">
      <w:r w:rsidRPr="008B5A2B">
        <w:rPr>
          <w:b/>
          <w:bCs/>
        </w:rPr>
        <w:t>2.2 Climate Change as a Supply Shock</w:t>
      </w:r>
    </w:p>
    <w:p w14:paraId="3738685C" w14:textId="77777777" w:rsidR="008B5A2B" w:rsidRPr="008B5A2B" w:rsidRDefault="008B5A2B" w:rsidP="008B5A2B">
      <w:pPr>
        <w:numPr>
          <w:ilvl w:val="0"/>
          <w:numId w:val="6"/>
        </w:numPr>
      </w:pPr>
      <w:r w:rsidRPr="008B5A2B">
        <w:rPr>
          <w:b/>
          <w:bCs/>
        </w:rPr>
        <w:t>Canadian Example:</w:t>
      </w:r>
      <w:r w:rsidRPr="008B5A2B">
        <w:t xml:space="preserve"> Climate-induced droughts and extreme weather disrupt agricultural productivity in the Canadian prairies, representing a supply shock that increases prices and reduces output.</w:t>
      </w:r>
    </w:p>
    <w:p w14:paraId="0A087275" w14:textId="77777777" w:rsidR="008B5A2B" w:rsidRPr="008B5A2B" w:rsidRDefault="008B5A2B" w:rsidP="008B5A2B">
      <w:pPr>
        <w:numPr>
          <w:ilvl w:val="0"/>
          <w:numId w:val="6"/>
        </w:numPr>
      </w:pPr>
      <w:r w:rsidRPr="008B5A2B">
        <w:rPr>
          <w:b/>
          <w:bCs/>
        </w:rPr>
        <w:t>Source:</w:t>
      </w:r>
      <w:r w:rsidRPr="008B5A2B">
        <w:t xml:space="preserve"> IPCC (2014), </w:t>
      </w:r>
      <w:r w:rsidRPr="008B5A2B">
        <w:rPr>
          <w:i/>
          <w:iCs/>
        </w:rPr>
        <w:t>Fifth Assessment Report</w:t>
      </w:r>
      <w:r w:rsidRPr="008B5A2B">
        <w:t>, Intergovernmental Panel on Climate Change.</w:t>
      </w:r>
    </w:p>
    <w:p w14:paraId="011BAE9A" w14:textId="77777777" w:rsidR="008B5A2B" w:rsidRPr="008B5A2B" w:rsidRDefault="008B5A2B" w:rsidP="008B5A2B">
      <w:r w:rsidRPr="008B5A2B">
        <w:rPr>
          <w:b/>
          <w:bCs/>
        </w:rPr>
        <w:t>2.3 Uncertainty and Irreversibility</w:t>
      </w:r>
    </w:p>
    <w:p w14:paraId="1E05F0FC" w14:textId="77777777" w:rsidR="008B5A2B" w:rsidRPr="008B5A2B" w:rsidRDefault="008B5A2B" w:rsidP="008B5A2B">
      <w:pPr>
        <w:numPr>
          <w:ilvl w:val="0"/>
          <w:numId w:val="7"/>
        </w:numPr>
      </w:pPr>
      <w:r w:rsidRPr="008B5A2B">
        <w:rPr>
          <w:b/>
          <w:bCs/>
        </w:rPr>
        <w:t>Canadian Case:</w:t>
      </w:r>
      <w:r w:rsidRPr="008B5A2B">
        <w:t xml:space="preserve"> Melting permafrost in northern Canada presents irreversible consequences, threatening infrastructure in regions that will be prohibitively expensive to repair.</w:t>
      </w:r>
    </w:p>
    <w:p w14:paraId="64FABF60" w14:textId="77777777" w:rsidR="008B5A2B" w:rsidRPr="008B5A2B" w:rsidRDefault="008B5A2B" w:rsidP="008B5A2B">
      <w:pPr>
        <w:numPr>
          <w:ilvl w:val="0"/>
          <w:numId w:val="7"/>
        </w:numPr>
      </w:pPr>
      <w:r w:rsidRPr="008B5A2B">
        <w:rPr>
          <w:b/>
          <w:bCs/>
        </w:rPr>
        <w:t>Source:</w:t>
      </w:r>
      <w:r w:rsidRPr="008B5A2B">
        <w:t xml:space="preserve"> Weitzman, M.L. (2009), </w:t>
      </w:r>
      <w:r w:rsidRPr="008B5A2B">
        <w:rPr>
          <w:i/>
          <w:iCs/>
        </w:rPr>
        <w:t>On Modeling and Interpreting the Economics of Catastrophic Climate Change</w:t>
      </w:r>
      <w:r w:rsidRPr="008B5A2B">
        <w:t xml:space="preserve">, </w:t>
      </w:r>
      <w:r w:rsidRPr="008B5A2B">
        <w:rPr>
          <w:i/>
          <w:iCs/>
        </w:rPr>
        <w:t>The Review of Economics and Statistics</w:t>
      </w:r>
      <w:r w:rsidRPr="008B5A2B">
        <w:t>.</w:t>
      </w:r>
    </w:p>
    <w:p w14:paraId="028CA454" w14:textId="77777777" w:rsidR="008B5A2B" w:rsidRPr="008B5A2B" w:rsidRDefault="003F2B7C" w:rsidP="008B5A2B">
      <w:r>
        <w:rPr>
          <w:noProof/>
        </w:rPr>
        <w:pict w14:anchorId="431B0960">
          <v:rect id="_x0000_i1030" alt="" style="width:468pt;height:.05pt;mso-width-percent:0;mso-height-percent:0;mso-width-percent:0;mso-height-percent:0" o:hralign="center" o:hrstd="t" o:hr="t" fillcolor="#a0a0a0" stroked="f"/>
        </w:pict>
      </w:r>
    </w:p>
    <w:p w14:paraId="6888C93C" w14:textId="77777777" w:rsidR="008B5A2B" w:rsidRPr="008B5A2B" w:rsidRDefault="008B5A2B" w:rsidP="008B5A2B">
      <w:pPr>
        <w:rPr>
          <w:b/>
          <w:bCs/>
        </w:rPr>
      </w:pPr>
      <w:r w:rsidRPr="008B5A2B">
        <w:rPr>
          <w:b/>
          <w:bCs/>
        </w:rPr>
        <w:t>3. Policy Responses to Climate Change: The Case of Canada (30 minutes)</w:t>
      </w:r>
    </w:p>
    <w:p w14:paraId="629CEEC5" w14:textId="77777777" w:rsidR="008B5A2B" w:rsidRPr="008B5A2B" w:rsidRDefault="008B5A2B" w:rsidP="008B5A2B">
      <w:r w:rsidRPr="008B5A2B">
        <w:rPr>
          <w:b/>
          <w:bCs/>
        </w:rPr>
        <w:t>3.1 Carbon Pricing as a Market-Based Solution</w:t>
      </w:r>
    </w:p>
    <w:p w14:paraId="3980E298" w14:textId="77777777" w:rsidR="008B5A2B" w:rsidRPr="008B5A2B" w:rsidRDefault="008B5A2B" w:rsidP="008B5A2B">
      <w:pPr>
        <w:numPr>
          <w:ilvl w:val="0"/>
          <w:numId w:val="8"/>
        </w:numPr>
      </w:pPr>
      <w:proofErr w:type="spellStart"/>
      <w:r w:rsidRPr="008B5A2B">
        <w:rPr>
          <w:b/>
          <w:bCs/>
        </w:rPr>
        <w:t>Pigovian</w:t>
      </w:r>
      <w:proofErr w:type="spellEnd"/>
      <w:r w:rsidRPr="008B5A2B">
        <w:rPr>
          <w:b/>
          <w:bCs/>
        </w:rPr>
        <w:t xml:space="preserve"> Taxes:</w:t>
      </w:r>
      <w:r w:rsidRPr="008B5A2B">
        <w:t xml:space="preserve"> Carbon taxes are an example of </w:t>
      </w:r>
      <w:proofErr w:type="spellStart"/>
      <w:r w:rsidRPr="008B5A2B">
        <w:t>Pigovian</w:t>
      </w:r>
      <w:proofErr w:type="spellEnd"/>
      <w:r w:rsidRPr="008B5A2B">
        <w:t xml:space="preserve"> taxes, correcting the negative externality of emissions. By internalizing the cost of carbon, carbon pricing aligns private costs with social costs.</w:t>
      </w:r>
    </w:p>
    <w:p w14:paraId="2081B1B2" w14:textId="77777777" w:rsidR="008B5A2B" w:rsidRPr="008B5A2B" w:rsidRDefault="008B5A2B" w:rsidP="008B5A2B">
      <w:r w:rsidRPr="008B5A2B">
        <w:rPr>
          <w:b/>
          <w:bCs/>
        </w:rPr>
        <w:t>Canadian Example:</w:t>
      </w:r>
      <w:r w:rsidRPr="008B5A2B">
        <w:t xml:space="preserve"> Canada’s carbon pricing mechanism (2019) requires provinces to implement their own carbon pricing or adopt the federal backstop, with carbon prices set to reach CAD $170/tonne by 2030.</w:t>
      </w:r>
    </w:p>
    <w:p w14:paraId="2A8AB04A" w14:textId="77777777" w:rsidR="008B5A2B" w:rsidRPr="008B5A2B" w:rsidRDefault="008B5A2B" w:rsidP="008B5A2B">
      <w:pPr>
        <w:numPr>
          <w:ilvl w:val="0"/>
          <w:numId w:val="8"/>
        </w:numPr>
      </w:pPr>
      <w:r w:rsidRPr="008B5A2B">
        <w:rPr>
          <w:b/>
          <w:bCs/>
        </w:rPr>
        <w:t>Source:</w:t>
      </w:r>
      <w:r w:rsidRPr="008B5A2B">
        <w:t xml:space="preserve"> Government of Canada (2019), </w:t>
      </w:r>
      <w:r w:rsidRPr="008B5A2B">
        <w:rPr>
          <w:i/>
          <w:iCs/>
        </w:rPr>
        <w:t>Pan-Canadian Framework on Clean Growth and Climate Change</w:t>
      </w:r>
      <w:r w:rsidRPr="008B5A2B">
        <w:t xml:space="preserve">. Available at: </w:t>
      </w:r>
      <w:hyperlink r:id="rId6" w:tgtFrame="_new" w:history="1">
        <w:r w:rsidRPr="008B5A2B">
          <w:rPr>
            <w:rStyle w:val="Hyperlink"/>
          </w:rPr>
          <w:t>Canada.ca</w:t>
        </w:r>
      </w:hyperlink>
    </w:p>
    <w:p w14:paraId="2599CA52" w14:textId="77777777" w:rsidR="008B5A2B" w:rsidRPr="008B5A2B" w:rsidRDefault="008B5A2B" w:rsidP="008B5A2B">
      <w:r w:rsidRPr="008B5A2B">
        <w:rPr>
          <w:b/>
          <w:bCs/>
        </w:rPr>
        <w:t>3.2 Cap-and-Trade Systems</w:t>
      </w:r>
    </w:p>
    <w:p w14:paraId="17F3718D" w14:textId="77777777" w:rsidR="008B5A2B" w:rsidRPr="008B5A2B" w:rsidRDefault="008B5A2B" w:rsidP="008B5A2B">
      <w:pPr>
        <w:numPr>
          <w:ilvl w:val="0"/>
          <w:numId w:val="9"/>
        </w:numPr>
      </w:pPr>
      <w:r w:rsidRPr="008B5A2B">
        <w:rPr>
          <w:b/>
          <w:bCs/>
        </w:rPr>
        <w:t>Cap-and-Trade:</w:t>
      </w:r>
      <w:r w:rsidRPr="008B5A2B">
        <w:t xml:space="preserve"> This market-based solution allows companies to trade emissions permits, ensuring that reductions happen where they are most cost-effective.</w:t>
      </w:r>
    </w:p>
    <w:p w14:paraId="7157E5D1" w14:textId="77777777" w:rsidR="008B5A2B" w:rsidRPr="008B5A2B" w:rsidRDefault="008B5A2B" w:rsidP="008B5A2B">
      <w:r w:rsidRPr="008B5A2B">
        <w:rPr>
          <w:b/>
          <w:bCs/>
        </w:rPr>
        <w:t>Example:</w:t>
      </w:r>
      <w:r w:rsidRPr="008B5A2B">
        <w:t xml:space="preserve"> Quebec’s cap-and-trade system is linked to California’s, forming one of the world’s largest carbon markets.</w:t>
      </w:r>
    </w:p>
    <w:p w14:paraId="54187A96" w14:textId="77777777" w:rsidR="008B5A2B" w:rsidRPr="008B5A2B" w:rsidRDefault="008B5A2B" w:rsidP="008B5A2B">
      <w:pPr>
        <w:numPr>
          <w:ilvl w:val="0"/>
          <w:numId w:val="9"/>
        </w:numPr>
      </w:pPr>
      <w:r w:rsidRPr="008B5A2B">
        <w:rPr>
          <w:b/>
          <w:bCs/>
        </w:rPr>
        <w:t>Source:</w:t>
      </w:r>
      <w:r w:rsidRPr="008B5A2B">
        <w:t xml:space="preserve"> </w:t>
      </w:r>
      <w:proofErr w:type="spellStart"/>
      <w:r w:rsidRPr="008B5A2B">
        <w:t>Flachsland</w:t>
      </w:r>
      <w:proofErr w:type="spellEnd"/>
      <w:r w:rsidRPr="008B5A2B">
        <w:t xml:space="preserve">, C., </w:t>
      </w:r>
      <w:proofErr w:type="spellStart"/>
      <w:r w:rsidRPr="008B5A2B">
        <w:t>Marschinski</w:t>
      </w:r>
      <w:proofErr w:type="spellEnd"/>
      <w:r w:rsidRPr="008B5A2B">
        <w:t xml:space="preserve">, R., &amp; Edenhofer, O. (2009), </w:t>
      </w:r>
      <w:r w:rsidRPr="008B5A2B">
        <w:rPr>
          <w:i/>
          <w:iCs/>
        </w:rPr>
        <w:t>To Link or Not to Link: Benefits and Disadvantages of Linking Cap-and-Trade Systems</w:t>
      </w:r>
      <w:r w:rsidRPr="008B5A2B">
        <w:t xml:space="preserve">, </w:t>
      </w:r>
      <w:r w:rsidRPr="008B5A2B">
        <w:rPr>
          <w:i/>
          <w:iCs/>
        </w:rPr>
        <w:t>Climate Policy</w:t>
      </w:r>
      <w:r w:rsidRPr="008B5A2B">
        <w:t>.</w:t>
      </w:r>
    </w:p>
    <w:p w14:paraId="4A23A97A" w14:textId="77777777" w:rsidR="008B5A2B" w:rsidRPr="008B5A2B" w:rsidRDefault="003F2B7C" w:rsidP="008B5A2B">
      <w:r>
        <w:rPr>
          <w:noProof/>
        </w:rPr>
        <w:pict w14:anchorId="7F4387A1">
          <v:rect id="_x0000_i1029" alt="" style="width:468pt;height:.05pt;mso-width-percent:0;mso-height-percent:0;mso-width-percent:0;mso-height-percent:0" o:hralign="center" o:hrstd="t" o:hr="t" fillcolor="#a0a0a0" stroked="f"/>
        </w:pict>
      </w:r>
    </w:p>
    <w:p w14:paraId="5529971E" w14:textId="77777777" w:rsidR="008B5A2B" w:rsidRPr="008B5A2B" w:rsidRDefault="008B5A2B" w:rsidP="008B5A2B">
      <w:pPr>
        <w:rPr>
          <w:b/>
          <w:bCs/>
        </w:rPr>
      </w:pPr>
      <w:r w:rsidRPr="008B5A2B">
        <w:rPr>
          <w:b/>
          <w:bCs/>
        </w:rPr>
        <w:t>4. The Economics of Sustainable Development (20 minutes)</w:t>
      </w:r>
    </w:p>
    <w:p w14:paraId="37974605" w14:textId="77777777" w:rsidR="008B5A2B" w:rsidRPr="008B5A2B" w:rsidRDefault="008B5A2B" w:rsidP="008B5A2B">
      <w:r w:rsidRPr="008B5A2B">
        <w:rPr>
          <w:b/>
          <w:bCs/>
        </w:rPr>
        <w:t>4.1 Sustainable Development and Intergenerational Equity</w:t>
      </w:r>
    </w:p>
    <w:p w14:paraId="41660BC7" w14:textId="77777777" w:rsidR="008B5A2B" w:rsidRPr="008B5A2B" w:rsidRDefault="008B5A2B" w:rsidP="008B5A2B">
      <w:pPr>
        <w:numPr>
          <w:ilvl w:val="0"/>
          <w:numId w:val="10"/>
        </w:numPr>
      </w:pPr>
      <w:r w:rsidRPr="008B5A2B">
        <w:rPr>
          <w:b/>
          <w:bCs/>
        </w:rPr>
        <w:t>Sustainable Development:</w:t>
      </w:r>
      <w:r w:rsidRPr="008B5A2B">
        <w:t xml:space="preserve"> Meeting the needs of the present without compromising future generations’ ability to meet their own needs.</w:t>
      </w:r>
    </w:p>
    <w:p w14:paraId="02DEA298" w14:textId="77777777" w:rsidR="008B5A2B" w:rsidRPr="008B5A2B" w:rsidRDefault="008B5A2B" w:rsidP="008B5A2B">
      <w:r w:rsidRPr="008B5A2B">
        <w:rPr>
          <w:b/>
          <w:bCs/>
        </w:rPr>
        <w:t>Canadian Example:</w:t>
      </w:r>
      <w:r w:rsidRPr="008B5A2B">
        <w:t xml:space="preserve"> Canada’s </w:t>
      </w:r>
      <w:r w:rsidRPr="008B5A2B">
        <w:rPr>
          <w:b/>
          <w:bCs/>
        </w:rPr>
        <w:t>sustainable forestry practices</w:t>
      </w:r>
      <w:r w:rsidRPr="008B5A2B">
        <w:t>, governed by strict regulations, ensure that timber harvesting does not deplete future forest resources.</w:t>
      </w:r>
    </w:p>
    <w:p w14:paraId="321057C5" w14:textId="77777777" w:rsidR="008B5A2B" w:rsidRPr="008B5A2B" w:rsidRDefault="008B5A2B" w:rsidP="008B5A2B">
      <w:pPr>
        <w:numPr>
          <w:ilvl w:val="0"/>
          <w:numId w:val="10"/>
        </w:numPr>
      </w:pPr>
      <w:r w:rsidRPr="008B5A2B">
        <w:rPr>
          <w:b/>
          <w:bCs/>
        </w:rPr>
        <w:t>Source:</w:t>
      </w:r>
      <w:r w:rsidRPr="008B5A2B">
        <w:t xml:space="preserve"> World Commission on Environment and Development (1987), </w:t>
      </w:r>
      <w:r w:rsidRPr="008B5A2B">
        <w:rPr>
          <w:i/>
          <w:iCs/>
        </w:rPr>
        <w:t>Our Common Future</w:t>
      </w:r>
      <w:r w:rsidRPr="008B5A2B">
        <w:t>, Oxford University Press.</w:t>
      </w:r>
    </w:p>
    <w:p w14:paraId="3803DD09" w14:textId="77777777" w:rsidR="008B5A2B" w:rsidRPr="008B5A2B" w:rsidRDefault="008B5A2B" w:rsidP="008B5A2B">
      <w:r w:rsidRPr="008B5A2B">
        <w:rPr>
          <w:b/>
          <w:bCs/>
        </w:rPr>
        <w:t>4.2 Green Growth Theory</w:t>
      </w:r>
    </w:p>
    <w:p w14:paraId="07438328" w14:textId="77777777" w:rsidR="008B5A2B" w:rsidRPr="008B5A2B" w:rsidRDefault="008B5A2B" w:rsidP="008B5A2B">
      <w:pPr>
        <w:numPr>
          <w:ilvl w:val="0"/>
          <w:numId w:val="11"/>
        </w:numPr>
      </w:pPr>
      <w:r w:rsidRPr="008B5A2B">
        <w:rPr>
          <w:b/>
          <w:bCs/>
        </w:rPr>
        <w:lastRenderedPageBreak/>
        <w:t>Green Growth:</w:t>
      </w:r>
      <w:r w:rsidRPr="008B5A2B">
        <w:t xml:space="preserve"> This theory suggests economies can grow while reducing environmental harm by investing in green technologies, energy efficiency, and clean innovation.</w:t>
      </w:r>
    </w:p>
    <w:p w14:paraId="440B43B0" w14:textId="77777777" w:rsidR="008B5A2B" w:rsidRPr="008B5A2B" w:rsidRDefault="008B5A2B" w:rsidP="008B5A2B">
      <w:r w:rsidRPr="008B5A2B">
        <w:rPr>
          <w:b/>
          <w:bCs/>
        </w:rPr>
        <w:t>Example:</w:t>
      </w:r>
      <w:r w:rsidRPr="008B5A2B">
        <w:t xml:space="preserve"> Canada’s </w:t>
      </w:r>
      <w:r w:rsidRPr="008B5A2B">
        <w:rPr>
          <w:b/>
          <w:bCs/>
        </w:rPr>
        <w:t>Net-Zero Accelerator Fund</w:t>
      </w:r>
      <w:r w:rsidRPr="008B5A2B">
        <w:t xml:space="preserve"> supports industries transitioning to low-carbon technologies, fostering green growth while maintaining economic prosperity.</w:t>
      </w:r>
    </w:p>
    <w:p w14:paraId="7F308C94" w14:textId="77777777" w:rsidR="008B5A2B" w:rsidRPr="008B5A2B" w:rsidRDefault="008B5A2B" w:rsidP="008B5A2B">
      <w:pPr>
        <w:numPr>
          <w:ilvl w:val="0"/>
          <w:numId w:val="11"/>
        </w:numPr>
      </w:pPr>
      <w:r w:rsidRPr="008B5A2B">
        <w:rPr>
          <w:b/>
          <w:bCs/>
        </w:rPr>
        <w:t>Source:</w:t>
      </w:r>
      <w:r w:rsidRPr="008B5A2B">
        <w:t xml:space="preserve"> OECD (2011), </w:t>
      </w:r>
      <w:r w:rsidRPr="008B5A2B">
        <w:rPr>
          <w:i/>
          <w:iCs/>
        </w:rPr>
        <w:t>Towards Green Growth</w:t>
      </w:r>
      <w:r w:rsidRPr="008B5A2B">
        <w:t>, OECD Publishing.</w:t>
      </w:r>
    </w:p>
    <w:p w14:paraId="048DFB36" w14:textId="77777777" w:rsidR="008B5A2B" w:rsidRPr="008B5A2B" w:rsidRDefault="003F2B7C" w:rsidP="008B5A2B">
      <w:r>
        <w:rPr>
          <w:noProof/>
        </w:rPr>
        <w:pict w14:anchorId="5CB730EF">
          <v:rect id="_x0000_i1028" alt="" style="width:468pt;height:.05pt;mso-width-percent:0;mso-height-percent:0;mso-width-percent:0;mso-height-percent:0" o:hralign="center" o:hrstd="t" o:hr="t" fillcolor="#a0a0a0" stroked="f"/>
        </w:pict>
      </w:r>
    </w:p>
    <w:p w14:paraId="55EAFA64" w14:textId="77777777" w:rsidR="008B5A2B" w:rsidRPr="008B5A2B" w:rsidRDefault="008B5A2B" w:rsidP="008B5A2B">
      <w:pPr>
        <w:rPr>
          <w:b/>
          <w:bCs/>
        </w:rPr>
      </w:pPr>
      <w:r w:rsidRPr="008B5A2B">
        <w:rPr>
          <w:b/>
          <w:bCs/>
        </w:rPr>
        <w:t>5. Case Studies in Canada’s Climate Policy (15 minutes)</w:t>
      </w:r>
    </w:p>
    <w:p w14:paraId="3294BBE0" w14:textId="77777777" w:rsidR="008B5A2B" w:rsidRPr="008B5A2B" w:rsidRDefault="008B5A2B" w:rsidP="008B5A2B">
      <w:r w:rsidRPr="008B5A2B">
        <w:rPr>
          <w:b/>
          <w:bCs/>
        </w:rPr>
        <w:t>5.1 British Columbia’s Carbon Tax</w:t>
      </w:r>
    </w:p>
    <w:p w14:paraId="0EF84949" w14:textId="77777777" w:rsidR="008B5A2B" w:rsidRPr="008B5A2B" w:rsidRDefault="008B5A2B" w:rsidP="008B5A2B">
      <w:pPr>
        <w:numPr>
          <w:ilvl w:val="0"/>
          <w:numId w:val="12"/>
        </w:numPr>
      </w:pPr>
      <w:r w:rsidRPr="008B5A2B">
        <w:rPr>
          <w:b/>
          <w:bCs/>
        </w:rPr>
        <w:t>Effectiveness of Carbon Pricing:</w:t>
      </w:r>
      <w:r w:rsidRPr="008B5A2B">
        <w:t xml:space="preserve"> BC’s carbon tax has successfully reduced emissions while maintaining economic growth. Since its implementation, emissions dropped by 7%, while GDP grew by over 20%.</w:t>
      </w:r>
    </w:p>
    <w:p w14:paraId="66201EE1" w14:textId="77777777" w:rsidR="008B5A2B" w:rsidRPr="008B5A2B" w:rsidRDefault="008B5A2B" w:rsidP="008B5A2B">
      <w:pPr>
        <w:numPr>
          <w:ilvl w:val="0"/>
          <w:numId w:val="12"/>
        </w:numPr>
      </w:pPr>
      <w:r w:rsidRPr="008B5A2B">
        <w:rPr>
          <w:b/>
          <w:bCs/>
        </w:rPr>
        <w:t>Source:</w:t>
      </w:r>
      <w:r w:rsidRPr="008B5A2B">
        <w:t xml:space="preserve"> Rivers, N. &amp; </w:t>
      </w:r>
      <w:proofErr w:type="spellStart"/>
      <w:r w:rsidRPr="008B5A2B">
        <w:t>Schaufele</w:t>
      </w:r>
      <w:proofErr w:type="spellEnd"/>
      <w:r w:rsidRPr="008B5A2B">
        <w:t xml:space="preserve">, B. (2015), </w:t>
      </w:r>
      <w:r w:rsidRPr="008B5A2B">
        <w:rPr>
          <w:i/>
          <w:iCs/>
        </w:rPr>
        <w:t>Salience of Carbon Taxes in the Gasoline Market</w:t>
      </w:r>
      <w:r w:rsidRPr="008B5A2B">
        <w:t xml:space="preserve">, </w:t>
      </w:r>
      <w:r w:rsidRPr="008B5A2B">
        <w:rPr>
          <w:i/>
          <w:iCs/>
        </w:rPr>
        <w:t>Journal of Environmental Economics and Management</w:t>
      </w:r>
      <w:r w:rsidRPr="008B5A2B">
        <w:t>.</w:t>
      </w:r>
    </w:p>
    <w:p w14:paraId="794D81C4" w14:textId="77777777" w:rsidR="008B5A2B" w:rsidRPr="008B5A2B" w:rsidRDefault="008B5A2B" w:rsidP="008B5A2B">
      <w:r w:rsidRPr="008B5A2B">
        <w:rPr>
          <w:b/>
          <w:bCs/>
        </w:rPr>
        <w:t>5.2 Quebec’s Hydroelectric Power</w:t>
      </w:r>
    </w:p>
    <w:p w14:paraId="2D7828DA" w14:textId="77777777" w:rsidR="008B5A2B" w:rsidRPr="008B5A2B" w:rsidRDefault="008B5A2B" w:rsidP="008B5A2B">
      <w:pPr>
        <w:numPr>
          <w:ilvl w:val="0"/>
          <w:numId w:val="13"/>
        </w:numPr>
      </w:pPr>
      <w:r w:rsidRPr="008B5A2B">
        <w:rPr>
          <w:b/>
          <w:bCs/>
        </w:rPr>
        <w:t>Renewable Energy Leadership:</w:t>
      </w:r>
      <w:r w:rsidRPr="008B5A2B">
        <w:t xml:space="preserve"> Quebec’s nearly 95% reliance on hydroelectric power has allowed it to reduce carbon emissions significantly and export clean energy to neighboring regions.</w:t>
      </w:r>
    </w:p>
    <w:p w14:paraId="75C3F55B" w14:textId="77777777" w:rsidR="008B5A2B" w:rsidRPr="008B5A2B" w:rsidRDefault="008B5A2B" w:rsidP="008B5A2B">
      <w:pPr>
        <w:numPr>
          <w:ilvl w:val="0"/>
          <w:numId w:val="13"/>
        </w:numPr>
      </w:pPr>
      <w:r w:rsidRPr="008B5A2B">
        <w:rPr>
          <w:b/>
          <w:bCs/>
        </w:rPr>
        <w:t>Source:</w:t>
      </w:r>
      <w:r w:rsidRPr="008B5A2B">
        <w:t xml:space="preserve"> Government of Quebec (2020), </w:t>
      </w:r>
      <w:r w:rsidRPr="008B5A2B">
        <w:rPr>
          <w:i/>
          <w:iCs/>
        </w:rPr>
        <w:t>Quebec's Energy Policy</w:t>
      </w:r>
      <w:r w:rsidRPr="008B5A2B">
        <w:t xml:space="preserve">. Available at: </w:t>
      </w:r>
      <w:hyperlink r:id="rId7" w:tgtFrame="_new" w:history="1">
        <w:r w:rsidRPr="008B5A2B">
          <w:rPr>
            <w:rStyle w:val="Hyperlink"/>
          </w:rPr>
          <w:t>Quebec.ca</w:t>
        </w:r>
      </w:hyperlink>
    </w:p>
    <w:p w14:paraId="79A88CCE" w14:textId="77777777" w:rsidR="008B5A2B" w:rsidRPr="008B5A2B" w:rsidRDefault="008B5A2B" w:rsidP="008B5A2B">
      <w:r w:rsidRPr="008B5A2B">
        <w:rPr>
          <w:b/>
          <w:bCs/>
        </w:rPr>
        <w:t>5.3 Alberta’s Oil Sands and Carbon Capture</w:t>
      </w:r>
    </w:p>
    <w:p w14:paraId="522EB8A4" w14:textId="77777777" w:rsidR="008B5A2B" w:rsidRPr="008B5A2B" w:rsidRDefault="008B5A2B" w:rsidP="008B5A2B">
      <w:pPr>
        <w:numPr>
          <w:ilvl w:val="0"/>
          <w:numId w:val="14"/>
        </w:numPr>
      </w:pPr>
      <w:r w:rsidRPr="008B5A2B">
        <w:rPr>
          <w:b/>
          <w:bCs/>
        </w:rPr>
        <w:t>Carbon Capture and Storage (CCS):</w:t>
      </w:r>
      <w:r w:rsidRPr="008B5A2B">
        <w:t xml:space="preserve"> Alberta’s </w:t>
      </w:r>
      <w:r w:rsidRPr="008B5A2B">
        <w:rPr>
          <w:b/>
          <w:bCs/>
        </w:rPr>
        <w:t>Quest CCS Project</w:t>
      </w:r>
      <w:r w:rsidRPr="008B5A2B">
        <w:t xml:space="preserve"> has captured over 5 million tonnes of CO2 since 2015, helping reduce emissions in the oil sands industry.</w:t>
      </w:r>
    </w:p>
    <w:p w14:paraId="656E4484" w14:textId="77777777" w:rsidR="008B5A2B" w:rsidRPr="008B5A2B" w:rsidRDefault="008B5A2B" w:rsidP="008B5A2B">
      <w:pPr>
        <w:numPr>
          <w:ilvl w:val="0"/>
          <w:numId w:val="14"/>
        </w:numPr>
      </w:pPr>
      <w:r w:rsidRPr="008B5A2B">
        <w:rPr>
          <w:b/>
          <w:bCs/>
        </w:rPr>
        <w:t>Source:</w:t>
      </w:r>
      <w:r w:rsidRPr="008B5A2B">
        <w:t xml:space="preserve"> Shell Canada (2019), </w:t>
      </w:r>
      <w:r w:rsidRPr="008B5A2B">
        <w:rPr>
          <w:i/>
          <w:iCs/>
        </w:rPr>
        <w:t>Quest Carbon Capture and Storage Project</w:t>
      </w:r>
      <w:r w:rsidRPr="008B5A2B">
        <w:t>, Shell Canada.</w:t>
      </w:r>
    </w:p>
    <w:p w14:paraId="52476D18" w14:textId="77777777" w:rsidR="008B5A2B" w:rsidRPr="008B5A2B" w:rsidRDefault="003F2B7C" w:rsidP="008B5A2B">
      <w:r>
        <w:rPr>
          <w:noProof/>
        </w:rPr>
        <w:pict w14:anchorId="7ADD2DFE">
          <v:rect id="_x0000_i1027" alt="" style="width:468pt;height:.05pt;mso-width-percent:0;mso-height-percent:0;mso-width-percent:0;mso-height-percent:0" o:hralign="center" o:hrstd="t" o:hr="t" fillcolor="#a0a0a0" stroked="f"/>
        </w:pict>
      </w:r>
    </w:p>
    <w:p w14:paraId="19311633" w14:textId="77777777" w:rsidR="008B5A2B" w:rsidRPr="008B5A2B" w:rsidRDefault="008B5A2B" w:rsidP="008B5A2B">
      <w:pPr>
        <w:rPr>
          <w:b/>
          <w:bCs/>
        </w:rPr>
      </w:pPr>
      <w:r w:rsidRPr="008B5A2B">
        <w:rPr>
          <w:b/>
          <w:bCs/>
        </w:rPr>
        <w:t>6. Challenges and Opportunities for Canada (20 minutes)</w:t>
      </w:r>
    </w:p>
    <w:p w14:paraId="0B2D6C43" w14:textId="77777777" w:rsidR="008B5A2B" w:rsidRPr="008B5A2B" w:rsidRDefault="008B5A2B" w:rsidP="008B5A2B">
      <w:r w:rsidRPr="008B5A2B">
        <w:rPr>
          <w:b/>
          <w:bCs/>
        </w:rPr>
        <w:t>6.1 Just Transition for Carbon-Intensive Industries</w:t>
      </w:r>
    </w:p>
    <w:p w14:paraId="689EEFA0" w14:textId="77777777" w:rsidR="008B5A2B" w:rsidRPr="008B5A2B" w:rsidRDefault="008B5A2B" w:rsidP="008B5A2B">
      <w:pPr>
        <w:numPr>
          <w:ilvl w:val="0"/>
          <w:numId w:val="15"/>
        </w:numPr>
      </w:pPr>
      <w:r w:rsidRPr="008B5A2B">
        <w:rPr>
          <w:b/>
          <w:bCs/>
        </w:rPr>
        <w:t>Just Transition:</w:t>
      </w:r>
      <w:r w:rsidRPr="008B5A2B">
        <w:t xml:space="preserve"> Policies that ensure workers and communities dependent on carbon-intensive industries (like Alberta’s oil sector) are supported as economies shift towards greener industries.</w:t>
      </w:r>
    </w:p>
    <w:p w14:paraId="345BAA30" w14:textId="77777777" w:rsidR="008B5A2B" w:rsidRPr="008B5A2B" w:rsidRDefault="008B5A2B" w:rsidP="008B5A2B">
      <w:r w:rsidRPr="008B5A2B">
        <w:rPr>
          <w:b/>
          <w:bCs/>
        </w:rPr>
        <w:t>Canadian Example:</w:t>
      </w:r>
      <w:r w:rsidRPr="008B5A2B">
        <w:t xml:space="preserve"> Alberta’s </w:t>
      </w:r>
      <w:r w:rsidRPr="008B5A2B">
        <w:rPr>
          <w:b/>
          <w:bCs/>
        </w:rPr>
        <w:t>just transition</w:t>
      </w:r>
      <w:r w:rsidRPr="008B5A2B">
        <w:t xml:space="preserve"> programs aim to retrain workers in the fossil fuel industry as the province moves towards renewable energy development.</w:t>
      </w:r>
    </w:p>
    <w:p w14:paraId="3B9CBDD8" w14:textId="77777777" w:rsidR="008B5A2B" w:rsidRPr="008B5A2B" w:rsidRDefault="008B5A2B" w:rsidP="008B5A2B">
      <w:pPr>
        <w:numPr>
          <w:ilvl w:val="0"/>
          <w:numId w:val="15"/>
        </w:numPr>
      </w:pPr>
      <w:r w:rsidRPr="008B5A2B">
        <w:rPr>
          <w:b/>
          <w:bCs/>
        </w:rPr>
        <w:t>Source:</w:t>
      </w:r>
      <w:r w:rsidRPr="008B5A2B">
        <w:t xml:space="preserve"> International Labour Organization (ILO) (2015), </w:t>
      </w:r>
      <w:r w:rsidRPr="008B5A2B">
        <w:rPr>
          <w:i/>
          <w:iCs/>
        </w:rPr>
        <w:t>Guidelines for a Just Transition Towards Environmentally Sustainable Economies and Societies for All</w:t>
      </w:r>
      <w:r w:rsidRPr="008B5A2B">
        <w:t>.</w:t>
      </w:r>
    </w:p>
    <w:p w14:paraId="072BC91C" w14:textId="77777777" w:rsidR="008B5A2B" w:rsidRPr="008B5A2B" w:rsidRDefault="008B5A2B" w:rsidP="008B5A2B">
      <w:r w:rsidRPr="008B5A2B">
        <w:rPr>
          <w:b/>
          <w:bCs/>
        </w:rPr>
        <w:t>6.2 Indigenous Knowledge and Climate Resilience</w:t>
      </w:r>
    </w:p>
    <w:p w14:paraId="35CEEF25" w14:textId="77777777" w:rsidR="008B5A2B" w:rsidRPr="008B5A2B" w:rsidRDefault="008B5A2B" w:rsidP="008B5A2B">
      <w:pPr>
        <w:numPr>
          <w:ilvl w:val="0"/>
          <w:numId w:val="16"/>
        </w:numPr>
      </w:pPr>
      <w:r w:rsidRPr="008B5A2B">
        <w:rPr>
          <w:b/>
          <w:bCs/>
        </w:rPr>
        <w:t>Indigenous Leadership in Sustainability:</w:t>
      </w:r>
      <w:r w:rsidRPr="008B5A2B">
        <w:t xml:space="preserve"> Indigenous communities, particularly in Canada’s Arctic, are key partners in developing sustainable practices and climate adaptation strategies.</w:t>
      </w:r>
    </w:p>
    <w:p w14:paraId="5EB92C37" w14:textId="77777777" w:rsidR="008B5A2B" w:rsidRPr="008B5A2B" w:rsidRDefault="008B5A2B" w:rsidP="008B5A2B">
      <w:r w:rsidRPr="008B5A2B">
        <w:rPr>
          <w:b/>
          <w:bCs/>
        </w:rPr>
        <w:t>Example:</w:t>
      </w:r>
      <w:r w:rsidRPr="008B5A2B">
        <w:t xml:space="preserve"> The </w:t>
      </w:r>
      <w:r w:rsidRPr="008B5A2B">
        <w:rPr>
          <w:b/>
          <w:bCs/>
        </w:rPr>
        <w:t>Great Bear Rainforest</w:t>
      </w:r>
      <w:r w:rsidRPr="008B5A2B">
        <w:t xml:space="preserve"> initiative, a partnership between Indigenous groups and conservationists, has created economic opportunities while protecting biodiversity.</w:t>
      </w:r>
    </w:p>
    <w:p w14:paraId="00E228A7" w14:textId="77777777" w:rsidR="008B5A2B" w:rsidRPr="008B5A2B" w:rsidRDefault="008B5A2B" w:rsidP="008B5A2B">
      <w:pPr>
        <w:numPr>
          <w:ilvl w:val="0"/>
          <w:numId w:val="16"/>
        </w:numPr>
      </w:pPr>
      <w:r w:rsidRPr="008B5A2B">
        <w:rPr>
          <w:b/>
          <w:bCs/>
        </w:rPr>
        <w:t>Source:</w:t>
      </w:r>
      <w:r w:rsidRPr="008B5A2B">
        <w:t xml:space="preserve"> Trosper, R. (2009), </w:t>
      </w:r>
      <w:r w:rsidRPr="008B5A2B">
        <w:rPr>
          <w:i/>
          <w:iCs/>
        </w:rPr>
        <w:t>Resilience, Reciprocity, and Ecological Economics: Northwest Coast Sustainability</w:t>
      </w:r>
      <w:r w:rsidRPr="008B5A2B">
        <w:t>, Routledge.</w:t>
      </w:r>
    </w:p>
    <w:p w14:paraId="7F3E4D01" w14:textId="77777777" w:rsidR="008B5A2B" w:rsidRPr="008B5A2B" w:rsidRDefault="003F2B7C" w:rsidP="008B5A2B">
      <w:r>
        <w:rPr>
          <w:noProof/>
        </w:rPr>
        <w:lastRenderedPageBreak/>
        <w:pict w14:anchorId="123A5C11">
          <v:rect id="_x0000_i1026" alt="" style="width:468pt;height:.05pt;mso-width-percent:0;mso-height-percent:0;mso-width-percent:0;mso-height-percent:0" o:hralign="center" o:hrstd="t" o:hr="t" fillcolor="#a0a0a0" stroked="f"/>
        </w:pict>
      </w:r>
    </w:p>
    <w:p w14:paraId="141D245D" w14:textId="77777777" w:rsidR="008B5A2B" w:rsidRPr="008B5A2B" w:rsidRDefault="008B5A2B" w:rsidP="008B5A2B">
      <w:pPr>
        <w:rPr>
          <w:b/>
          <w:bCs/>
        </w:rPr>
      </w:pPr>
      <w:r w:rsidRPr="008B5A2B">
        <w:rPr>
          <w:b/>
          <w:bCs/>
        </w:rPr>
        <w:t>Conclusion and Discussion (10 minutes)</w:t>
      </w:r>
    </w:p>
    <w:p w14:paraId="3D08D2AF" w14:textId="77777777" w:rsidR="008B5A2B" w:rsidRPr="008B5A2B" w:rsidRDefault="008B5A2B" w:rsidP="008B5A2B">
      <w:r w:rsidRPr="008B5A2B">
        <w:rPr>
          <w:b/>
          <w:bCs/>
        </w:rPr>
        <w:t>Key Takeaways:</w:t>
      </w:r>
    </w:p>
    <w:p w14:paraId="168767AE" w14:textId="77777777" w:rsidR="008B5A2B" w:rsidRPr="008B5A2B" w:rsidRDefault="008B5A2B" w:rsidP="008B5A2B">
      <w:pPr>
        <w:numPr>
          <w:ilvl w:val="0"/>
          <w:numId w:val="17"/>
        </w:numPr>
      </w:pPr>
      <w:r w:rsidRPr="008B5A2B">
        <w:t>Understanding externalities, market failures, and public goods is critical for developing effective climate policies.</w:t>
      </w:r>
    </w:p>
    <w:p w14:paraId="63A14B76" w14:textId="77777777" w:rsidR="008B5A2B" w:rsidRPr="008B5A2B" w:rsidRDefault="008B5A2B" w:rsidP="008B5A2B">
      <w:pPr>
        <w:numPr>
          <w:ilvl w:val="0"/>
          <w:numId w:val="17"/>
        </w:numPr>
      </w:pPr>
      <w:r w:rsidRPr="008B5A2B">
        <w:t>Canada can balance economic growth with environmental sustainability through carbon pricing, green technologies, and sustainable resource management.</w:t>
      </w:r>
    </w:p>
    <w:p w14:paraId="3DD8D21F" w14:textId="77777777" w:rsidR="008B5A2B" w:rsidRPr="008B5A2B" w:rsidRDefault="008B5A2B" w:rsidP="008B5A2B">
      <w:r w:rsidRPr="008B5A2B">
        <w:rPr>
          <w:b/>
          <w:bCs/>
        </w:rPr>
        <w:t>References for Further Reading:</w:t>
      </w:r>
    </w:p>
    <w:p w14:paraId="4201CA73" w14:textId="77777777" w:rsidR="008B5A2B" w:rsidRPr="008B5A2B" w:rsidRDefault="008B5A2B" w:rsidP="008B5A2B">
      <w:pPr>
        <w:numPr>
          <w:ilvl w:val="0"/>
          <w:numId w:val="18"/>
        </w:numPr>
      </w:pPr>
      <w:r w:rsidRPr="008B5A2B">
        <w:rPr>
          <w:b/>
          <w:bCs/>
        </w:rPr>
        <w:t>Nordhaus, W.</w:t>
      </w:r>
      <w:r w:rsidRPr="008B5A2B">
        <w:t xml:space="preserve"> (2013), </w:t>
      </w:r>
      <w:r w:rsidRPr="008B5A2B">
        <w:rPr>
          <w:i/>
          <w:iCs/>
        </w:rPr>
        <w:t>The Climate Casino: Risk, Uncertainty, and Economics for a Warming World</w:t>
      </w:r>
      <w:r w:rsidRPr="008B5A2B">
        <w:t>, Yale University Press.</w:t>
      </w:r>
    </w:p>
    <w:p w14:paraId="59C079CA" w14:textId="77777777" w:rsidR="008B5A2B" w:rsidRPr="008B5A2B" w:rsidRDefault="008B5A2B" w:rsidP="008B5A2B">
      <w:pPr>
        <w:numPr>
          <w:ilvl w:val="0"/>
          <w:numId w:val="18"/>
        </w:numPr>
      </w:pPr>
      <w:r w:rsidRPr="008B5A2B">
        <w:rPr>
          <w:b/>
          <w:bCs/>
        </w:rPr>
        <w:t>Stern, N.</w:t>
      </w:r>
      <w:r w:rsidRPr="008B5A2B">
        <w:t xml:space="preserve"> (2007), </w:t>
      </w:r>
      <w:r w:rsidRPr="008B5A2B">
        <w:rPr>
          <w:i/>
          <w:iCs/>
        </w:rPr>
        <w:t>The Economics of Climate Change: The Stern Review</w:t>
      </w:r>
      <w:r w:rsidRPr="008B5A2B">
        <w:t>, Cambridge University Press.</w:t>
      </w:r>
    </w:p>
    <w:p w14:paraId="480D1652" w14:textId="77777777" w:rsidR="008B5A2B" w:rsidRPr="008B5A2B" w:rsidRDefault="008B5A2B" w:rsidP="008B5A2B">
      <w:pPr>
        <w:numPr>
          <w:ilvl w:val="0"/>
          <w:numId w:val="18"/>
        </w:numPr>
      </w:pPr>
      <w:r w:rsidRPr="008B5A2B">
        <w:rPr>
          <w:b/>
          <w:bCs/>
        </w:rPr>
        <w:t>IPCC</w:t>
      </w:r>
      <w:r w:rsidRPr="008B5A2B">
        <w:t xml:space="preserve"> (2021), </w:t>
      </w:r>
      <w:r w:rsidRPr="008B5A2B">
        <w:rPr>
          <w:i/>
          <w:iCs/>
        </w:rPr>
        <w:t>Sixth Assessment Report</w:t>
      </w:r>
      <w:r w:rsidRPr="008B5A2B">
        <w:t>, Intergovernmental Panel on Climate Change.</w:t>
      </w:r>
    </w:p>
    <w:p w14:paraId="391E1CC2" w14:textId="77777777" w:rsidR="008B5A2B" w:rsidRPr="008B5A2B" w:rsidRDefault="008B5A2B" w:rsidP="008B5A2B">
      <w:pPr>
        <w:numPr>
          <w:ilvl w:val="0"/>
          <w:numId w:val="18"/>
        </w:numPr>
      </w:pPr>
      <w:r w:rsidRPr="008B5A2B">
        <w:rPr>
          <w:b/>
          <w:bCs/>
        </w:rPr>
        <w:t>Government of Canada</w:t>
      </w:r>
      <w:r w:rsidRPr="008B5A2B">
        <w:t xml:space="preserve"> (2019), </w:t>
      </w:r>
      <w:r w:rsidRPr="008B5A2B">
        <w:rPr>
          <w:i/>
          <w:iCs/>
        </w:rPr>
        <w:t>Canada’s Changing Climate Report</w:t>
      </w:r>
      <w:r w:rsidRPr="008B5A2B">
        <w:t xml:space="preserve">. Available at: </w:t>
      </w:r>
      <w:hyperlink r:id="rId8" w:tgtFrame="_new" w:history="1">
        <w:r w:rsidRPr="008B5A2B">
          <w:rPr>
            <w:rStyle w:val="Hyperlink"/>
          </w:rPr>
          <w:t>Canada.</w:t>
        </w:r>
        <w:r w:rsidRPr="008B5A2B">
          <w:rPr>
            <w:rStyle w:val="Hyperlink"/>
          </w:rPr>
          <w:t>c</w:t>
        </w:r>
        <w:r w:rsidRPr="008B5A2B">
          <w:rPr>
            <w:rStyle w:val="Hyperlink"/>
          </w:rPr>
          <w:t>a</w:t>
        </w:r>
      </w:hyperlink>
      <w:r w:rsidRPr="008B5A2B">
        <w:t>.</w:t>
      </w:r>
    </w:p>
    <w:p w14:paraId="53421791" w14:textId="77777777" w:rsidR="008B5A2B" w:rsidRPr="008B5A2B" w:rsidRDefault="003F2B7C" w:rsidP="008B5A2B">
      <w:r>
        <w:rPr>
          <w:noProof/>
        </w:rPr>
        <w:pict w14:anchorId="63EAB624">
          <v:rect id="_x0000_i1025" alt="" style="width:468pt;height:.05pt;mso-width-percent:0;mso-height-percent:0;mso-width-percent:0;mso-height-percent:0" o:hralign="center" o:hrstd="t" o:hr="t" fillcolor="#a0a0a0" stroked="f"/>
        </w:pict>
      </w:r>
    </w:p>
    <w:p w14:paraId="298EEE64" w14:textId="77777777" w:rsidR="008B5A2B" w:rsidRPr="008B5A2B" w:rsidRDefault="008B5A2B" w:rsidP="008B5A2B">
      <w:r w:rsidRPr="008B5A2B">
        <w:t>This lecture now includes relevant references for key economic theories, case studies, and Canadian policies, grounding the discussion in established research and providing students with resources for further exploration.</w:t>
      </w:r>
    </w:p>
    <w:p w14:paraId="0FD5E2F2" w14:textId="77777777" w:rsidR="0034052E" w:rsidRDefault="0034052E"/>
    <w:p w14:paraId="72DC4365" w14:textId="77777777" w:rsidR="00655E39" w:rsidRDefault="00655E39"/>
    <w:p w14:paraId="698DA6F0" w14:textId="77777777" w:rsidR="00655E39" w:rsidRDefault="00655E39"/>
    <w:p w14:paraId="0C359772" w14:textId="77777777" w:rsidR="00655E39" w:rsidRDefault="00655E39"/>
    <w:p w14:paraId="31EE601A" w14:textId="77777777" w:rsidR="00655E39" w:rsidRDefault="00655E39"/>
    <w:p w14:paraId="5B2FAA8B" w14:textId="77777777" w:rsidR="00655E39" w:rsidRPr="00655E39" w:rsidRDefault="00655E39" w:rsidP="00655E39">
      <w:r w:rsidRPr="00655E39">
        <w:t>More than 97% of scientists agree that the earth has been warming at an unprecedented and rapidly increasing rate. Scientific research proves this warming is due to increases in greenhouse gas emissions primarily caused by human activities. The main human activities contributing to climate change are burning fossil fuels from heating and cooling our buildings, as well as our carbon intensive transportation system that relies mostly on personal vehicles. While fossil fuels have been helpful in global development for hundreds of years, it is now evident that the resulting emissions are a major problem. </w:t>
      </w:r>
    </w:p>
    <w:p w14:paraId="4EAE761B" w14:textId="77777777" w:rsidR="00655E39" w:rsidRPr="00655E39" w:rsidRDefault="00655E39" w:rsidP="00655E39">
      <w:r w:rsidRPr="00655E39">
        <w:t> </w:t>
      </w:r>
    </w:p>
    <w:p w14:paraId="15F5BAF5" w14:textId="77777777" w:rsidR="00655E39" w:rsidRPr="00655E39" w:rsidRDefault="00655E39" w:rsidP="00655E39">
      <w:r w:rsidRPr="00655E39">
        <w:t>THE PARIS CLIMATE AGREEMENT</w:t>
      </w:r>
    </w:p>
    <w:p w14:paraId="0F1217FB" w14:textId="77777777" w:rsidR="00655E39" w:rsidRPr="00655E39" w:rsidRDefault="00655E39" w:rsidP="00655E39">
      <w:r w:rsidRPr="00655E39">
        <w:t>Understanding this global challenge, 195 countries joined in the Paris Climate Agreement to drastically cut emissions creating the most inclusive global agreement to tackle climate change to date.  Canada set two commitments under the global agreement:</w:t>
      </w:r>
    </w:p>
    <w:p w14:paraId="442EBCE5" w14:textId="77777777" w:rsidR="00655E39" w:rsidRPr="00655E39" w:rsidRDefault="00655E39" w:rsidP="00655E39">
      <w:r w:rsidRPr="00655E39">
        <w:t>#1. 30% reduction in emissions below 2005 levels by 2030</w:t>
      </w:r>
    </w:p>
    <w:p w14:paraId="50116652" w14:textId="77777777" w:rsidR="00655E39" w:rsidRPr="00655E39" w:rsidRDefault="00655E39" w:rsidP="00655E39">
      <w:r w:rsidRPr="00655E39">
        <w:t>#2. Net zero emissions by 2050</w:t>
      </w:r>
    </w:p>
    <w:p w14:paraId="3CD88D78" w14:textId="77777777" w:rsidR="00655E39" w:rsidRDefault="00655E39"/>
    <w:sectPr w:rsidR="00655E39" w:rsidSect="00BD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E6A8E"/>
    <w:multiLevelType w:val="multilevel"/>
    <w:tmpl w:val="203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E3542"/>
    <w:multiLevelType w:val="multilevel"/>
    <w:tmpl w:val="DB78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23395"/>
    <w:multiLevelType w:val="multilevel"/>
    <w:tmpl w:val="52E6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46F88"/>
    <w:multiLevelType w:val="multilevel"/>
    <w:tmpl w:val="186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D3A83"/>
    <w:multiLevelType w:val="multilevel"/>
    <w:tmpl w:val="E66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D514A"/>
    <w:multiLevelType w:val="multilevel"/>
    <w:tmpl w:val="982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A16C0"/>
    <w:multiLevelType w:val="multilevel"/>
    <w:tmpl w:val="EE0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E7A65"/>
    <w:multiLevelType w:val="multilevel"/>
    <w:tmpl w:val="8A8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B5261"/>
    <w:multiLevelType w:val="multilevel"/>
    <w:tmpl w:val="44E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B70A0"/>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14C6A"/>
    <w:multiLevelType w:val="multilevel"/>
    <w:tmpl w:val="7A56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42AA5"/>
    <w:multiLevelType w:val="multilevel"/>
    <w:tmpl w:val="59C6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E55E0"/>
    <w:multiLevelType w:val="multilevel"/>
    <w:tmpl w:val="5A66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F0E28"/>
    <w:multiLevelType w:val="multilevel"/>
    <w:tmpl w:val="803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26E3F"/>
    <w:multiLevelType w:val="multilevel"/>
    <w:tmpl w:val="5F5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010E2"/>
    <w:multiLevelType w:val="multilevel"/>
    <w:tmpl w:val="E8F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84C93"/>
    <w:multiLevelType w:val="multilevel"/>
    <w:tmpl w:val="E69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245C4F"/>
    <w:multiLevelType w:val="multilevel"/>
    <w:tmpl w:val="FF9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090045">
    <w:abstractNumId w:val="7"/>
  </w:num>
  <w:num w:numId="2" w16cid:durableId="1443837226">
    <w:abstractNumId w:val="8"/>
  </w:num>
  <w:num w:numId="3" w16cid:durableId="934172289">
    <w:abstractNumId w:val="10"/>
  </w:num>
  <w:num w:numId="4" w16cid:durableId="962537738">
    <w:abstractNumId w:val="9"/>
  </w:num>
  <w:num w:numId="5" w16cid:durableId="456994322">
    <w:abstractNumId w:val="6"/>
  </w:num>
  <w:num w:numId="6" w16cid:durableId="1183787721">
    <w:abstractNumId w:val="4"/>
  </w:num>
  <w:num w:numId="7" w16cid:durableId="1797791201">
    <w:abstractNumId w:val="5"/>
  </w:num>
  <w:num w:numId="8" w16cid:durableId="1518108002">
    <w:abstractNumId w:val="15"/>
  </w:num>
  <w:num w:numId="9" w16cid:durableId="1410270557">
    <w:abstractNumId w:val="12"/>
  </w:num>
  <w:num w:numId="10" w16cid:durableId="1460607400">
    <w:abstractNumId w:val="16"/>
  </w:num>
  <w:num w:numId="11" w16cid:durableId="1465779190">
    <w:abstractNumId w:val="13"/>
  </w:num>
  <w:num w:numId="12" w16cid:durableId="114955238">
    <w:abstractNumId w:val="3"/>
  </w:num>
  <w:num w:numId="13" w16cid:durableId="1029453397">
    <w:abstractNumId w:val="2"/>
  </w:num>
  <w:num w:numId="14" w16cid:durableId="588580283">
    <w:abstractNumId w:val="1"/>
  </w:num>
  <w:num w:numId="15" w16cid:durableId="1566836451">
    <w:abstractNumId w:val="17"/>
  </w:num>
  <w:num w:numId="16" w16cid:durableId="1286886151">
    <w:abstractNumId w:val="14"/>
  </w:num>
  <w:num w:numId="17" w16cid:durableId="1479958329">
    <w:abstractNumId w:val="0"/>
  </w:num>
  <w:num w:numId="18" w16cid:durableId="1734238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2B"/>
    <w:rsid w:val="00187075"/>
    <w:rsid w:val="0034052E"/>
    <w:rsid w:val="003F2B7C"/>
    <w:rsid w:val="00422A2E"/>
    <w:rsid w:val="00655E39"/>
    <w:rsid w:val="006B223A"/>
    <w:rsid w:val="008B5A2B"/>
    <w:rsid w:val="00BD4393"/>
    <w:rsid w:val="00C02547"/>
    <w:rsid w:val="00CD7D58"/>
    <w:rsid w:val="00CF2C84"/>
    <w:rsid w:val="00E93A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5C860"/>
  <w15:chartTrackingRefBased/>
  <w15:docId w15:val="{1B8DCDE6-075C-E947-BC5B-36D28C93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A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A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A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A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A2B"/>
    <w:rPr>
      <w:rFonts w:eastAsiaTheme="majorEastAsia" w:cstheme="majorBidi"/>
      <w:color w:val="272727" w:themeColor="text1" w:themeTint="D8"/>
    </w:rPr>
  </w:style>
  <w:style w:type="paragraph" w:styleId="Title">
    <w:name w:val="Title"/>
    <w:basedOn w:val="Normal"/>
    <w:next w:val="Normal"/>
    <w:link w:val="TitleChar"/>
    <w:uiPriority w:val="10"/>
    <w:qFormat/>
    <w:rsid w:val="008B5A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A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A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5A2B"/>
    <w:rPr>
      <w:i/>
      <w:iCs/>
      <w:color w:val="404040" w:themeColor="text1" w:themeTint="BF"/>
    </w:rPr>
  </w:style>
  <w:style w:type="paragraph" w:styleId="ListParagraph">
    <w:name w:val="List Paragraph"/>
    <w:basedOn w:val="Normal"/>
    <w:uiPriority w:val="34"/>
    <w:qFormat/>
    <w:rsid w:val="008B5A2B"/>
    <w:pPr>
      <w:ind w:left="720"/>
      <w:contextualSpacing/>
    </w:pPr>
  </w:style>
  <w:style w:type="character" w:styleId="IntenseEmphasis">
    <w:name w:val="Intense Emphasis"/>
    <w:basedOn w:val="DefaultParagraphFont"/>
    <w:uiPriority w:val="21"/>
    <w:qFormat/>
    <w:rsid w:val="008B5A2B"/>
    <w:rPr>
      <w:i/>
      <w:iCs/>
      <w:color w:val="0F4761" w:themeColor="accent1" w:themeShade="BF"/>
    </w:rPr>
  </w:style>
  <w:style w:type="paragraph" w:styleId="IntenseQuote">
    <w:name w:val="Intense Quote"/>
    <w:basedOn w:val="Normal"/>
    <w:next w:val="Normal"/>
    <w:link w:val="IntenseQuoteChar"/>
    <w:uiPriority w:val="30"/>
    <w:qFormat/>
    <w:rsid w:val="008B5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A2B"/>
    <w:rPr>
      <w:i/>
      <w:iCs/>
      <w:color w:val="0F4761" w:themeColor="accent1" w:themeShade="BF"/>
    </w:rPr>
  </w:style>
  <w:style w:type="character" w:styleId="IntenseReference">
    <w:name w:val="Intense Reference"/>
    <w:basedOn w:val="DefaultParagraphFont"/>
    <w:uiPriority w:val="32"/>
    <w:qFormat/>
    <w:rsid w:val="008B5A2B"/>
    <w:rPr>
      <w:b/>
      <w:bCs/>
      <w:smallCaps/>
      <w:color w:val="0F4761" w:themeColor="accent1" w:themeShade="BF"/>
      <w:spacing w:val="5"/>
    </w:rPr>
  </w:style>
  <w:style w:type="character" w:styleId="Hyperlink">
    <w:name w:val="Hyperlink"/>
    <w:basedOn w:val="DefaultParagraphFont"/>
    <w:uiPriority w:val="99"/>
    <w:unhideWhenUsed/>
    <w:rsid w:val="008B5A2B"/>
    <w:rPr>
      <w:color w:val="467886" w:themeColor="hyperlink"/>
      <w:u w:val="single"/>
    </w:rPr>
  </w:style>
  <w:style w:type="character" w:styleId="UnresolvedMention">
    <w:name w:val="Unresolved Mention"/>
    <w:basedOn w:val="DefaultParagraphFont"/>
    <w:uiPriority w:val="99"/>
    <w:semiHidden/>
    <w:unhideWhenUsed/>
    <w:rsid w:val="008B5A2B"/>
    <w:rPr>
      <w:color w:val="605E5C"/>
      <w:shd w:val="clear" w:color="auto" w:fill="E1DFDD"/>
    </w:rPr>
  </w:style>
  <w:style w:type="character" w:styleId="FollowedHyperlink">
    <w:name w:val="FollowedHyperlink"/>
    <w:basedOn w:val="DefaultParagraphFont"/>
    <w:uiPriority w:val="99"/>
    <w:semiHidden/>
    <w:unhideWhenUsed/>
    <w:rsid w:val="00655E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304709">
      <w:bodyDiv w:val="1"/>
      <w:marLeft w:val="0"/>
      <w:marRight w:val="0"/>
      <w:marTop w:val="0"/>
      <w:marBottom w:val="0"/>
      <w:divBdr>
        <w:top w:val="none" w:sz="0" w:space="0" w:color="auto"/>
        <w:left w:val="none" w:sz="0" w:space="0" w:color="auto"/>
        <w:bottom w:val="none" w:sz="0" w:space="0" w:color="auto"/>
        <w:right w:val="none" w:sz="0" w:space="0" w:color="auto"/>
      </w:divBdr>
    </w:div>
    <w:div w:id="1185829366">
      <w:bodyDiv w:val="1"/>
      <w:marLeft w:val="0"/>
      <w:marRight w:val="0"/>
      <w:marTop w:val="0"/>
      <w:marBottom w:val="0"/>
      <w:divBdr>
        <w:top w:val="none" w:sz="0" w:space="0" w:color="auto"/>
        <w:left w:val="none" w:sz="0" w:space="0" w:color="auto"/>
        <w:bottom w:val="none" w:sz="0" w:space="0" w:color="auto"/>
        <w:right w:val="none" w:sz="0" w:space="0" w:color="auto"/>
      </w:divBdr>
      <w:divsChild>
        <w:div w:id="2014988108">
          <w:marLeft w:val="0"/>
          <w:marRight w:val="0"/>
          <w:marTop w:val="0"/>
          <w:marBottom w:val="0"/>
          <w:divBdr>
            <w:top w:val="none" w:sz="0" w:space="0" w:color="auto"/>
            <w:left w:val="none" w:sz="0" w:space="0" w:color="auto"/>
            <w:bottom w:val="none" w:sz="0" w:space="0" w:color="auto"/>
            <w:right w:val="none" w:sz="0" w:space="0" w:color="auto"/>
          </w:divBdr>
          <w:divsChild>
            <w:div w:id="1957180569">
              <w:marLeft w:val="0"/>
              <w:marRight w:val="0"/>
              <w:marTop w:val="0"/>
              <w:marBottom w:val="0"/>
              <w:divBdr>
                <w:top w:val="none" w:sz="0" w:space="0" w:color="auto"/>
                <w:left w:val="none" w:sz="0" w:space="0" w:color="auto"/>
                <w:bottom w:val="none" w:sz="0" w:space="0" w:color="auto"/>
                <w:right w:val="none" w:sz="0" w:space="0" w:color="auto"/>
              </w:divBdr>
              <w:divsChild>
                <w:div w:id="300699396">
                  <w:marLeft w:val="0"/>
                  <w:marRight w:val="0"/>
                  <w:marTop w:val="0"/>
                  <w:marBottom w:val="0"/>
                  <w:divBdr>
                    <w:top w:val="none" w:sz="0" w:space="0" w:color="auto"/>
                    <w:left w:val="none" w:sz="0" w:space="0" w:color="auto"/>
                    <w:bottom w:val="none" w:sz="0" w:space="0" w:color="auto"/>
                    <w:right w:val="none" w:sz="0" w:space="0" w:color="auto"/>
                  </w:divBdr>
                  <w:divsChild>
                    <w:div w:id="556235401">
                      <w:marLeft w:val="0"/>
                      <w:marRight w:val="0"/>
                      <w:marTop w:val="0"/>
                      <w:marBottom w:val="0"/>
                      <w:divBdr>
                        <w:top w:val="none" w:sz="0" w:space="0" w:color="auto"/>
                        <w:left w:val="none" w:sz="0" w:space="0" w:color="auto"/>
                        <w:bottom w:val="none" w:sz="0" w:space="0" w:color="auto"/>
                        <w:right w:val="none" w:sz="0" w:space="0" w:color="auto"/>
                      </w:divBdr>
                      <w:divsChild>
                        <w:div w:id="1916544547">
                          <w:marLeft w:val="0"/>
                          <w:marRight w:val="0"/>
                          <w:marTop w:val="0"/>
                          <w:marBottom w:val="0"/>
                          <w:divBdr>
                            <w:top w:val="none" w:sz="0" w:space="0" w:color="auto"/>
                            <w:left w:val="none" w:sz="0" w:space="0" w:color="auto"/>
                            <w:bottom w:val="none" w:sz="0" w:space="0" w:color="auto"/>
                            <w:right w:val="none" w:sz="0" w:space="0" w:color="auto"/>
                          </w:divBdr>
                          <w:divsChild>
                            <w:div w:id="1741055800">
                              <w:marLeft w:val="0"/>
                              <w:marRight w:val="0"/>
                              <w:marTop w:val="0"/>
                              <w:marBottom w:val="0"/>
                              <w:divBdr>
                                <w:top w:val="none" w:sz="0" w:space="0" w:color="auto"/>
                                <w:left w:val="none" w:sz="0" w:space="0" w:color="auto"/>
                                <w:bottom w:val="none" w:sz="0" w:space="0" w:color="auto"/>
                                <w:right w:val="none" w:sz="0" w:space="0" w:color="auto"/>
                              </w:divBdr>
                              <w:divsChild>
                                <w:div w:id="931279077">
                                  <w:marLeft w:val="0"/>
                                  <w:marRight w:val="0"/>
                                  <w:marTop w:val="0"/>
                                  <w:marBottom w:val="0"/>
                                  <w:divBdr>
                                    <w:top w:val="none" w:sz="0" w:space="0" w:color="auto"/>
                                    <w:left w:val="none" w:sz="0" w:space="0" w:color="auto"/>
                                    <w:bottom w:val="none" w:sz="0" w:space="0" w:color="auto"/>
                                    <w:right w:val="none" w:sz="0" w:space="0" w:color="auto"/>
                                  </w:divBdr>
                                  <w:divsChild>
                                    <w:div w:id="712001669">
                                      <w:marLeft w:val="0"/>
                                      <w:marRight w:val="0"/>
                                      <w:marTop w:val="0"/>
                                      <w:marBottom w:val="0"/>
                                      <w:divBdr>
                                        <w:top w:val="none" w:sz="0" w:space="0" w:color="auto"/>
                                        <w:left w:val="none" w:sz="0" w:space="0" w:color="auto"/>
                                        <w:bottom w:val="none" w:sz="0" w:space="0" w:color="auto"/>
                                        <w:right w:val="none" w:sz="0" w:space="0" w:color="auto"/>
                                      </w:divBdr>
                                      <w:divsChild>
                                        <w:div w:id="522790282">
                                          <w:marLeft w:val="0"/>
                                          <w:marRight w:val="0"/>
                                          <w:marTop w:val="0"/>
                                          <w:marBottom w:val="0"/>
                                          <w:divBdr>
                                            <w:top w:val="none" w:sz="0" w:space="0" w:color="auto"/>
                                            <w:left w:val="none" w:sz="0" w:space="0" w:color="auto"/>
                                            <w:bottom w:val="none" w:sz="0" w:space="0" w:color="auto"/>
                                            <w:right w:val="none" w:sz="0" w:space="0" w:color="auto"/>
                                          </w:divBdr>
                                          <w:divsChild>
                                            <w:div w:id="704986007">
                                              <w:marLeft w:val="0"/>
                                              <w:marRight w:val="0"/>
                                              <w:marTop w:val="0"/>
                                              <w:marBottom w:val="0"/>
                                              <w:divBdr>
                                                <w:top w:val="none" w:sz="0" w:space="0" w:color="auto"/>
                                                <w:left w:val="none" w:sz="0" w:space="0" w:color="auto"/>
                                                <w:bottom w:val="none" w:sz="0" w:space="0" w:color="auto"/>
                                                <w:right w:val="none" w:sz="0" w:space="0" w:color="auto"/>
                                              </w:divBdr>
                                              <w:divsChild>
                                                <w:div w:id="368844496">
                                                  <w:marLeft w:val="0"/>
                                                  <w:marRight w:val="0"/>
                                                  <w:marTop w:val="0"/>
                                                  <w:marBottom w:val="0"/>
                                                  <w:divBdr>
                                                    <w:top w:val="none" w:sz="0" w:space="0" w:color="auto"/>
                                                    <w:left w:val="none" w:sz="0" w:space="0" w:color="auto"/>
                                                    <w:bottom w:val="none" w:sz="0" w:space="0" w:color="auto"/>
                                                    <w:right w:val="none" w:sz="0" w:space="0" w:color="auto"/>
                                                  </w:divBdr>
                                                  <w:divsChild>
                                                    <w:div w:id="1326862552">
                                                      <w:marLeft w:val="0"/>
                                                      <w:marRight w:val="0"/>
                                                      <w:marTop w:val="0"/>
                                                      <w:marBottom w:val="0"/>
                                                      <w:divBdr>
                                                        <w:top w:val="none" w:sz="0" w:space="0" w:color="auto"/>
                                                        <w:left w:val="none" w:sz="0" w:space="0" w:color="auto"/>
                                                        <w:bottom w:val="none" w:sz="0" w:space="0" w:color="auto"/>
                                                        <w:right w:val="none" w:sz="0" w:space="0" w:color="auto"/>
                                                      </w:divBdr>
                                                      <w:divsChild>
                                                        <w:div w:id="1978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35641">
                                              <w:marLeft w:val="0"/>
                                              <w:marRight w:val="0"/>
                                              <w:marTop w:val="0"/>
                                              <w:marBottom w:val="0"/>
                                              <w:divBdr>
                                                <w:top w:val="none" w:sz="0" w:space="0" w:color="auto"/>
                                                <w:left w:val="none" w:sz="0" w:space="0" w:color="auto"/>
                                                <w:bottom w:val="none" w:sz="0" w:space="0" w:color="auto"/>
                                                <w:right w:val="none" w:sz="0" w:space="0" w:color="auto"/>
                                              </w:divBdr>
                                              <w:divsChild>
                                                <w:div w:id="1427193646">
                                                  <w:marLeft w:val="0"/>
                                                  <w:marRight w:val="0"/>
                                                  <w:marTop w:val="0"/>
                                                  <w:marBottom w:val="0"/>
                                                  <w:divBdr>
                                                    <w:top w:val="none" w:sz="0" w:space="0" w:color="auto"/>
                                                    <w:left w:val="none" w:sz="0" w:space="0" w:color="auto"/>
                                                    <w:bottom w:val="none" w:sz="0" w:space="0" w:color="auto"/>
                                                    <w:right w:val="none" w:sz="0" w:space="0" w:color="auto"/>
                                                  </w:divBdr>
                                                  <w:divsChild>
                                                    <w:div w:id="1730305480">
                                                      <w:marLeft w:val="0"/>
                                                      <w:marRight w:val="0"/>
                                                      <w:marTop w:val="0"/>
                                                      <w:marBottom w:val="0"/>
                                                      <w:divBdr>
                                                        <w:top w:val="none" w:sz="0" w:space="0" w:color="auto"/>
                                                        <w:left w:val="none" w:sz="0" w:space="0" w:color="auto"/>
                                                        <w:bottom w:val="none" w:sz="0" w:space="0" w:color="auto"/>
                                                        <w:right w:val="none" w:sz="0" w:space="0" w:color="auto"/>
                                                      </w:divBdr>
                                                      <w:divsChild>
                                                        <w:div w:id="9878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44566">
          <w:marLeft w:val="0"/>
          <w:marRight w:val="0"/>
          <w:marTop w:val="0"/>
          <w:marBottom w:val="0"/>
          <w:divBdr>
            <w:top w:val="none" w:sz="0" w:space="0" w:color="auto"/>
            <w:left w:val="none" w:sz="0" w:space="0" w:color="auto"/>
            <w:bottom w:val="none" w:sz="0" w:space="0" w:color="auto"/>
            <w:right w:val="none" w:sz="0" w:space="0" w:color="auto"/>
          </w:divBdr>
          <w:divsChild>
            <w:div w:id="1942763084">
              <w:marLeft w:val="0"/>
              <w:marRight w:val="0"/>
              <w:marTop w:val="0"/>
              <w:marBottom w:val="0"/>
              <w:divBdr>
                <w:top w:val="none" w:sz="0" w:space="0" w:color="auto"/>
                <w:left w:val="none" w:sz="0" w:space="0" w:color="auto"/>
                <w:bottom w:val="none" w:sz="0" w:space="0" w:color="auto"/>
                <w:right w:val="none" w:sz="0" w:space="0" w:color="auto"/>
              </w:divBdr>
              <w:divsChild>
                <w:div w:id="1868056406">
                  <w:marLeft w:val="0"/>
                  <w:marRight w:val="0"/>
                  <w:marTop w:val="0"/>
                  <w:marBottom w:val="0"/>
                  <w:divBdr>
                    <w:top w:val="none" w:sz="0" w:space="0" w:color="auto"/>
                    <w:left w:val="none" w:sz="0" w:space="0" w:color="auto"/>
                    <w:bottom w:val="none" w:sz="0" w:space="0" w:color="auto"/>
                    <w:right w:val="none" w:sz="0" w:space="0" w:color="auto"/>
                  </w:divBdr>
                  <w:divsChild>
                    <w:div w:id="746461315">
                      <w:marLeft w:val="0"/>
                      <w:marRight w:val="0"/>
                      <w:marTop w:val="0"/>
                      <w:marBottom w:val="0"/>
                      <w:divBdr>
                        <w:top w:val="none" w:sz="0" w:space="0" w:color="auto"/>
                        <w:left w:val="none" w:sz="0" w:space="0" w:color="auto"/>
                        <w:bottom w:val="none" w:sz="0" w:space="0" w:color="auto"/>
                        <w:right w:val="none" w:sz="0" w:space="0" w:color="auto"/>
                      </w:divBdr>
                      <w:divsChild>
                        <w:div w:id="1781485478">
                          <w:marLeft w:val="0"/>
                          <w:marRight w:val="0"/>
                          <w:marTop w:val="0"/>
                          <w:marBottom w:val="0"/>
                          <w:divBdr>
                            <w:top w:val="none" w:sz="0" w:space="0" w:color="auto"/>
                            <w:left w:val="none" w:sz="0" w:space="0" w:color="auto"/>
                            <w:bottom w:val="none" w:sz="0" w:space="0" w:color="auto"/>
                            <w:right w:val="none" w:sz="0" w:space="0" w:color="auto"/>
                          </w:divBdr>
                          <w:divsChild>
                            <w:div w:id="1712924337">
                              <w:marLeft w:val="0"/>
                              <w:marRight w:val="0"/>
                              <w:marTop w:val="0"/>
                              <w:marBottom w:val="0"/>
                              <w:divBdr>
                                <w:top w:val="none" w:sz="0" w:space="0" w:color="auto"/>
                                <w:left w:val="none" w:sz="0" w:space="0" w:color="auto"/>
                                <w:bottom w:val="none" w:sz="0" w:space="0" w:color="auto"/>
                                <w:right w:val="none" w:sz="0" w:space="0" w:color="auto"/>
                              </w:divBdr>
                              <w:divsChild>
                                <w:div w:id="1836871460">
                                  <w:marLeft w:val="0"/>
                                  <w:marRight w:val="0"/>
                                  <w:marTop w:val="0"/>
                                  <w:marBottom w:val="0"/>
                                  <w:divBdr>
                                    <w:top w:val="none" w:sz="0" w:space="0" w:color="auto"/>
                                    <w:left w:val="none" w:sz="0" w:space="0" w:color="auto"/>
                                    <w:bottom w:val="none" w:sz="0" w:space="0" w:color="auto"/>
                                    <w:right w:val="none" w:sz="0" w:space="0" w:color="auto"/>
                                  </w:divBdr>
                                  <w:divsChild>
                                    <w:div w:id="556401390">
                                      <w:marLeft w:val="0"/>
                                      <w:marRight w:val="0"/>
                                      <w:marTop w:val="0"/>
                                      <w:marBottom w:val="0"/>
                                      <w:divBdr>
                                        <w:top w:val="none" w:sz="0" w:space="0" w:color="auto"/>
                                        <w:left w:val="none" w:sz="0" w:space="0" w:color="auto"/>
                                        <w:bottom w:val="none" w:sz="0" w:space="0" w:color="auto"/>
                                        <w:right w:val="none" w:sz="0" w:space="0" w:color="auto"/>
                                      </w:divBdr>
                                      <w:divsChild>
                                        <w:div w:id="1881897877">
                                          <w:marLeft w:val="0"/>
                                          <w:marRight w:val="0"/>
                                          <w:marTop w:val="0"/>
                                          <w:marBottom w:val="0"/>
                                          <w:divBdr>
                                            <w:top w:val="none" w:sz="0" w:space="0" w:color="auto"/>
                                            <w:left w:val="none" w:sz="0" w:space="0" w:color="auto"/>
                                            <w:bottom w:val="none" w:sz="0" w:space="0" w:color="auto"/>
                                            <w:right w:val="none" w:sz="0" w:space="0" w:color="auto"/>
                                          </w:divBdr>
                                          <w:divsChild>
                                            <w:div w:id="1601139716">
                                              <w:marLeft w:val="0"/>
                                              <w:marRight w:val="0"/>
                                              <w:marTop w:val="0"/>
                                              <w:marBottom w:val="0"/>
                                              <w:divBdr>
                                                <w:top w:val="none" w:sz="0" w:space="0" w:color="auto"/>
                                                <w:left w:val="none" w:sz="0" w:space="0" w:color="auto"/>
                                                <w:bottom w:val="none" w:sz="0" w:space="0" w:color="auto"/>
                                                <w:right w:val="none" w:sz="0" w:space="0" w:color="auto"/>
                                              </w:divBdr>
                                              <w:divsChild>
                                                <w:div w:id="122614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596109">
                  <w:marLeft w:val="0"/>
                  <w:marRight w:val="0"/>
                  <w:marTop w:val="0"/>
                  <w:marBottom w:val="0"/>
                  <w:divBdr>
                    <w:top w:val="none" w:sz="0" w:space="0" w:color="auto"/>
                    <w:left w:val="none" w:sz="0" w:space="0" w:color="auto"/>
                    <w:bottom w:val="none" w:sz="0" w:space="0" w:color="auto"/>
                    <w:right w:val="none" w:sz="0" w:space="0" w:color="auto"/>
                  </w:divBdr>
                  <w:divsChild>
                    <w:div w:id="1535801835">
                      <w:marLeft w:val="0"/>
                      <w:marRight w:val="0"/>
                      <w:marTop w:val="0"/>
                      <w:marBottom w:val="0"/>
                      <w:divBdr>
                        <w:top w:val="none" w:sz="0" w:space="0" w:color="auto"/>
                        <w:left w:val="none" w:sz="0" w:space="0" w:color="auto"/>
                        <w:bottom w:val="none" w:sz="0" w:space="0" w:color="auto"/>
                        <w:right w:val="none" w:sz="0" w:space="0" w:color="auto"/>
                      </w:divBdr>
                      <w:divsChild>
                        <w:div w:id="14410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044503">
      <w:bodyDiv w:val="1"/>
      <w:marLeft w:val="0"/>
      <w:marRight w:val="0"/>
      <w:marTop w:val="0"/>
      <w:marBottom w:val="0"/>
      <w:divBdr>
        <w:top w:val="none" w:sz="0" w:space="0" w:color="auto"/>
        <w:left w:val="none" w:sz="0" w:space="0" w:color="auto"/>
        <w:bottom w:val="none" w:sz="0" w:space="0" w:color="auto"/>
        <w:right w:val="none" w:sz="0" w:space="0" w:color="auto"/>
      </w:divBdr>
    </w:div>
    <w:div w:id="1986005265">
      <w:bodyDiv w:val="1"/>
      <w:marLeft w:val="0"/>
      <w:marRight w:val="0"/>
      <w:marTop w:val="0"/>
      <w:marBottom w:val="0"/>
      <w:divBdr>
        <w:top w:val="none" w:sz="0" w:space="0" w:color="auto"/>
        <w:left w:val="none" w:sz="0" w:space="0" w:color="auto"/>
        <w:bottom w:val="none" w:sz="0" w:space="0" w:color="auto"/>
        <w:right w:val="none" w:sz="0" w:space="0" w:color="auto"/>
      </w:divBdr>
      <w:divsChild>
        <w:div w:id="688681198">
          <w:marLeft w:val="0"/>
          <w:marRight w:val="0"/>
          <w:marTop w:val="0"/>
          <w:marBottom w:val="0"/>
          <w:divBdr>
            <w:top w:val="none" w:sz="0" w:space="0" w:color="auto"/>
            <w:left w:val="none" w:sz="0" w:space="0" w:color="auto"/>
            <w:bottom w:val="none" w:sz="0" w:space="0" w:color="auto"/>
            <w:right w:val="none" w:sz="0" w:space="0" w:color="auto"/>
          </w:divBdr>
          <w:divsChild>
            <w:div w:id="1021273526">
              <w:marLeft w:val="0"/>
              <w:marRight w:val="0"/>
              <w:marTop w:val="0"/>
              <w:marBottom w:val="0"/>
              <w:divBdr>
                <w:top w:val="none" w:sz="0" w:space="0" w:color="auto"/>
                <w:left w:val="none" w:sz="0" w:space="0" w:color="auto"/>
                <w:bottom w:val="none" w:sz="0" w:space="0" w:color="auto"/>
                <w:right w:val="none" w:sz="0" w:space="0" w:color="auto"/>
              </w:divBdr>
              <w:divsChild>
                <w:div w:id="2038578802">
                  <w:marLeft w:val="0"/>
                  <w:marRight w:val="0"/>
                  <w:marTop w:val="0"/>
                  <w:marBottom w:val="0"/>
                  <w:divBdr>
                    <w:top w:val="none" w:sz="0" w:space="0" w:color="auto"/>
                    <w:left w:val="none" w:sz="0" w:space="0" w:color="auto"/>
                    <w:bottom w:val="none" w:sz="0" w:space="0" w:color="auto"/>
                    <w:right w:val="none" w:sz="0" w:space="0" w:color="auto"/>
                  </w:divBdr>
                  <w:divsChild>
                    <w:div w:id="895580952">
                      <w:marLeft w:val="0"/>
                      <w:marRight w:val="0"/>
                      <w:marTop w:val="0"/>
                      <w:marBottom w:val="0"/>
                      <w:divBdr>
                        <w:top w:val="none" w:sz="0" w:space="0" w:color="auto"/>
                        <w:left w:val="none" w:sz="0" w:space="0" w:color="auto"/>
                        <w:bottom w:val="none" w:sz="0" w:space="0" w:color="auto"/>
                        <w:right w:val="none" w:sz="0" w:space="0" w:color="auto"/>
                      </w:divBdr>
                      <w:divsChild>
                        <w:div w:id="1913813749">
                          <w:marLeft w:val="0"/>
                          <w:marRight w:val="0"/>
                          <w:marTop w:val="0"/>
                          <w:marBottom w:val="0"/>
                          <w:divBdr>
                            <w:top w:val="none" w:sz="0" w:space="0" w:color="auto"/>
                            <w:left w:val="none" w:sz="0" w:space="0" w:color="auto"/>
                            <w:bottom w:val="none" w:sz="0" w:space="0" w:color="auto"/>
                            <w:right w:val="none" w:sz="0" w:space="0" w:color="auto"/>
                          </w:divBdr>
                          <w:divsChild>
                            <w:div w:id="578632618">
                              <w:marLeft w:val="0"/>
                              <w:marRight w:val="0"/>
                              <w:marTop w:val="0"/>
                              <w:marBottom w:val="0"/>
                              <w:divBdr>
                                <w:top w:val="none" w:sz="0" w:space="0" w:color="auto"/>
                                <w:left w:val="none" w:sz="0" w:space="0" w:color="auto"/>
                                <w:bottom w:val="none" w:sz="0" w:space="0" w:color="auto"/>
                                <w:right w:val="none" w:sz="0" w:space="0" w:color="auto"/>
                              </w:divBdr>
                              <w:divsChild>
                                <w:div w:id="1104299627">
                                  <w:marLeft w:val="0"/>
                                  <w:marRight w:val="0"/>
                                  <w:marTop w:val="0"/>
                                  <w:marBottom w:val="0"/>
                                  <w:divBdr>
                                    <w:top w:val="none" w:sz="0" w:space="0" w:color="auto"/>
                                    <w:left w:val="none" w:sz="0" w:space="0" w:color="auto"/>
                                    <w:bottom w:val="none" w:sz="0" w:space="0" w:color="auto"/>
                                    <w:right w:val="none" w:sz="0" w:space="0" w:color="auto"/>
                                  </w:divBdr>
                                  <w:divsChild>
                                    <w:div w:id="299041714">
                                      <w:marLeft w:val="0"/>
                                      <w:marRight w:val="0"/>
                                      <w:marTop w:val="0"/>
                                      <w:marBottom w:val="0"/>
                                      <w:divBdr>
                                        <w:top w:val="none" w:sz="0" w:space="0" w:color="auto"/>
                                        <w:left w:val="none" w:sz="0" w:space="0" w:color="auto"/>
                                        <w:bottom w:val="none" w:sz="0" w:space="0" w:color="auto"/>
                                        <w:right w:val="none" w:sz="0" w:space="0" w:color="auto"/>
                                      </w:divBdr>
                                      <w:divsChild>
                                        <w:div w:id="1765568417">
                                          <w:marLeft w:val="0"/>
                                          <w:marRight w:val="0"/>
                                          <w:marTop w:val="0"/>
                                          <w:marBottom w:val="0"/>
                                          <w:divBdr>
                                            <w:top w:val="none" w:sz="0" w:space="0" w:color="auto"/>
                                            <w:left w:val="none" w:sz="0" w:space="0" w:color="auto"/>
                                            <w:bottom w:val="none" w:sz="0" w:space="0" w:color="auto"/>
                                            <w:right w:val="none" w:sz="0" w:space="0" w:color="auto"/>
                                          </w:divBdr>
                                          <w:divsChild>
                                            <w:div w:id="1858688763">
                                              <w:marLeft w:val="0"/>
                                              <w:marRight w:val="0"/>
                                              <w:marTop w:val="0"/>
                                              <w:marBottom w:val="0"/>
                                              <w:divBdr>
                                                <w:top w:val="none" w:sz="0" w:space="0" w:color="auto"/>
                                                <w:left w:val="none" w:sz="0" w:space="0" w:color="auto"/>
                                                <w:bottom w:val="none" w:sz="0" w:space="0" w:color="auto"/>
                                                <w:right w:val="none" w:sz="0" w:space="0" w:color="auto"/>
                                              </w:divBdr>
                                              <w:divsChild>
                                                <w:div w:id="817501675">
                                                  <w:marLeft w:val="0"/>
                                                  <w:marRight w:val="0"/>
                                                  <w:marTop w:val="0"/>
                                                  <w:marBottom w:val="0"/>
                                                  <w:divBdr>
                                                    <w:top w:val="none" w:sz="0" w:space="0" w:color="auto"/>
                                                    <w:left w:val="none" w:sz="0" w:space="0" w:color="auto"/>
                                                    <w:bottom w:val="none" w:sz="0" w:space="0" w:color="auto"/>
                                                    <w:right w:val="none" w:sz="0" w:space="0" w:color="auto"/>
                                                  </w:divBdr>
                                                  <w:divsChild>
                                                    <w:div w:id="49691386">
                                                      <w:marLeft w:val="0"/>
                                                      <w:marRight w:val="0"/>
                                                      <w:marTop w:val="0"/>
                                                      <w:marBottom w:val="0"/>
                                                      <w:divBdr>
                                                        <w:top w:val="none" w:sz="0" w:space="0" w:color="auto"/>
                                                        <w:left w:val="none" w:sz="0" w:space="0" w:color="auto"/>
                                                        <w:bottom w:val="none" w:sz="0" w:space="0" w:color="auto"/>
                                                        <w:right w:val="none" w:sz="0" w:space="0" w:color="auto"/>
                                                      </w:divBdr>
                                                      <w:divsChild>
                                                        <w:div w:id="13266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900388">
                                              <w:marLeft w:val="0"/>
                                              <w:marRight w:val="0"/>
                                              <w:marTop w:val="0"/>
                                              <w:marBottom w:val="0"/>
                                              <w:divBdr>
                                                <w:top w:val="none" w:sz="0" w:space="0" w:color="auto"/>
                                                <w:left w:val="none" w:sz="0" w:space="0" w:color="auto"/>
                                                <w:bottom w:val="none" w:sz="0" w:space="0" w:color="auto"/>
                                                <w:right w:val="none" w:sz="0" w:space="0" w:color="auto"/>
                                              </w:divBdr>
                                              <w:divsChild>
                                                <w:div w:id="210581610">
                                                  <w:marLeft w:val="0"/>
                                                  <w:marRight w:val="0"/>
                                                  <w:marTop w:val="0"/>
                                                  <w:marBottom w:val="0"/>
                                                  <w:divBdr>
                                                    <w:top w:val="none" w:sz="0" w:space="0" w:color="auto"/>
                                                    <w:left w:val="none" w:sz="0" w:space="0" w:color="auto"/>
                                                    <w:bottom w:val="none" w:sz="0" w:space="0" w:color="auto"/>
                                                    <w:right w:val="none" w:sz="0" w:space="0" w:color="auto"/>
                                                  </w:divBdr>
                                                  <w:divsChild>
                                                    <w:div w:id="1639535001">
                                                      <w:marLeft w:val="0"/>
                                                      <w:marRight w:val="0"/>
                                                      <w:marTop w:val="0"/>
                                                      <w:marBottom w:val="0"/>
                                                      <w:divBdr>
                                                        <w:top w:val="none" w:sz="0" w:space="0" w:color="auto"/>
                                                        <w:left w:val="none" w:sz="0" w:space="0" w:color="auto"/>
                                                        <w:bottom w:val="none" w:sz="0" w:space="0" w:color="auto"/>
                                                        <w:right w:val="none" w:sz="0" w:space="0" w:color="auto"/>
                                                      </w:divBdr>
                                                      <w:divsChild>
                                                        <w:div w:id="18991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927317">
          <w:marLeft w:val="0"/>
          <w:marRight w:val="0"/>
          <w:marTop w:val="0"/>
          <w:marBottom w:val="0"/>
          <w:divBdr>
            <w:top w:val="none" w:sz="0" w:space="0" w:color="auto"/>
            <w:left w:val="none" w:sz="0" w:space="0" w:color="auto"/>
            <w:bottom w:val="none" w:sz="0" w:space="0" w:color="auto"/>
            <w:right w:val="none" w:sz="0" w:space="0" w:color="auto"/>
          </w:divBdr>
          <w:divsChild>
            <w:div w:id="1930237771">
              <w:marLeft w:val="0"/>
              <w:marRight w:val="0"/>
              <w:marTop w:val="0"/>
              <w:marBottom w:val="0"/>
              <w:divBdr>
                <w:top w:val="none" w:sz="0" w:space="0" w:color="auto"/>
                <w:left w:val="none" w:sz="0" w:space="0" w:color="auto"/>
                <w:bottom w:val="none" w:sz="0" w:space="0" w:color="auto"/>
                <w:right w:val="none" w:sz="0" w:space="0" w:color="auto"/>
              </w:divBdr>
              <w:divsChild>
                <w:div w:id="270599753">
                  <w:marLeft w:val="0"/>
                  <w:marRight w:val="0"/>
                  <w:marTop w:val="0"/>
                  <w:marBottom w:val="0"/>
                  <w:divBdr>
                    <w:top w:val="none" w:sz="0" w:space="0" w:color="auto"/>
                    <w:left w:val="none" w:sz="0" w:space="0" w:color="auto"/>
                    <w:bottom w:val="none" w:sz="0" w:space="0" w:color="auto"/>
                    <w:right w:val="none" w:sz="0" w:space="0" w:color="auto"/>
                  </w:divBdr>
                  <w:divsChild>
                    <w:div w:id="381755488">
                      <w:marLeft w:val="0"/>
                      <w:marRight w:val="0"/>
                      <w:marTop w:val="0"/>
                      <w:marBottom w:val="0"/>
                      <w:divBdr>
                        <w:top w:val="none" w:sz="0" w:space="0" w:color="auto"/>
                        <w:left w:val="none" w:sz="0" w:space="0" w:color="auto"/>
                        <w:bottom w:val="none" w:sz="0" w:space="0" w:color="auto"/>
                        <w:right w:val="none" w:sz="0" w:space="0" w:color="auto"/>
                      </w:divBdr>
                      <w:divsChild>
                        <w:div w:id="235092900">
                          <w:marLeft w:val="0"/>
                          <w:marRight w:val="0"/>
                          <w:marTop w:val="0"/>
                          <w:marBottom w:val="0"/>
                          <w:divBdr>
                            <w:top w:val="none" w:sz="0" w:space="0" w:color="auto"/>
                            <w:left w:val="none" w:sz="0" w:space="0" w:color="auto"/>
                            <w:bottom w:val="none" w:sz="0" w:space="0" w:color="auto"/>
                            <w:right w:val="none" w:sz="0" w:space="0" w:color="auto"/>
                          </w:divBdr>
                          <w:divsChild>
                            <w:div w:id="92677063">
                              <w:marLeft w:val="0"/>
                              <w:marRight w:val="0"/>
                              <w:marTop w:val="0"/>
                              <w:marBottom w:val="0"/>
                              <w:divBdr>
                                <w:top w:val="none" w:sz="0" w:space="0" w:color="auto"/>
                                <w:left w:val="none" w:sz="0" w:space="0" w:color="auto"/>
                                <w:bottom w:val="none" w:sz="0" w:space="0" w:color="auto"/>
                                <w:right w:val="none" w:sz="0" w:space="0" w:color="auto"/>
                              </w:divBdr>
                              <w:divsChild>
                                <w:div w:id="500589101">
                                  <w:marLeft w:val="0"/>
                                  <w:marRight w:val="0"/>
                                  <w:marTop w:val="0"/>
                                  <w:marBottom w:val="0"/>
                                  <w:divBdr>
                                    <w:top w:val="none" w:sz="0" w:space="0" w:color="auto"/>
                                    <w:left w:val="none" w:sz="0" w:space="0" w:color="auto"/>
                                    <w:bottom w:val="none" w:sz="0" w:space="0" w:color="auto"/>
                                    <w:right w:val="none" w:sz="0" w:space="0" w:color="auto"/>
                                  </w:divBdr>
                                  <w:divsChild>
                                    <w:div w:id="978340563">
                                      <w:marLeft w:val="0"/>
                                      <w:marRight w:val="0"/>
                                      <w:marTop w:val="0"/>
                                      <w:marBottom w:val="0"/>
                                      <w:divBdr>
                                        <w:top w:val="none" w:sz="0" w:space="0" w:color="auto"/>
                                        <w:left w:val="none" w:sz="0" w:space="0" w:color="auto"/>
                                        <w:bottom w:val="none" w:sz="0" w:space="0" w:color="auto"/>
                                        <w:right w:val="none" w:sz="0" w:space="0" w:color="auto"/>
                                      </w:divBdr>
                                      <w:divsChild>
                                        <w:div w:id="452872108">
                                          <w:marLeft w:val="0"/>
                                          <w:marRight w:val="0"/>
                                          <w:marTop w:val="0"/>
                                          <w:marBottom w:val="0"/>
                                          <w:divBdr>
                                            <w:top w:val="none" w:sz="0" w:space="0" w:color="auto"/>
                                            <w:left w:val="none" w:sz="0" w:space="0" w:color="auto"/>
                                            <w:bottom w:val="none" w:sz="0" w:space="0" w:color="auto"/>
                                            <w:right w:val="none" w:sz="0" w:space="0" w:color="auto"/>
                                          </w:divBdr>
                                          <w:divsChild>
                                            <w:div w:id="1327050916">
                                              <w:marLeft w:val="0"/>
                                              <w:marRight w:val="0"/>
                                              <w:marTop w:val="0"/>
                                              <w:marBottom w:val="0"/>
                                              <w:divBdr>
                                                <w:top w:val="none" w:sz="0" w:space="0" w:color="auto"/>
                                                <w:left w:val="none" w:sz="0" w:space="0" w:color="auto"/>
                                                <w:bottom w:val="none" w:sz="0" w:space="0" w:color="auto"/>
                                                <w:right w:val="none" w:sz="0" w:space="0" w:color="auto"/>
                                              </w:divBdr>
                                              <w:divsChild>
                                                <w:div w:id="2013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442491">
                  <w:marLeft w:val="0"/>
                  <w:marRight w:val="0"/>
                  <w:marTop w:val="0"/>
                  <w:marBottom w:val="0"/>
                  <w:divBdr>
                    <w:top w:val="none" w:sz="0" w:space="0" w:color="auto"/>
                    <w:left w:val="none" w:sz="0" w:space="0" w:color="auto"/>
                    <w:bottom w:val="none" w:sz="0" w:space="0" w:color="auto"/>
                    <w:right w:val="none" w:sz="0" w:space="0" w:color="auto"/>
                  </w:divBdr>
                  <w:divsChild>
                    <w:div w:id="375278095">
                      <w:marLeft w:val="0"/>
                      <w:marRight w:val="0"/>
                      <w:marTop w:val="0"/>
                      <w:marBottom w:val="0"/>
                      <w:divBdr>
                        <w:top w:val="none" w:sz="0" w:space="0" w:color="auto"/>
                        <w:left w:val="none" w:sz="0" w:space="0" w:color="auto"/>
                        <w:bottom w:val="none" w:sz="0" w:space="0" w:color="auto"/>
                        <w:right w:val="none" w:sz="0" w:space="0" w:color="auto"/>
                      </w:divBdr>
                      <w:divsChild>
                        <w:div w:id="4655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ada.ca" TargetMode="External"/><Relationship Id="rId3" Type="http://schemas.openxmlformats.org/officeDocument/2006/relationships/settings" Target="settings.xml"/><Relationship Id="rId7" Type="http://schemas.openxmlformats.org/officeDocument/2006/relationships/hyperlink" Target="https://www.quebec.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ada.ca" TargetMode="External"/><Relationship Id="rId5" Type="http://schemas.openxmlformats.org/officeDocument/2006/relationships/hyperlink" Target="https://www.canada.c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2024-10-24T03:23:00Z</dcterms:created>
  <dcterms:modified xsi:type="dcterms:W3CDTF">2024-10-29T05:38:00Z</dcterms:modified>
</cp:coreProperties>
</file>