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BB61C9" w14:textId="77777777" w:rsidR="00C62FF7" w:rsidRDefault="00000000">
      <w:pPr>
        <w:pStyle w:val="Heading1"/>
      </w:pPr>
      <w:r>
        <w:t>Teaching Summary</w:t>
      </w:r>
    </w:p>
    <w:p w14:paraId="7EA31317" w14:textId="77777777" w:rsidR="00C62FF7" w:rsidRDefault="00000000">
      <w:r>
        <w:t>Dr. Muhebullah Karimzada</w:t>
      </w:r>
      <w:r>
        <w:br/>
        <w:t>Fields: Macroeconomics | Monetary Economics | International Finance | Money and Banking | Labour Economics | Mathematical Economics</w:t>
      </w:r>
    </w:p>
    <w:p w14:paraId="5120521A" w14:textId="77777777" w:rsidR="00C62FF7" w:rsidRDefault="00000000">
      <w:pPr>
        <w:pStyle w:val="Heading2"/>
      </w:pPr>
      <w:r>
        <w:t>Teaching Philosophy</w:t>
      </w:r>
    </w:p>
    <w:p w14:paraId="5FFA9186" w14:textId="77777777" w:rsidR="00C62FF7" w:rsidRDefault="00000000">
      <w:r>
        <w:t>Teaching economics is, to me, an act of storytelling through theory and data. I approach each course as an opportunity to help students see how economic models interpret the world around them. My goal is to cultivate in students not only an understanding of macroeconomic principles but also an economist’s mindset: analytical, empirical, and curious.</w:t>
      </w:r>
      <w:r>
        <w:br/>
      </w:r>
      <w:r>
        <w:br/>
        <w:t>I design my courses to blend rigorous theory, applied data work, and active discussion. I encourage students to connect macroeconomic models with policy debates and global challenges. Whether discussing inflation targeting at the Bank of Canada, wage inequality, or currency crises, I guide students to move beyond memorization and engage in reasoning.</w:t>
      </w:r>
      <w:r>
        <w:br/>
      </w:r>
      <w:r>
        <w:br/>
        <w:t>Learning economics, in my classroom, means developing clarity of thought, comfort with data, and the ability to explain complex phenomena simply and persuasively.</w:t>
      </w:r>
    </w:p>
    <w:p w14:paraId="2AADB8F8" w14:textId="77777777" w:rsidR="00C62FF7" w:rsidRDefault="00000000">
      <w:pPr>
        <w:pStyle w:val="Heading2"/>
      </w:pPr>
      <w:r>
        <w:t>Teaching Approach and Classroom Methods</w:t>
      </w:r>
    </w:p>
    <w:p w14:paraId="659DBC29" w14:textId="77777777" w:rsidR="00C62FF7" w:rsidRDefault="00000000">
      <w:r>
        <w:t>My teaching rests on three pillars: conceptual clarity, application, and engagement.</w:t>
      </w:r>
    </w:p>
    <w:p w14:paraId="6F486854" w14:textId="77777777" w:rsidR="00C62FF7" w:rsidRDefault="00000000">
      <w:r>
        <w:t>1. Conceptual Clarity</w:t>
      </w:r>
      <w:r>
        <w:br/>
        <w:t>I use intuitive explanations before introducing formal models. For example, before discussing aggregate demand and supply, I ask students to interpret how a sudden rise in oil prices might affect output and employment in Canada. By the time we reach the formal framework, they already understand the forces at work.</w:t>
      </w:r>
    </w:p>
    <w:p w14:paraId="47D74CE3" w14:textId="77777777" w:rsidR="00C62FF7" w:rsidRDefault="00000000">
      <w:r>
        <w:t>2. Application</w:t>
      </w:r>
      <w:r>
        <w:br/>
        <w:t>Economics must be lived, not memorized. I integrate Canadian and international data in every course, often from Statistics Canada, the IMF, or the World Bank. Students use real datasets to visualize business cycles, inflation, or labour market dynamics. Assignments include short empirical projects, policy briefs, and simulations of monetary policy decisions.</w:t>
      </w:r>
    </w:p>
    <w:p w14:paraId="29AD695F" w14:textId="77777777" w:rsidR="00C62FF7" w:rsidRDefault="00000000">
      <w:r>
        <w:t>3. Engagement</w:t>
      </w:r>
      <w:r>
        <w:br/>
        <w:t xml:space="preserve">I foster discussion-based learning, where students take the role of policymakers or analysts. In my Money and Banking course, groups simulate a Bank of Canada meeting, </w:t>
      </w:r>
      <w:r>
        <w:lastRenderedPageBreak/>
        <w:t>using inflation and GDP data to justify interest rate choices. This approach encourages deeper understanding and builds communication skills.</w:t>
      </w:r>
    </w:p>
    <w:p w14:paraId="7CB0313B" w14:textId="77777777" w:rsidR="00C62FF7" w:rsidRDefault="00000000">
      <w:pPr>
        <w:pStyle w:val="Heading2"/>
      </w:pPr>
      <w:r>
        <w:t>Teaching Experience</w:t>
      </w:r>
    </w:p>
    <w:tbl>
      <w:tblPr>
        <w:tblW w:w="0" w:type="auto"/>
        <w:tblLook w:val="04A0" w:firstRow="1" w:lastRow="0" w:firstColumn="1" w:lastColumn="0" w:noHBand="0" w:noVBand="1"/>
      </w:tblPr>
      <w:tblGrid>
        <w:gridCol w:w="2880"/>
        <w:gridCol w:w="2880"/>
        <w:gridCol w:w="2880"/>
      </w:tblGrid>
      <w:tr w:rsidR="00C62FF7" w14:paraId="4BCAD040" w14:textId="77777777">
        <w:tc>
          <w:tcPr>
            <w:tcW w:w="2880" w:type="dxa"/>
          </w:tcPr>
          <w:p w14:paraId="0E5DAED4" w14:textId="77777777" w:rsidR="00C62FF7" w:rsidRDefault="00000000">
            <w:r>
              <w:t>Course</w:t>
            </w:r>
          </w:p>
        </w:tc>
        <w:tc>
          <w:tcPr>
            <w:tcW w:w="2880" w:type="dxa"/>
          </w:tcPr>
          <w:p w14:paraId="3B08C160" w14:textId="77777777" w:rsidR="00C62FF7" w:rsidRDefault="00000000">
            <w:r>
              <w:t>Core Themes</w:t>
            </w:r>
          </w:p>
        </w:tc>
        <w:tc>
          <w:tcPr>
            <w:tcW w:w="2880" w:type="dxa"/>
          </w:tcPr>
          <w:p w14:paraId="59EF48DB" w14:textId="77777777" w:rsidR="00C62FF7" w:rsidRDefault="00000000">
            <w:r>
              <w:t>Level</w:t>
            </w:r>
          </w:p>
        </w:tc>
      </w:tr>
      <w:tr w:rsidR="00C62FF7" w14:paraId="35559979" w14:textId="77777777">
        <w:tc>
          <w:tcPr>
            <w:tcW w:w="2880" w:type="dxa"/>
          </w:tcPr>
          <w:p w14:paraId="3EA40729" w14:textId="77777777" w:rsidR="00C62FF7" w:rsidRDefault="00000000">
            <w:r>
              <w:t>Principles of Macroeconomics</w:t>
            </w:r>
          </w:p>
        </w:tc>
        <w:tc>
          <w:tcPr>
            <w:tcW w:w="2880" w:type="dxa"/>
          </w:tcPr>
          <w:p w14:paraId="35B3768E" w14:textId="77777777" w:rsidR="00C62FF7" w:rsidRDefault="00000000">
            <w:r>
              <w:t>Economic growth, inflation, unemployment, fiscal and monetary policy</w:t>
            </w:r>
          </w:p>
        </w:tc>
        <w:tc>
          <w:tcPr>
            <w:tcW w:w="2880" w:type="dxa"/>
          </w:tcPr>
          <w:p w14:paraId="40D7E414" w14:textId="77777777" w:rsidR="00C62FF7" w:rsidRDefault="00000000">
            <w:r>
              <w:t>First Year</w:t>
            </w:r>
          </w:p>
        </w:tc>
      </w:tr>
      <w:tr w:rsidR="00C62FF7" w14:paraId="14301411" w14:textId="77777777">
        <w:tc>
          <w:tcPr>
            <w:tcW w:w="2880" w:type="dxa"/>
          </w:tcPr>
          <w:p w14:paraId="2FED985D" w14:textId="77777777" w:rsidR="00C62FF7" w:rsidRDefault="00000000">
            <w:r>
              <w:t>Money and Banking</w:t>
            </w:r>
          </w:p>
        </w:tc>
        <w:tc>
          <w:tcPr>
            <w:tcW w:w="2880" w:type="dxa"/>
          </w:tcPr>
          <w:p w14:paraId="48FB06B8" w14:textId="77777777" w:rsidR="00C62FF7" w:rsidRDefault="00000000">
            <w:r>
              <w:t>Financial systems, monetary policy, and central banking frameworks</w:t>
            </w:r>
          </w:p>
        </w:tc>
        <w:tc>
          <w:tcPr>
            <w:tcW w:w="2880" w:type="dxa"/>
          </w:tcPr>
          <w:p w14:paraId="613DA000" w14:textId="77777777" w:rsidR="00C62FF7" w:rsidRDefault="00000000">
            <w:r>
              <w:t>Second Year</w:t>
            </w:r>
          </w:p>
        </w:tc>
      </w:tr>
      <w:tr w:rsidR="00C62FF7" w14:paraId="474B3B86" w14:textId="77777777">
        <w:tc>
          <w:tcPr>
            <w:tcW w:w="2880" w:type="dxa"/>
          </w:tcPr>
          <w:p w14:paraId="137E9184" w14:textId="77777777" w:rsidR="00C62FF7" w:rsidRDefault="00000000">
            <w:r>
              <w:t>International Finance</w:t>
            </w:r>
          </w:p>
        </w:tc>
        <w:tc>
          <w:tcPr>
            <w:tcW w:w="2880" w:type="dxa"/>
          </w:tcPr>
          <w:p w14:paraId="79A13769" w14:textId="77777777" w:rsidR="00C62FF7" w:rsidRDefault="00000000">
            <w:r>
              <w:t>Exchange rates, balance of payments, open-economy models</w:t>
            </w:r>
          </w:p>
        </w:tc>
        <w:tc>
          <w:tcPr>
            <w:tcW w:w="2880" w:type="dxa"/>
          </w:tcPr>
          <w:p w14:paraId="38D7BBC5" w14:textId="77777777" w:rsidR="00C62FF7" w:rsidRDefault="00000000">
            <w:r>
              <w:t>Upper Year</w:t>
            </w:r>
          </w:p>
        </w:tc>
      </w:tr>
      <w:tr w:rsidR="00C62FF7" w14:paraId="5C07289E" w14:textId="77777777">
        <w:tc>
          <w:tcPr>
            <w:tcW w:w="2880" w:type="dxa"/>
          </w:tcPr>
          <w:p w14:paraId="2C375E0B" w14:textId="77777777" w:rsidR="00C62FF7" w:rsidRDefault="00000000">
            <w:r>
              <w:t>Labour Economics</w:t>
            </w:r>
          </w:p>
        </w:tc>
        <w:tc>
          <w:tcPr>
            <w:tcW w:w="2880" w:type="dxa"/>
          </w:tcPr>
          <w:p w14:paraId="631FA815" w14:textId="77777777" w:rsidR="00C62FF7" w:rsidRDefault="00000000">
            <w:r>
              <w:t>Labour supply and demand, wage inequality, unemployment policy</w:t>
            </w:r>
          </w:p>
        </w:tc>
        <w:tc>
          <w:tcPr>
            <w:tcW w:w="2880" w:type="dxa"/>
          </w:tcPr>
          <w:p w14:paraId="50801089" w14:textId="77777777" w:rsidR="00C62FF7" w:rsidRDefault="00000000">
            <w:r>
              <w:t>Upper Year</w:t>
            </w:r>
          </w:p>
        </w:tc>
      </w:tr>
      <w:tr w:rsidR="00C62FF7" w14:paraId="2D449EC7" w14:textId="77777777">
        <w:tc>
          <w:tcPr>
            <w:tcW w:w="2880" w:type="dxa"/>
          </w:tcPr>
          <w:p w14:paraId="19AE0EDE" w14:textId="77777777" w:rsidR="00C62FF7" w:rsidRDefault="00000000">
            <w:r>
              <w:t>Mathematical Economics</w:t>
            </w:r>
          </w:p>
        </w:tc>
        <w:tc>
          <w:tcPr>
            <w:tcW w:w="2880" w:type="dxa"/>
          </w:tcPr>
          <w:p w14:paraId="457D097B" w14:textId="77777777" w:rsidR="00C62FF7" w:rsidRDefault="00000000">
            <w:r>
              <w:t>Optimization, comparative statics, and economic modelling</w:t>
            </w:r>
          </w:p>
        </w:tc>
        <w:tc>
          <w:tcPr>
            <w:tcW w:w="2880" w:type="dxa"/>
          </w:tcPr>
          <w:p w14:paraId="68E17B50" w14:textId="77777777" w:rsidR="00C62FF7" w:rsidRDefault="00000000">
            <w:r>
              <w:t>Upper Year</w:t>
            </w:r>
          </w:p>
        </w:tc>
      </w:tr>
      <w:tr w:rsidR="00C62FF7" w14:paraId="181CDFCC" w14:textId="77777777">
        <w:tc>
          <w:tcPr>
            <w:tcW w:w="2880" w:type="dxa"/>
          </w:tcPr>
          <w:p w14:paraId="3C8C15A7" w14:textId="77777777" w:rsidR="00C62FF7" w:rsidRDefault="00000000">
            <w:r>
              <w:t>Contemporary Economic Issues</w:t>
            </w:r>
          </w:p>
        </w:tc>
        <w:tc>
          <w:tcPr>
            <w:tcW w:w="2880" w:type="dxa"/>
          </w:tcPr>
          <w:p w14:paraId="65278DF1" w14:textId="77777777" w:rsidR="00C62FF7" w:rsidRDefault="00000000">
            <w:r>
              <w:t>Policy-oriented analysis of global macroeconomic challenges</w:t>
            </w:r>
          </w:p>
        </w:tc>
        <w:tc>
          <w:tcPr>
            <w:tcW w:w="2880" w:type="dxa"/>
          </w:tcPr>
          <w:p w14:paraId="397D546E" w14:textId="77777777" w:rsidR="00C62FF7" w:rsidRDefault="00000000">
            <w:r>
              <w:t>Mixed Level</w:t>
            </w:r>
          </w:p>
        </w:tc>
      </w:tr>
    </w:tbl>
    <w:p w14:paraId="26C254CD" w14:textId="77777777" w:rsidR="00C62FF7" w:rsidRDefault="00000000">
      <w:pPr>
        <w:pStyle w:val="Heading2"/>
      </w:pPr>
      <w:r>
        <w:t>Innovation and Technology in Teaching</w:t>
      </w:r>
    </w:p>
    <w:p w14:paraId="083BFF16" w14:textId="77777777" w:rsidR="00C62FF7" w:rsidRDefault="00000000">
      <w:r>
        <w:t>I make active use of technology to strengthen student learning. My courses use Moodle and Achieve for assessments, interactive lectures, and real-time data visualization. I have created custom Excel and Python-based simulations for topics such as the money multiplier, output gap analysis, and exchange rate adjustments.</w:t>
      </w:r>
      <w:r>
        <w:br/>
      </w:r>
      <w:r>
        <w:br/>
        <w:t>During the shift to hybrid and online teaching, I produced structured digital lectures that incorporated real Canadian macroeconomic data updates. Students appreciated being able to analyze current data alongside theoretical material, which made the material relevant and engaging.</w:t>
      </w:r>
      <w:r>
        <w:br/>
      </w:r>
      <w:r>
        <w:br/>
      </w:r>
      <w:r>
        <w:lastRenderedPageBreak/>
        <w:t>I also incorporate case-based learning and data projects in upper-level courses. For example, students replicate a Bank of Canada inflation model using CPI data or estimate the Phillips curve with Canadian unemployment statistics. These projects help them connect economic reasoning with real evidence.</w:t>
      </w:r>
    </w:p>
    <w:p w14:paraId="00B5B4D4" w14:textId="77777777" w:rsidR="00C62FF7" w:rsidRDefault="00000000">
      <w:pPr>
        <w:pStyle w:val="Heading2"/>
      </w:pPr>
      <w:r>
        <w:t>Mentorship and Student Engagement</w:t>
      </w:r>
    </w:p>
    <w:p w14:paraId="55E6E794" w14:textId="77777777" w:rsidR="00C62FF7" w:rsidRDefault="00000000">
      <w:r>
        <w:t>Beyond the classroom, I take great pride in mentoring students. I maintain an open-door policy and often meet with students to discuss graduate studies, research interests, and career options. I emphasize curiosity and show how economic theory can explain familiar events, such as housing affordability or currency fluctuations.</w:t>
      </w:r>
      <w:r>
        <w:br/>
      </w:r>
      <w:r>
        <w:br/>
        <w:t>Inclusivity is a central part of my approach. I adapt materials to varied learning backgrounds, providing extra guidance for students who need support in mathematics or writing. I believe in meeting students where they are while encouraging them to reach higher levels of understanding and confidence.</w:t>
      </w:r>
    </w:p>
    <w:p w14:paraId="164F0C4F" w14:textId="77777777" w:rsidR="00C62FF7" w:rsidRDefault="00000000">
      <w:pPr>
        <w:pStyle w:val="Heading2"/>
      </w:pPr>
      <w:r>
        <w:t>Teaching Effectiveness and Recognition</w:t>
      </w:r>
    </w:p>
    <w:p w14:paraId="7197F515" w14:textId="77777777" w:rsidR="00C62FF7" w:rsidRDefault="00000000">
      <w:r>
        <w:t>My teaching evaluations consistently reflect strong engagement, clarity, and enthusiasm. Students often mention that my courses make economics come alive and that I explain difficult topics in a way that finally makes sense. I have been nominated for teaching excellence awards and invited to share my teaching practices in departmental meetings.</w:t>
      </w:r>
      <w:r>
        <w:br/>
      </w:r>
      <w:r>
        <w:br/>
        <w:t>Peers have recognized my strength in linking classroom theory to policy applications, especially in macroeconomic and monetary courses. This connection between theory and practice is at the heart of my teaching philosophy.</w:t>
      </w:r>
    </w:p>
    <w:p w14:paraId="6DA22448" w14:textId="77777777" w:rsidR="00C62FF7" w:rsidRDefault="00000000">
      <w:pPr>
        <w:pStyle w:val="Heading2"/>
      </w:pPr>
      <w:r>
        <w:t>Future Teaching Interests</w:t>
      </w:r>
    </w:p>
    <w:p w14:paraId="0056CF87" w14:textId="77777777" w:rsidR="00C62FF7" w:rsidRDefault="00000000">
      <w:r>
        <w:t>If given the opportunity, I would like to develop and teach courses such as:</w:t>
      </w:r>
      <w:r>
        <w:br/>
      </w:r>
      <w:r>
        <w:br/>
        <w:t>• Advanced Macroeconomic Policy and the Global Economy</w:t>
      </w:r>
      <w:r>
        <w:br/>
        <w:t>• Central Banking and Financial Stability</w:t>
      </w:r>
      <w:r>
        <w:br/>
        <w:t>• Applied International Macroeconomics</w:t>
      </w:r>
      <w:r>
        <w:br/>
        <w:t>• Canadian Economic Policy and Data Analysis</w:t>
      </w:r>
      <w:r>
        <w:br/>
      </w:r>
      <w:r>
        <w:br/>
        <w:t>These courses would equip students with theoretical understanding and empirical tools to analyze real-world economic issues and policy challenges.</w:t>
      </w:r>
    </w:p>
    <w:p w14:paraId="1D641AC7" w14:textId="77777777" w:rsidR="00C62FF7" w:rsidRDefault="00000000">
      <w:pPr>
        <w:pStyle w:val="Heading2"/>
      </w:pPr>
      <w:r>
        <w:t>Conclusion</w:t>
      </w:r>
    </w:p>
    <w:p w14:paraId="246408A2" w14:textId="77777777" w:rsidR="00C62FF7" w:rsidRDefault="00000000">
      <w:r>
        <w:t xml:space="preserve">Teaching economics is both a privilege and a responsibility. It combines intellectual rigor with human connection and offers the chance to shape how students view the world and their role within it. As a teaching-stream faculty member, I would bring broad expertise </w:t>
      </w:r>
      <w:r>
        <w:lastRenderedPageBreak/>
        <w:t>across macroeconomics, monetary policy, and international finance, along with a deep commitment to teaching innovation and student growth.</w:t>
      </w:r>
      <w:r>
        <w:br/>
      </w:r>
      <w:r>
        <w:br/>
        <w:t>My goal is to help students think critically, use evidence effectively, and engage with economic issues as informed, thoughtful citizens.</w:t>
      </w:r>
    </w:p>
    <w:sectPr w:rsidR="00C62FF7"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04301201">
    <w:abstractNumId w:val="8"/>
  </w:num>
  <w:num w:numId="2" w16cid:durableId="1420713407">
    <w:abstractNumId w:val="6"/>
  </w:num>
  <w:num w:numId="3" w16cid:durableId="594243781">
    <w:abstractNumId w:val="5"/>
  </w:num>
  <w:num w:numId="4" w16cid:durableId="192765242">
    <w:abstractNumId w:val="4"/>
  </w:num>
  <w:num w:numId="5" w16cid:durableId="561015623">
    <w:abstractNumId w:val="7"/>
  </w:num>
  <w:num w:numId="6" w16cid:durableId="1629895087">
    <w:abstractNumId w:val="3"/>
  </w:num>
  <w:num w:numId="7" w16cid:durableId="1281379437">
    <w:abstractNumId w:val="2"/>
  </w:num>
  <w:num w:numId="8" w16cid:durableId="1500073211">
    <w:abstractNumId w:val="1"/>
  </w:num>
  <w:num w:numId="9" w16cid:durableId="25213088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A345B3"/>
    <w:rsid w:val="00AA1D8D"/>
    <w:rsid w:val="00B47730"/>
    <w:rsid w:val="00C47C7A"/>
    <w:rsid w:val="00C62FF7"/>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E5B4A7D"/>
  <w14:defaultImageDpi w14:val="300"/>
  <w15:docId w15:val="{CBF24C0E-8B62-794C-BB3D-A2B61D8A72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4</Pages>
  <Words>905</Words>
  <Characters>5164</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6057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Muhebullah Karimzada</cp:lastModifiedBy>
  <cp:revision>2</cp:revision>
  <dcterms:created xsi:type="dcterms:W3CDTF">2025-11-06T23:50:00Z</dcterms:created>
  <dcterms:modified xsi:type="dcterms:W3CDTF">2025-11-06T23:50:00Z</dcterms:modified>
  <cp:category/>
</cp:coreProperties>
</file>