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B3A0F"/>
          <w:sz w:val="36"/>
          <w:szCs w:val="36"/>
        </w:rPr>
        <w:t xml:space="preserve">AFRICA-OS Ω: A Sovereign, Validation-First Reasoning Operating System</w:t>
      </w:r>
    </w:p>
    <w:p>
      <w:pPr>
        <w:spacing w:after="240" w:before="0"/>
        <w:jc w:val="center"/>
      </w:pPr>
      <w:r>
        <w:rPr>
          <w:rFonts w:ascii="Times New Roman" w:cs="Times New Roman" w:eastAsia="Times New Roman" w:hAnsi="Times New Roman"/>
          <w:b/>
          <w:bCs/>
          <w:color w:val="1B3A0F"/>
          <w:sz w:val="36"/>
          <w:szCs w:val="36"/>
        </w:rPr>
        <w:t xml:space="preserve">for Africa’s 24-Hour Economy</w:t>
      </w:r>
    </w:p>
    <w:p>
      <w:pPr>
        <w:spacing w:after="60" w:before="0"/>
        <w:jc w:val="center"/>
      </w:pPr>
      <w:r>
        <w:rPr>
          <w:rFonts w:ascii="Times New Roman" w:cs="Times New Roman" w:eastAsia="Times New Roman" w:hAnsi="Times New Roman"/>
          <w:b/>
          <w:bCs/>
          <w:color w:val="1A1A1A"/>
          <w:sz w:val="26"/>
          <w:szCs w:val="26"/>
        </w:rPr>
        <w:t xml:space="preserve">David King Boison</w:t>
      </w:r>
    </w:p>
    <w:p>
      <w:pPr>
        <w:spacing w:after="40" w:before="0"/>
        <w:jc w:val="center"/>
      </w:pPr>
      <w:r>
        <w:rPr>
          <w:rFonts w:ascii="Times New Roman" w:cs="Times New Roman" w:eastAsia="Times New Roman" w:hAnsi="Times New Roman"/>
          <w:i/>
          <w:iCs/>
          <w:color w:val="444444"/>
          <w:sz w:val="22"/>
          <w:szCs w:val="22"/>
        </w:rPr>
        <w:t xml:space="preserve">Visionary Prompt Framework (VPF) Research Group</w:t>
      </w:r>
    </w:p>
    <w:p>
      <w:pPr>
        <w:spacing w:after="280" w:before="0"/>
        <w:jc w:val="center"/>
      </w:pPr>
      <w:r>
        <w:rPr>
          <w:rFonts w:ascii="Times New Roman" w:cs="Times New Roman" w:eastAsia="Times New Roman" w:hAnsi="Times New Roman"/>
          <w:color w:val="888888"/>
          <w:sz w:val="20"/>
          <w:szCs w:val="20"/>
        </w:rPr>
        <w:t xml:space="preserve">Accra, Ghana | david.boison@africaos.ai</w:t>
      </w:r>
    </w:p>
    <w:p>
      <w:pPr>
        <w:pBdr>
          <w:top w:val="single" w:color="1B3A0F" w:sz="6"/>
          <w:bottom w:val="single" w:color="1B3A0F" w:sz="6"/>
        </w:pBdr>
        <w:shd w:fill="F0EEE8" w:val="clear"/>
        <w:spacing w:after="0" w:before="0"/>
      </w:pPr>
      <w:r>
        <w:rPr>
          <w:rFonts w:ascii="Times New Roman" w:cs="Times New Roman" w:eastAsia="Times New Roman" w:hAnsi="Times New Roman"/>
          <w:color w:val="1A1A1A"/>
          <w:sz w:val="22"/>
          <w:szCs w:val="22"/>
        </w:rPr>
        <w:t xml:space="preserve"> </w:t>
      </w:r>
    </w:p>
    <w:p>
      <w:pPr>
        <w:spacing w:after="80" w:before="180"/>
      </w:pPr>
      <w:r>
        <w:rPr>
          <w:rFonts w:ascii="Times New Roman" w:cs="Times New Roman" w:eastAsia="Times New Roman" w:hAnsi="Times New Roman"/>
          <w:color w:val="1A1A1A"/>
          <w:sz w:val="22"/>
          <w:szCs w:val="22"/>
        </w:rPr>
        <w:t xml:space="preserve"/>
      </w:r>
    </w:p>
    <w:p>
      <w:pPr>
        <w:spacing w:after="80" w:before="0"/>
      </w:pPr>
      <w:r>
        <w:rPr>
          <w:rFonts w:ascii="Arial" w:cs="Arial" w:eastAsia="Arial" w:hAnsi="Arial"/>
          <w:b/>
          <w:bCs/>
          <w:color w:val="1B3A0F"/>
          <w:sz w:val="24"/>
          <w:szCs w:val="24"/>
        </w:rPr>
        <w:t xml:space="preserve">Abstract</w:t>
      </w:r>
    </w:p>
    <w:p>
      <w:pPr>
        <w:spacing w:after="100" w:before="0" w:line="280" w:lineRule="auto"/>
        <w:ind w:left="360" w:right="360"/>
        <w:jc w:val="both"/>
      </w:pPr>
      <w:r>
        <w:rPr>
          <w:rFonts w:ascii="Times New Roman" w:cs="Times New Roman" w:eastAsia="Times New Roman" w:hAnsi="Times New Roman"/>
          <w:color w:val="1A1A1A"/>
          <w:sz w:val="22"/>
          <w:szCs w:val="22"/>
        </w:rPr>
        <w:t xml:space="preserve">This paper presents AFRICA-OS Ω, a sovereign reasoning operating system designed to coordinate intelligence across the eight primary sectors of Africa’s economy under the governing anchor of the 24-Hour Africa Economy Policy (24HAE). The system addresses a fundamental gap in African institutional intelligence infrastructure: the absence of a governed, validation-first, sovereignty-preserving reasoning layer capable of operating continuously across fragmented sector data systems. AFRICA-OS Ω implements a 19-step reasoning contract, six calibrated reasoning engines, eight domain-specific intelligence agents, a continental federation schema for cross-border signal sharing, and a multi-surface user interface serving governments, enterprises, universities, and entrepreneurs. The confidence calibration engine employs a weighted multivariate formula with domain-specific exponential freshness decay; the contradiction graph engine detects material signal conflicts at configurable domain tolerances; the Ecology Impact Score (EIS) enforces environmental and social sustainability constraints; and the inclusion engine validates decisions against representation of informal, rural, women, and youth economic actors. The continental federation schema operationalises data sovereignty through a five-level consent architecture and bilateral treaty mechanism, enabling signal sharing without surrendering national threshold control. A 90-day pilot in the Ghana Health Service and Bank of Ghana is recommended as the first live deployment. The system represents, to the authors’ knowledge, the first production-specification sovereign AI reasoning OS built from and for African epistemological, institutional, and economic contexts, grounded in Ubuntu philosophy and the 24-Hour Africa Economy Policy framework.</w:t>
      </w:r>
    </w:p>
    <w:p>
      <w:pPr>
        <w:spacing w:after="200" w:before="60"/>
        <w:ind w:left="360" w:right="360"/>
      </w:pPr>
      <w:r>
        <w:rPr>
          <w:rFonts w:ascii="Arial" w:cs="Arial" w:eastAsia="Arial" w:hAnsi="Arial"/>
          <w:b/>
          <w:bCs/>
          <w:color w:val="1A1A1A"/>
          <w:sz w:val="20"/>
          <w:szCs w:val="20"/>
        </w:rPr>
        <w:t xml:space="preserve">Keywords: </w:t>
      </w:r>
      <w:r>
        <w:rPr>
          <w:rFonts w:ascii="Times New Roman" w:cs="Times New Roman" w:eastAsia="Times New Roman" w:hAnsi="Times New Roman"/>
          <w:i/>
          <w:iCs/>
          <w:color w:val="1A1A1A"/>
          <w:sz w:val="20"/>
          <w:szCs w:val="20"/>
        </w:rPr>
        <w:t xml:space="preserve">sovereign AI; African intelligence systems; 24-hour economy; reasoning operating system; decolonial AI; Ubuntu epistemology; AfCFTA; signal validation; confidence calibration; federated intelligence</w:t>
      </w:r>
    </w:p>
    <w:p>
      <w:pPr>
        <w:spacing w:after="100" w:before="240"/>
      </w:pPr>
      <w:r>
        <w:rPr>
          <w:rFonts w:ascii="Arial" w:cs="Arial" w:eastAsia="Arial" w:hAnsi="Arial"/>
          <w:b/>
          <w:bCs/>
          <w:color w:val="1B3A0F"/>
          <w:sz w:val="32"/>
          <w:szCs w:val="32"/>
        </w:rPr>
        <w:t xml:space="preserve">I. Introduction</w:t>
      </w:r>
    </w:p>
    <w:p>
      <w:pPr>
        <w:spacing w:after="100" w:before="80" w:line="276" w:lineRule="auto"/>
        <w:jc w:val="both"/>
      </w:pPr>
      <w:r>
        <w:rPr>
          <w:rFonts w:ascii="Times New Roman" w:cs="Times New Roman" w:eastAsia="Times New Roman" w:hAnsi="Times New Roman"/>
          <w:color w:val="1A1A1A"/>
          <w:sz w:val="22"/>
          <w:szCs w:val="22"/>
        </w:rPr>
        <w:t xml:space="preserve">Africa’s institutions make consequential economic decisions every day under conditions of radical information asymmetry. A regional health director does not know the bed utilisation rate at the next district’s hospital until she makes a phone call. A logistics operator discovers the freight corridor is blocked after his truck has departed. A central bank official detects a mobile money liquidity stress hours after the market has self-corrected. A Minister of Energy makes an emergency fuel procurement decision on the basis of calls from three different agencies whose data was collected at different times using different methodologies.</w:t>
      </w:r>
    </w:p>
    <w:p>
      <w:pPr>
        <w:spacing w:after="100" w:before="80" w:line="276" w:lineRule="auto"/>
        <w:jc w:val="both"/>
      </w:pPr>
      <w:r>
        <w:rPr>
          <w:rFonts w:ascii="Times New Roman" w:cs="Times New Roman" w:eastAsia="Times New Roman" w:hAnsi="Times New Roman"/>
          <w:color w:val="1A1A1A"/>
          <w:sz w:val="22"/>
          <w:szCs w:val="22"/>
        </w:rPr>
        <w:t xml:space="preserve">This is not an African failure of institutional capacity. It is a structural absence: the absence of a governed, continuous, validated intelligence layer that coordinates information across sectors, validates signals against each other, and produces decision objects that carry traceable provenance, explicit confidence scores, and human escalation pathways. Every high-functioning economy in the world has such a layer. Africa does not yet have one built from African foundations, calibrated to African operational realities, and governed by African institutions.</w:t>
      </w:r>
    </w:p>
    <w:p>
      <w:pPr>
        <w:spacing w:after="100" w:before="80" w:line="276" w:lineRule="auto"/>
        <w:jc w:val="both"/>
      </w:pPr>
      <w:r>
        <w:rPr>
          <w:rFonts w:ascii="Times New Roman" w:cs="Times New Roman" w:eastAsia="Times New Roman" w:hAnsi="Times New Roman"/>
          <w:color w:val="1A1A1A"/>
          <w:sz w:val="22"/>
          <w:szCs w:val="22"/>
        </w:rPr>
        <w:t xml:space="preserve">Existing approaches fall into three inadequate categories. First, donor-funded sectoral dashboards that aggregate data within a single ministry but cannot coordinate across sectors or sustain themselves after project funding ends. Second, commercial AI platforms built for Western institutional contexts and applied to Africa without calibration, producing outputs that assume infrastructure, legal frameworks, and social structures that do not exist. Third, research prototypes that demonstrate technical feasibility but lack the governance architecture, signal validation discipline, and production-grade implementation needed for institutional deployment.</w:t>
      </w:r>
    </w:p>
    <w:p>
      <w:pPr>
        <w:spacing w:after="100" w:before="80" w:line="276" w:lineRule="auto"/>
        <w:jc w:val="both"/>
      </w:pPr>
      <w:r>
        <w:rPr>
          <w:rFonts w:ascii="Times New Roman" w:cs="Times New Roman" w:eastAsia="Times New Roman" w:hAnsi="Times New Roman"/>
          <w:color w:val="1A1A1A"/>
          <w:sz w:val="22"/>
          <w:szCs w:val="22"/>
        </w:rPr>
        <w:t xml:space="preserve">This paper presents AFRICA-OS Ω as a fourth category: a production-specification sovereign reasoning operating system built from African epistemological foundations, calibrated to African operational realities, governed by African institutions, and anchored to the 24-Hour Africa Economy Policy (24HAE) as its governing doctrine. The system is not a research prototype. It is a deployable system accompanied by a full implementation codebase, deployment runbook, sector pack library, and onboarding infrastructure.</w:t>
      </w:r>
    </w:p>
    <w:p>
      <w:pPr>
        <w:spacing w:after="100" w:before="80" w:line="276" w:lineRule="auto"/>
        <w:jc w:val="both"/>
      </w:pPr>
      <w:r>
        <w:rPr>
          <w:rFonts w:ascii="Times New Roman" w:cs="Times New Roman" w:eastAsia="Times New Roman" w:hAnsi="Times New Roman"/>
          <w:color w:val="1A1A1A"/>
          <w:sz w:val="22"/>
          <w:szCs w:val="22"/>
        </w:rPr>
        <w:t xml:space="preserve">The paper makes the following contributions:</w:t>
      </w:r>
    </w:p>
    <w:p>
      <w:pPr>
        <w:spacing w:after="60" w:before="40" w:line="260" w:lineRule="auto"/>
        <w:ind w:left="720" w:hanging="280"/>
        <w:jc w:val="both"/>
      </w:pPr>
      <w:r>
        <w:rPr>
          <w:rFonts w:ascii="Times New Roman" w:cs="Times New Roman" w:eastAsia="Times New Roman" w:hAnsi="Times New Roman"/>
          <w:color w:val="1A1A1A"/>
          <w:sz w:val="22"/>
          <w:szCs w:val="22"/>
        </w:rPr>
        <w:t xml:space="preserve">•  The first formal specification of a sovereign reasoning operating system (SROS) architecture for African economic coordination</w:t>
      </w:r>
    </w:p>
    <w:p>
      <w:pPr>
        <w:spacing w:after="60" w:before="40" w:line="260" w:lineRule="auto"/>
        <w:ind w:left="720" w:hanging="280"/>
        <w:jc w:val="both"/>
      </w:pPr>
      <w:r>
        <w:rPr>
          <w:rFonts w:ascii="Times New Roman" w:cs="Times New Roman" w:eastAsia="Times New Roman" w:hAnsi="Times New Roman"/>
          <w:color w:val="1A1A1A"/>
          <w:sz w:val="22"/>
          <w:szCs w:val="22"/>
        </w:rPr>
        <w:t xml:space="preserve">•  A validated confidence calibration methodology with domain-specific exponential freshness decay for eight African economic sectors</w:t>
      </w:r>
    </w:p>
    <w:p>
      <w:pPr>
        <w:spacing w:after="60" w:before="40" w:line="260" w:lineRule="auto"/>
        <w:ind w:left="720" w:hanging="280"/>
        <w:jc w:val="both"/>
      </w:pPr>
      <w:r>
        <w:rPr>
          <w:rFonts w:ascii="Times New Roman" w:cs="Times New Roman" w:eastAsia="Times New Roman" w:hAnsi="Times New Roman"/>
          <w:color w:val="1A1A1A"/>
          <w:sz w:val="22"/>
          <w:szCs w:val="22"/>
        </w:rPr>
        <w:t xml:space="preserve">•  A continental federation schema operationalising data sovereignty through consent-level architecture and bilateral treaty mechanism</w:t>
      </w:r>
    </w:p>
    <w:p>
      <w:pPr>
        <w:spacing w:after="60" w:before="40" w:line="260" w:lineRule="auto"/>
        <w:ind w:left="720" w:hanging="280"/>
        <w:jc w:val="both"/>
      </w:pPr>
      <w:r>
        <w:rPr>
          <w:rFonts w:ascii="Times New Roman" w:cs="Times New Roman" w:eastAsia="Times New Roman" w:hAnsi="Times New Roman"/>
          <w:color w:val="1A1A1A"/>
          <w:sz w:val="22"/>
          <w:szCs w:val="22"/>
        </w:rPr>
        <w:t xml:space="preserve">•  An inclusion engine that operationalises the Ubuntu principle as a measurable, enforceable constraint on AI-produced decisions</w:t>
      </w:r>
    </w:p>
    <w:p>
      <w:pPr>
        <w:spacing w:after="60" w:before="40" w:line="260" w:lineRule="auto"/>
        <w:ind w:left="720" w:hanging="280"/>
        <w:jc w:val="both"/>
      </w:pPr>
      <w:r>
        <w:rPr>
          <w:rFonts w:ascii="Times New Roman" w:cs="Times New Roman" w:eastAsia="Times New Roman" w:hAnsi="Times New Roman"/>
          <w:color w:val="1A1A1A"/>
          <w:sz w:val="22"/>
          <w:szCs w:val="22"/>
        </w:rPr>
        <w:t xml:space="preserve">•  A 24-Hour Africa Economy Policy alignment engine that grounds every system output in an explicit economic policy mandate</w:t>
      </w:r>
    </w:p>
    <w:p>
      <w:pPr>
        <w:spacing w:after="60" w:before="40" w:line="260" w:lineRule="auto"/>
        <w:ind w:left="720" w:hanging="280"/>
        <w:jc w:val="both"/>
      </w:pPr>
      <w:r>
        <w:rPr>
          <w:rFonts w:ascii="Times New Roman" w:cs="Times New Roman" w:eastAsia="Times New Roman" w:hAnsi="Times New Roman"/>
          <w:color w:val="1A1A1A"/>
          <w:sz w:val="22"/>
          <w:szCs w:val="22"/>
        </w:rPr>
        <w:t xml:space="preserve">•  An empirical pilot design and evaluation framework for the Ghana Health Service and Bank of Ghana as first deployment contexts</w:t>
      </w:r>
    </w:p>
    <w:p>
      <w:pPr>
        <w:spacing w:after="80" w:before="80"/>
      </w:pPr>
      <w:r>
        <w:rPr>
          <w:rFonts w:ascii="Times New Roman" w:cs="Times New Roman" w:eastAsia="Times New Roman" w:hAnsi="Times New Roman"/>
          <w:color w:val="1A1A1A"/>
          <w:sz w:val="22"/>
          <w:szCs w:val="22"/>
        </w:rPr>
        <w:t xml:space="preserve"/>
      </w:r>
    </w:p>
    <w:p>
      <w:pPr>
        <w:spacing w:after="100" w:before="240"/>
      </w:pPr>
      <w:r>
        <w:rPr>
          <w:rFonts w:ascii="Arial" w:cs="Arial" w:eastAsia="Arial" w:hAnsi="Arial"/>
          <w:b/>
          <w:bCs/>
          <w:color w:val="1B3A0F"/>
          <w:sz w:val="32"/>
          <w:szCs w:val="32"/>
        </w:rPr>
        <w:t xml:space="preserve">II. Theoretical and Epistemological Foundations</w:t>
      </w:r>
    </w:p>
    <w:p>
      <w:pPr>
        <w:spacing w:after="100" w:before="240"/>
      </w:pPr>
      <w:r>
        <w:rPr>
          <w:rFonts w:ascii="Arial" w:cs="Arial" w:eastAsia="Arial" w:hAnsi="Arial"/>
          <w:b/>
          <w:bCs/>
          <w:color w:val="1B3A0F"/>
          <w:sz w:val="26"/>
          <w:szCs w:val="26"/>
        </w:rPr>
        <w:t xml:space="preserve">A. Ubuntu as Governing Epistemology</w:t>
      </w:r>
    </w:p>
    <w:p>
      <w:pPr>
        <w:spacing w:after="100" w:before="80" w:line="276" w:lineRule="auto"/>
        <w:jc w:val="both"/>
      </w:pPr>
      <w:r>
        <w:rPr>
          <w:rFonts w:ascii="Times New Roman" w:cs="Times New Roman" w:eastAsia="Times New Roman" w:hAnsi="Times New Roman"/>
          <w:color w:val="1A1A1A"/>
          <w:sz w:val="22"/>
          <w:szCs w:val="22"/>
        </w:rPr>
        <w:t xml:space="preserve">The philosophical foundation of AFRICA-OS Ω is Ubuntu: “I am because we are” (</w:t>
      </w:r>
    </w:p>
    <w:p>
      <w:pPr>
        <w:spacing w:after="100" w:before="80" w:line="276" w:lineRule="auto"/>
        <w:jc w:val="both"/>
      </w:pPr>
      <w:r>
        <w:rPr>
          <w:rFonts w:ascii="Times New Roman" w:cs="Times New Roman" w:eastAsia="Times New Roman" w:hAnsi="Times New Roman"/>
          <w:color w:val="1A1A1A"/>
          <w:sz w:val="22"/>
          <w:szCs w:val="22"/>
        </w:rPr>
        <w:t xml:space="preserve">The philosophical foundation of AFRICA-OS Ω is Ubuntu: “I am because we are.” </w:t>
      </w:r>
      <w:r>
        <w:rPr>
          <w:rFonts w:ascii="Times New Roman" w:cs="Times New Roman" w:eastAsia="Times New Roman" w:hAnsi="Times New Roman"/>
          <w:color w:val="1A1A1A"/>
          <w:sz w:val="18"/>
          <w:szCs w:val="18"/>
          <w:vertAlign w:val="superscript"/>
        </w:rPr>
        <w:t xml:space="preserve">[23]</w:t>
      </w:r>
      <w:r>
        <w:rPr>
          <w:rFonts w:ascii="Times New Roman" w:cs="Times New Roman" w:eastAsia="Times New Roman" w:hAnsi="Times New Roman"/>
          <w:color w:val="1A1A1A"/>
          <w:sz w:val="22"/>
          <w:szCs w:val="22"/>
        </w:rPr>
        <w:t xml:space="preserve"> This is not a decorative cultural reference. Ubuntu is operationalised as a structural constraint on every decision the system produces: an output that maximises individual gain at community cost is flagged, scored for inclusion failure, and escalated to human review. The Ubuntu principle is encoded in the reasoning contract at Step 14 (“reason over options with Ubuntu lens”) and in the inclusion engine, which scores every decision for its representation of informal, rural, women, youth, and disability-affected economic actors.</w:t>
      </w:r>
    </w:p>
    <w:p>
      <w:pPr>
        <w:spacing w:after="100" w:before="80" w:line="276" w:lineRule="auto"/>
        <w:jc w:val="both"/>
      </w:pPr>
      <w:r>
        <w:rPr>
          <w:rFonts w:ascii="Times New Roman" w:cs="Times New Roman" w:eastAsia="Times New Roman" w:hAnsi="Times New Roman"/>
          <w:color w:val="1A1A1A"/>
          <w:sz w:val="22"/>
          <w:szCs w:val="22"/>
        </w:rPr>
        <w:t xml:space="preserve">This approach responds to Birhane’s </w:t>
      </w:r>
      <w:r>
        <w:rPr>
          <w:rFonts w:ascii="Times New Roman" w:cs="Times New Roman" w:eastAsia="Times New Roman" w:hAnsi="Times New Roman"/>
          <w:color w:val="1A1A1A"/>
          <w:sz w:val="18"/>
          <w:szCs w:val="18"/>
          <w:vertAlign w:val="superscript"/>
        </w:rPr>
        <w:t xml:space="preserve">[6]</w:t>
      </w:r>
      <w:r>
        <w:rPr>
          <w:rFonts w:ascii="Times New Roman" w:cs="Times New Roman" w:eastAsia="Times New Roman" w:hAnsi="Times New Roman"/>
          <w:color w:val="1A1A1A"/>
          <w:sz w:val="22"/>
          <w:szCs w:val="22"/>
        </w:rPr>
        <w:t xml:space="preserve"> critique of algorithmic colonialism, Rashid’s </w:t>
      </w:r>
      <w:r>
        <w:rPr>
          <w:rFonts w:ascii="Times New Roman" w:cs="Times New Roman" w:eastAsia="Times New Roman" w:hAnsi="Times New Roman"/>
          <w:color w:val="1A1A1A"/>
          <w:sz w:val="18"/>
          <w:szCs w:val="18"/>
          <w:vertAlign w:val="superscript"/>
        </w:rPr>
        <w:t xml:space="preserve">[22]</w:t>
      </w:r>
      <w:r>
        <w:rPr>
          <w:rFonts w:ascii="Times New Roman" w:cs="Times New Roman" w:eastAsia="Times New Roman" w:hAnsi="Times New Roman"/>
          <w:color w:val="1A1A1A"/>
          <w:sz w:val="22"/>
          <w:szCs w:val="22"/>
        </w:rPr>
        <w:t xml:space="preserve"> call for decolonial AI, and the emerging body of work on Indigenous data sovereignty </w:t>
      </w:r>
      <w:r>
        <w:rPr>
          <w:rFonts w:ascii="Times New Roman" w:cs="Times New Roman" w:eastAsia="Times New Roman" w:hAnsi="Times New Roman"/>
          <w:color w:val="1A1A1A"/>
          <w:sz w:val="18"/>
          <w:szCs w:val="18"/>
          <w:vertAlign w:val="superscript"/>
        </w:rPr>
        <w:t xml:space="preserve">[20]</w:t>
      </w:r>
      <w:r>
        <w:rPr>
          <w:rFonts w:ascii="Times New Roman" w:cs="Times New Roman" w:eastAsia="Times New Roman" w:hAnsi="Times New Roman"/>
          <w:color w:val="1A1A1A"/>
          <w:sz w:val="22"/>
          <w:szCs w:val="22"/>
        </w:rPr>
        <w:t xml:space="preserve"> by embedding African epistemic authority at the architectural level rather than as a post-hoc ethical addendum.</w:t>
      </w:r>
    </w:p>
    <w:p>
      <w:pPr>
        <w:spacing w:after="100" w:before="240"/>
      </w:pPr>
      <w:r>
        <w:rPr>
          <w:rFonts w:ascii="Arial" w:cs="Arial" w:eastAsia="Arial" w:hAnsi="Arial"/>
          <w:b/>
          <w:bCs/>
          <w:color w:val="1B3A0F"/>
          <w:sz w:val="26"/>
          <w:szCs w:val="26"/>
        </w:rPr>
        <w:t xml:space="preserve">B. The 24-Hour Africa Economy Policy</w:t>
      </w:r>
    </w:p>
    <w:p>
      <w:pPr>
        <w:spacing w:after="100" w:before="80" w:line="276" w:lineRule="auto"/>
        <w:jc w:val="both"/>
      </w:pPr>
      <w:r>
        <w:rPr>
          <w:rFonts w:ascii="Times New Roman" w:cs="Times New Roman" w:eastAsia="Times New Roman" w:hAnsi="Times New Roman"/>
          <w:color w:val="1A1A1A"/>
          <w:sz w:val="22"/>
          <w:szCs w:val="22"/>
        </w:rPr>
        <w:t xml:space="preserve">The 24-Hour Africa Economy Policy (24HAE) is the governing policy anchor of AFRICA-OS Ω. It asserts that Africa’s economies must operate as continuous, always-on production and coordination systems. This is not merely a logistical aspiration; it is an economic necessity. The African Development Bank estimates that Sub-Saharan Africa loses approximately 2-3% of GDP annually to productivity gaps attributable to infrastructure discontinuity, including power outages, port delays, and information asymmetry in agriculture. </w:t>
      </w:r>
    </w:p>
    <w:p>
      <w:pPr>
        <w:spacing w:after="100" w:before="80" w:line="276" w:lineRule="auto"/>
        <w:jc w:val="both"/>
      </w:pPr>
      <w:r>
        <w:rPr>
          <w:rFonts w:ascii="Times New Roman" w:cs="Times New Roman" w:eastAsia="Times New Roman" w:hAnsi="Times New Roman"/>
          <w:color w:val="1A1A1A"/>
          <w:sz w:val="22"/>
          <w:szCs w:val="22"/>
        </w:rPr>
        <w:t xml:space="preserve">The 24HAE policy operationalises this insight through six tenets: continuous production, coordinated sectors, inclusive participation, sovereignty of value, digital infrastructure as backbone, and human dignity in productivity. Each tenet maps to a measurable engine constraint within AFRICA-OS Ω. The alignment engine scores every decision on a 0–1 scale for its contribution to 24-hour productive continuity, producing a </w:t>
      </w:r>
      <w:r>
        <w:rPr>
          <w:rFonts w:ascii="Times New Roman" w:cs="Times New Roman" w:eastAsia="Times New Roman" w:hAnsi="Times New Roman"/>
          <w:i/>
          <w:iCs/>
          <w:color w:val="1A1A1A"/>
          <w:sz w:val="22"/>
          <w:szCs w:val="22"/>
        </w:rPr>
        <w:t xml:space="preserve">hae_alignment_score</w:t>
      </w:r>
      <w:r>
        <w:rPr>
          <w:rFonts w:ascii="Times New Roman" w:cs="Times New Roman" w:eastAsia="Times New Roman" w:hAnsi="Times New Roman"/>
          <w:color w:val="1A1A1A"/>
          <w:sz w:val="22"/>
          <w:szCs w:val="22"/>
        </w:rPr>
        <w:t xml:space="preserve"> that is returned as a required field in every decision object.</w:t>
      </w:r>
    </w:p>
    <w:p>
      <w:pPr>
        <w:spacing w:after="100" w:before="240"/>
      </w:pPr>
      <w:r>
        <w:rPr>
          <w:rFonts w:ascii="Arial" w:cs="Arial" w:eastAsia="Arial" w:hAnsi="Arial"/>
          <w:b/>
          <w:bCs/>
          <w:color w:val="1B3A0F"/>
          <w:sz w:val="26"/>
          <w:szCs w:val="26"/>
        </w:rPr>
        <w:t xml:space="preserve">C. Decolonial AI Architecture</w:t>
      </w:r>
    </w:p>
    <w:p>
      <w:pPr>
        <w:spacing w:after="100" w:before="80" w:line="276" w:lineRule="auto"/>
        <w:jc w:val="both"/>
      </w:pPr>
      <w:r>
        <w:rPr>
          <w:rFonts w:ascii="Times New Roman" w:cs="Times New Roman" w:eastAsia="Times New Roman" w:hAnsi="Times New Roman"/>
          <w:color w:val="1A1A1A"/>
          <w:sz w:val="22"/>
          <w:szCs w:val="22"/>
        </w:rPr>
        <w:t xml:space="preserve">AFRICA-OS Ω embodies what Abebe et al. </w:t>
      </w:r>
      <w:r>
        <w:rPr>
          <w:rFonts w:ascii="Times New Roman" w:cs="Times New Roman" w:eastAsia="Times New Roman" w:hAnsi="Times New Roman"/>
          <w:color w:val="1A1A1A"/>
          <w:sz w:val="18"/>
          <w:szCs w:val="18"/>
          <w:vertAlign w:val="superscript"/>
        </w:rPr>
        <w:t xml:space="preserve">[10]</w:t>
      </w:r>
      <w:r>
        <w:rPr>
          <w:rFonts w:ascii="Times New Roman" w:cs="Times New Roman" w:eastAsia="Times New Roman" w:hAnsi="Times New Roman"/>
          <w:color w:val="1A1A1A"/>
          <w:sz w:val="22"/>
          <w:szCs w:val="22"/>
        </w:rPr>
        <w:t xml:space="preserve"> describe as computing in service of social change, and extends it to what we term </w:t>
      </w:r>
      <w:r>
        <w:rPr>
          <w:rFonts w:ascii="Times New Roman" w:cs="Times New Roman" w:eastAsia="Times New Roman" w:hAnsi="Times New Roman"/>
          <w:i/>
          <w:iCs/>
          <w:color w:val="1A1A1A"/>
          <w:sz w:val="22"/>
          <w:szCs w:val="22"/>
        </w:rPr>
        <w:t xml:space="preserve">sovereign computing for economic coordination.</w:t>
      </w:r>
      <w:r>
        <w:rPr>
          <w:rFonts w:ascii="Times New Roman" w:cs="Times New Roman" w:eastAsia="Times New Roman" w:hAnsi="Times New Roman"/>
          <w:color w:val="1A1A1A"/>
          <w:sz w:val="22"/>
          <w:szCs w:val="22"/>
        </w:rPr>
        <w:t xml:space="preserve"> The distinction is important. Social change applications of AI typically operate at the margins of existing systems. AFRICA-OS Ω operates at the centre: it is designed to be the primary reasoning layer for national economic coordination, not an adjunct to existing systems. This requires that sovereignty be structural rather than rhetorical — meaning that threshold control, data lineage, escalation authority, and model portability must remain with African institutions by design, not by policy declaration.</w:t>
      </w:r>
    </w:p>
    <w:p>
      <w:pPr>
        <w:spacing w:after="80" w:before="80"/>
      </w:pPr>
      <w:r>
        <w:rPr>
          <w:rFonts w:ascii="Times New Roman" w:cs="Times New Roman" w:eastAsia="Times New Roman" w:hAnsi="Times New Roman"/>
          <w:color w:val="1A1A1A"/>
          <w:sz w:val="22"/>
          <w:szCs w:val="22"/>
        </w:rPr>
        <w:t xml:space="preserve"/>
      </w:r>
    </w:p>
    <w:p>
      <w:pPr>
        <w:spacing w:after="100" w:before="240"/>
      </w:pPr>
      <w:r>
        <w:rPr>
          <w:rFonts w:ascii="Arial" w:cs="Arial" w:eastAsia="Arial" w:hAnsi="Arial"/>
          <w:b/>
          <w:bCs/>
          <w:color w:val="1B3A0F"/>
          <w:sz w:val="32"/>
          <w:szCs w:val="32"/>
        </w:rPr>
        <w:t xml:space="preserve">III. System Architecture</w:t>
      </w:r>
    </w:p>
    <w:p>
      <w:pPr>
        <w:spacing w:after="100" w:before="240"/>
      </w:pPr>
      <w:r>
        <w:rPr>
          <w:rFonts w:ascii="Arial" w:cs="Arial" w:eastAsia="Arial" w:hAnsi="Arial"/>
          <w:b/>
          <w:bCs/>
          <w:color w:val="1B3A0F"/>
          <w:sz w:val="26"/>
          <w:szCs w:val="26"/>
        </w:rPr>
        <w:t xml:space="preserve">A. Architectural Overview</w:t>
      </w:r>
    </w:p>
    <w:p>
      <w:pPr>
        <w:spacing w:after="100" w:before="80" w:line="276" w:lineRule="auto"/>
        <w:jc w:val="both"/>
      </w:pPr>
      <w:r>
        <w:rPr>
          <w:rFonts w:ascii="Times New Roman" w:cs="Times New Roman" w:eastAsia="Times New Roman" w:hAnsi="Times New Roman"/>
          <w:color w:val="1A1A1A"/>
          <w:sz w:val="22"/>
          <w:szCs w:val="22"/>
        </w:rPr>
        <w:t xml:space="preserve">AFRICA-OS Ω implements a ten-layer architecture </w:t>
      </w:r>
      <w:r>
        <w:rPr>
          <w:rFonts w:ascii="Times New Roman" w:cs="Times New Roman" w:eastAsia="Times New Roman" w:hAnsi="Times New Roman"/>
          <w:color w:val="1A1A1A"/>
          <w:sz w:val="18"/>
          <w:szCs w:val="18"/>
          <w:vertAlign w:val="superscript"/>
        </w:rPr>
        <w:t xml:space="preserve">[1]</w:t>
      </w:r>
      <w:r>
        <w:rPr>
          <w:rFonts w:ascii="Times New Roman" w:cs="Times New Roman" w:eastAsia="Times New Roman" w:hAnsi="Times New Roman"/>
          <w:color w:val="1A1A1A"/>
          <w:sz w:val="22"/>
          <w:szCs w:val="22"/>
        </w:rPr>
        <w:t xml:space="preserve"> operating under a 19-step reasoning contract. The layers are, in ascending order: signal ingestion, signal validation, trail memory, contradiction detection, route coherence, policy guardrail, ecology assessment, escalation, audit, and interoperability. Each layer must complete its function before the next is invoked; no layer may be bypassed by configuration.</w:t>
      </w:r>
    </w:p>
    <w:p>
      <w:pPr>
        <w:spacing w:after="100" w:before="80" w:line="276" w:lineRule="auto"/>
        <w:jc w:val="both"/>
      </w:pPr>
      <w:r>
        <w:rPr>
          <w:rFonts w:ascii="Times New Roman" w:cs="Times New Roman" w:eastAsia="Times New Roman" w:hAnsi="Times New Roman"/>
          <w:color w:val="1A1A1A"/>
          <w:sz w:val="22"/>
          <w:szCs w:val="22"/>
        </w:rPr>
        <w:t xml:space="preserve">The reasoning contract executes as follows: (1) ingest signal, (2) classify by sector, (3) attach provenance and timestamp, (4) compute freshness decay, (5) assess source reliability, (6) attach or create trail, (7) detect contradictions, (8) compute confidence, (9) assign validation state, (10) run inclusion check, (11) run 24HAE policy precheck, (12) run Ecology Impact Score, (13) evaluate intra-African trade alignment, (14) reason over options with Ubuntu lens via LLM, (15) generate decision object, (16) run policy postcheck, (17) run local fit test, (18) create audit reference, (19) return or escalate. The LLM is invoked at Step 14 only; all other steps are deterministic and do not depend on LLM availability. If the LLM is unavailable, a rule-based fallback at Step 14 ensures the reasoning loop never fails.</w:t>
      </w:r>
    </w:p>
    <w:p>
      <w:pPr>
        <w:spacing w:after="100" w:before="240"/>
      </w:pPr>
      <w:r>
        <w:rPr>
          <w:rFonts w:ascii="Arial" w:cs="Arial" w:eastAsia="Arial" w:hAnsi="Arial"/>
          <w:b/>
          <w:bCs/>
          <w:color w:val="1B3A0F"/>
          <w:sz w:val="26"/>
          <w:szCs w:val="26"/>
        </w:rPr>
        <w:t xml:space="preserve">B. Confidence Calibration Engine</w:t>
      </w:r>
    </w:p>
    <w:p>
      <w:pPr>
        <w:spacing w:after="100" w:before="80" w:line="276" w:lineRule="auto"/>
        <w:jc w:val="both"/>
      </w:pPr>
      <w:r>
        <w:rPr>
          <w:rFonts w:ascii="Times New Roman" w:cs="Times New Roman" w:eastAsia="Times New Roman" w:hAnsi="Times New Roman"/>
          <w:color w:val="1A1A1A"/>
          <w:sz w:val="22"/>
          <w:szCs w:val="22"/>
        </w:rPr>
        <w:t xml:space="preserve">The confidence calibration engine implements a weighted multivariate formula:</w:t>
      </w:r>
    </w:p>
    <w:p>
      <w:pPr>
        <w:shd w:fill="F5F3EE" w:val="clear"/>
        <w:spacing w:after="80" w:before="80"/>
        <w:jc w:val="center"/>
      </w:pPr>
      <w:r>
        <w:rPr>
          <w:rFonts w:ascii="Courier New" w:cs="Courier New" w:eastAsia="Courier New" w:hAnsi="Courier New"/>
          <w:b/>
          <w:bCs/>
          <w:color w:val="1A1A1A"/>
          <w:sz w:val="22"/>
          <w:szCs w:val="22"/>
        </w:rPr>
        <w:t xml:space="preserve">C = (0.28×E) + (0.18×F) + (0.16×R) + (0.18×X) + (0.10×D) − (0.10×P)</w:t>
      </w:r>
    </w:p>
    <w:p>
      <w:pPr>
        <w:spacing w:after="100" w:before="40"/>
        <w:jc w:val="center"/>
      </w:pPr>
      <w:r>
        <w:rPr>
          <w:rFonts w:ascii="Times New Roman" w:cs="Times New Roman" w:eastAsia="Times New Roman" w:hAnsi="Times New Roman"/>
          <w:i/>
          <w:iCs/>
          <w:color w:val="444444"/>
          <w:sz w:val="19"/>
          <w:szCs w:val="19"/>
        </w:rPr>
        <w:t xml:space="preserve">where E = evidence strength, F = signal freshness, R = source reliability, X = cross-signal consistency, D = domain stability modifier, P = contradiction penalty</w:t>
      </w:r>
    </w:p>
    <w:p>
      <w:pPr>
        <w:spacing w:after="100" w:before="80" w:line="276" w:lineRule="auto"/>
        <w:jc w:val="both"/>
      </w:pPr>
      <w:r>
        <w:rPr>
          <w:rFonts w:ascii="Times New Roman" w:cs="Times New Roman" w:eastAsia="Times New Roman" w:hAnsi="Times New Roman"/>
          <w:color w:val="1A1A1A"/>
          <w:sz w:val="22"/>
          <w:szCs w:val="22"/>
        </w:rPr>
        <w:t xml:space="preserve">Signal freshness decays exponentially as F = exp(−λt), where λ is a domain-specific decay constant calibrated to the operational half-life of signals in each sector. Health signals decay with λ = 0.693 (half-life: 1 hour) reflecting the operational urgency of bed capacity and triage data; governance policy signals decay with λ = 0.020 (half-life: 35 hours) reflecting the institutional stability of regulatory outputs. Table I presents the complete domain-specific λ table.</w:t>
      </w:r>
    </w:p>
    <w:p>
      <w:pPr>
        <w:spacing w:after="80" w:before="80"/>
      </w:pPr>
      <w:r>
        <w:rPr>
          <w:rFonts w:ascii="Times New Roman" w:cs="Times New Roman" w:eastAsia="Times New Roman" w:hAnsi="Times New Roman"/>
          <w:color w:val="1A1A1A"/>
          <w:sz w:val="22"/>
          <w:szCs w:val="22"/>
        </w:rPr>
        <w:t xml:space="preserve"/>
      </w:r>
    </w:p>
    <w:p>
      <w:pPr>
        <w:spacing w:after="60" w:before="0"/>
        <w:jc w:val="center"/>
      </w:pPr>
      <w:r>
        <w:rPr>
          <w:rFonts w:ascii="Arial" w:cs="Arial" w:eastAsia="Arial" w:hAnsi="Arial"/>
          <w:b/>
          <w:bCs/>
          <w:color w:val="1B3A0F"/>
          <w:sz w:val="20"/>
          <w:szCs w:val="20"/>
        </w:rPr>
        <w:t xml:space="preserve">TABLE I: Domain-Specific Freshness Decay Constants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026"/>
      </w:tblGrid>
      <w:tr>
        <w:tc>
          <w:tcPr>
            <w:tcW w:type="dxa" w:w="2800"/>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Sector</w:t>
            </w:r>
          </w:p>
        </w:tc>
        <w:tc>
          <w:tcPr>
            <w:tcW w:type="dxa" w:w="1400"/>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λ (per hour)</w:t>
            </w:r>
          </w:p>
        </w:tc>
        <w:tc>
          <w:tcPr>
            <w:tcW w:type="dxa" w:w="1800"/>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Half-life (hours)</w:t>
            </w:r>
          </w:p>
        </w:tc>
        <w:tc>
          <w:tcPr>
            <w:tcW w:type="dxa" w:w="3026"/>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Operational rationale</w:t>
            </w:r>
          </w:p>
        </w:tc>
      </w:tr>
      <w:tr>
        <w:tc>
          <w:tcPr>
            <w:tcW w:type="dxa" w:w="2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Health (bed capacity, triage)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0.693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1.0</w:t>
            </w:r>
          </w:p>
        </w:tc>
        <w:tc>
          <w:tcPr>
            <w:tcW w:type="dxa" w:w="3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Clinical decisions require near-real-time data</w:t>
            </w:r>
          </w:p>
        </w:tc>
      </w:tr>
      <w:tr>
        <w:tc>
          <w:tcPr>
            <w:tcW w:type="dxa" w:w="2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Finance (liquidity, settlement)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0.347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2.0</w:t>
            </w:r>
          </w:p>
        </w:tc>
        <w:tc>
          <w:tcPr>
            <w:tcW w:type="dxa" w:w="3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Intra-day market dynamics in West African trading windows</w:t>
            </w:r>
          </w:p>
        </w:tc>
      </w:tr>
      <w:tr>
        <w:tc>
          <w:tcPr>
            <w:tcW w:type="dxa" w:w="2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Energy (grid load, generation)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0.231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3.0</w:t>
            </w:r>
          </w:p>
        </w:tc>
        <w:tc>
          <w:tcPr>
            <w:tcW w:type="dxa" w:w="3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Grid management cycles during peak demand</w:t>
            </w:r>
          </w:p>
        </w:tc>
      </w:tr>
      <w:tr>
        <w:tc>
          <w:tcPr>
            <w:tcW w:type="dxa" w:w="2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Transport (corridor status)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0.139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5.0</w:t>
            </w:r>
          </w:p>
        </w:tc>
        <w:tc>
          <w:tcPr>
            <w:tcW w:type="dxa" w:w="3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Half-day route intelligence refresh cadence</w:t>
            </w:r>
          </w:p>
        </w:tc>
      </w:tr>
      <w:tr>
        <w:tc>
          <w:tcPr>
            <w:tcW w:type="dxa" w:w="2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Ports (vessel scheduling)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0.099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7.0</w:t>
            </w:r>
          </w:p>
        </w:tc>
        <w:tc>
          <w:tcPr>
            <w:tcW w:type="dxa" w:w="3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Port planning cycle and berth allocation windows</w:t>
            </w:r>
          </w:p>
        </w:tc>
      </w:tr>
      <w:tr>
        <w:tc>
          <w:tcPr>
            <w:tcW w:type="dxa" w:w="2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Agriculture (market prices)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0.035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20.0</w:t>
            </w:r>
          </w:p>
        </w:tc>
        <w:tc>
          <w:tcPr>
            <w:tcW w:type="dxa" w:w="3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Daily price-setting rhythms in West African markets</w:t>
            </w:r>
          </w:p>
        </w:tc>
      </w:tr>
      <w:tr>
        <w:tc>
          <w:tcPr>
            <w:tcW w:type="dxa" w:w="2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Governance (policy signals)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0.020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35.0</w:t>
            </w:r>
          </w:p>
        </w:tc>
        <w:tc>
          <w:tcPr>
            <w:tcW w:type="dxa" w:w="3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Institutional update cadence; gazette-driven changes</w:t>
            </w:r>
          </w:p>
        </w:tc>
      </w:tr>
      <w:tr>
        <w:tc>
          <w:tcPr>
            <w:tcW w:type="dxa" w:w="2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Environment (observations)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0.010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70.0</w:t>
            </w:r>
          </w:p>
        </w:tc>
        <w:tc>
          <w:tcPr>
            <w:tcW w:type="dxa" w:w="3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Weekly and seasonal monitoring cycles</w:t>
            </w:r>
          </w:p>
        </w:tc>
      </w:tr>
    </w:tbl>
    <w:p>
      <w:pPr>
        <w:spacing w:after="100" w:before="60"/>
      </w:pPr>
      <w:r>
        <w:rPr>
          <w:rFonts w:ascii="Times New Roman" w:cs="Times New Roman" w:eastAsia="Times New Roman" w:hAnsi="Times New Roman"/>
          <w:color w:val="1A1A1A"/>
          <w:sz w:val="22"/>
          <w:szCs w:val="22"/>
        </w:rPr>
        <w:t xml:space="preserve"/>
      </w:r>
    </w:p>
    <w:p>
      <w:pPr>
        <w:spacing w:after="100" w:before="80" w:line="276" w:lineRule="auto"/>
        <w:jc w:val="both"/>
      </w:pPr>
      <w:r>
        <w:rPr>
          <w:rFonts w:ascii="Times New Roman" w:cs="Times New Roman" w:eastAsia="Times New Roman" w:hAnsi="Times New Roman"/>
          <w:color w:val="1A1A1A"/>
          <w:sz w:val="22"/>
          <w:szCs w:val="22"/>
        </w:rPr>
        <w:t xml:space="preserve">Confidence scores map to five validation states: Trusted (≥ 0.85), Provisional (0.60–0.84), Conflicted (0.30–0.59), Decayed (previously trusted signal with elevated age), and Blocked (&lt; 0.30). Every decision object returned by the system carries the validation state as a required field, enabling downstream actors to calibrate their response to the epistemic quality of the intelligence they are receiving.</w:t>
      </w:r>
    </w:p>
    <w:p>
      <w:pPr>
        <w:spacing w:after="100" w:before="240"/>
      </w:pPr>
      <w:r>
        <w:rPr>
          <w:rFonts w:ascii="Arial" w:cs="Arial" w:eastAsia="Arial" w:hAnsi="Arial"/>
          <w:b/>
          <w:bCs/>
          <w:color w:val="1B3A0F"/>
          <w:sz w:val="26"/>
          <w:szCs w:val="26"/>
        </w:rPr>
        <w:t xml:space="preserve">C. Contradiction Graph Engine</w:t>
      </w:r>
    </w:p>
    <w:p>
      <w:pPr>
        <w:spacing w:after="100" w:before="80" w:line="276" w:lineRule="auto"/>
        <w:jc w:val="both"/>
      </w:pPr>
      <w:r>
        <w:rPr>
          <w:rFonts w:ascii="Times New Roman" w:cs="Times New Roman" w:eastAsia="Times New Roman" w:hAnsi="Times New Roman"/>
          <w:color w:val="1A1A1A"/>
          <w:sz w:val="22"/>
          <w:szCs w:val="22"/>
        </w:rPr>
        <w:t xml:space="preserve">The contradiction graph engine models signals as nodes in a directed graph, with edges typed as agreement, contradiction, or neutral. A contradiction edge is created when the absolute difference between two signals of the same type exceeds a domain-specific tolerance threshold. The severity model is S = impact × confidence × domain_sensitivity, producing three severity grades: minor (&lt; 0.20, downgrade confidence), moderate (0.20–0.49, mark conflicted), and severe (≥ 0.50, block and escalate). Domain tolerances reflect operational realities: a 5% discrepancy in reported bed capacity is a contradiction in a health context (tolerance: 0.08) but acceptable noise in an agricultural price context (tolerance: 0.25).</w:t>
      </w:r>
    </w:p>
    <w:p>
      <w:pPr>
        <w:spacing w:after="100" w:before="240"/>
      </w:pPr>
      <w:r>
        <w:rPr>
          <w:rFonts w:ascii="Arial" w:cs="Arial" w:eastAsia="Arial" w:hAnsi="Arial"/>
          <w:b/>
          <w:bCs/>
          <w:color w:val="1B3A0F"/>
          <w:sz w:val="26"/>
          <w:szCs w:val="26"/>
        </w:rPr>
        <w:t xml:space="preserve">D. Ecology Impact Score</w:t>
      </w:r>
    </w:p>
    <w:p>
      <w:pPr>
        <w:spacing w:after="100" w:before="80" w:line="276" w:lineRule="auto"/>
        <w:jc w:val="both"/>
      </w:pPr>
      <w:r>
        <w:rPr>
          <w:rFonts w:ascii="Times New Roman" w:cs="Times New Roman" w:eastAsia="Times New Roman" w:hAnsi="Times New Roman"/>
          <w:color w:val="1A1A1A"/>
          <w:sz w:val="22"/>
          <w:szCs w:val="22"/>
        </w:rPr>
        <w:t xml:space="preserve">The Ecology Impact Score (EIS) enforces the principle that the 24-hour economy must not consume the ecological base of future productive capacity. EIS is computed as:</w:t>
      </w:r>
    </w:p>
    <w:p>
      <w:pPr>
        <w:shd w:fill="F5F3EE" w:val="clear"/>
        <w:spacing w:after="80" w:before="80"/>
        <w:jc w:val="center"/>
      </w:pPr>
      <w:r>
        <w:rPr>
          <w:rFonts w:ascii="Courier New" w:cs="Courier New" w:eastAsia="Courier New" w:hAnsi="Courier New"/>
          <w:b/>
          <w:bCs/>
          <w:color w:val="1A1A1A"/>
          <w:sz w:val="22"/>
          <w:szCs w:val="22"/>
        </w:rPr>
        <w:t xml:space="preserve">EIS = (0.40 × ENV) + (0.35 × SOC) + (0.25 × RES)</w:t>
      </w:r>
    </w:p>
    <w:p>
      <w:pPr>
        <w:spacing w:after="100" w:before="80" w:line="276" w:lineRule="auto"/>
        <w:jc w:val="both"/>
      </w:pPr>
      <w:r>
        <w:rPr>
          <w:rFonts w:ascii="Times New Roman" w:cs="Times New Roman" w:eastAsia="Times New Roman" w:hAnsi="Times New Roman"/>
          <w:color w:val="1A1A1A"/>
          <w:sz w:val="22"/>
          <w:szCs w:val="22"/>
        </w:rPr>
        <w:t xml:space="preserve">where ENV is a weighted mean of five environmental impact variables (carbon emission delta, land use change risk, water contamination risk, biodiversity disruption index, waste generation level), SOC is a weighted mean of five social impact variables (community displacement risk, health risk to population, equity impact score, cultural heritage risk, livelihood disruption index), and RES is a weighted mean of five resource stress variables (water extraction rate, energy demand stress, soil degradation index, infrastructure load factor, raw material depletion risk). Decisions with EIS ≥ 0.75 are blocked or escalated regardless of confidence state.</w:t>
      </w:r>
    </w:p>
    <w:p>
      <w:pPr>
        <w:spacing w:after="100" w:before="240"/>
      </w:pPr>
      <w:r>
        <w:rPr>
          <w:rFonts w:ascii="Arial" w:cs="Arial" w:eastAsia="Arial" w:hAnsi="Arial"/>
          <w:b/>
          <w:bCs/>
          <w:color w:val="1B3A0F"/>
          <w:sz w:val="26"/>
          <w:szCs w:val="26"/>
        </w:rPr>
        <w:t xml:space="preserve">E. Continental Federation Schema</w:t>
      </w:r>
    </w:p>
    <w:p>
      <w:pPr>
        <w:spacing w:after="100" w:before="80" w:line="276" w:lineRule="auto"/>
        <w:jc w:val="both"/>
      </w:pPr>
      <w:r>
        <w:rPr>
          <w:rFonts w:ascii="Times New Roman" w:cs="Times New Roman" w:eastAsia="Times New Roman" w:hAnsi="Times New Roman"/>
          <w:color w:val="1A1A1A"/>
          <w:sz w:val="22"/>
          <w:szCs w:val="22"/>
        </w:rPr>
        <w:t xml:space="preserve">The Continental Federation Schema </w:t>
      </w:r>
      <w:r>
        <w:rPr>
          <w:rFonts w:ascii="Times New Roman" w:cs="Times New Roman" w:eastAsia="Times New Roman" w:hAnsi="Times New Roman"/>
          <w:color w:val="1A1A1A"/>
          <w:sz w:val="18"/>
          <w:szCs w:val="18"/>
          <w:vertAlign w:val="superscript"/>
        </w:rPr>
        <w:t xml:space="preserve">[2]</w:t>
      </w:r>
      <w:r>
        <w:rPr>
          <w:rFonts w:ascii="Times New Roman" w:cs="Times New Roman" w:eastAsia="Times New Roman" w:hAnsi="Times New Roman"/>
          <w:color w:val="1A1A1A"/>
          <w:sz w:val="22"/>
          <w:szCs w:val="22"/>
        </w:rPr>
        <w:t xml:space="preserve"> operationalises data sovereignty through a five-level consent architecture: L0 (sovereign only, never shared), L1 (corridor operational partners), L2 (regional bloc members), L3 (all federated AU nodes), and L4 (public, no authentication required). Every federated signal carries immutable provenance fields: </w:t>
      </w:r>
      <w:r>
        <w:rPr>
          <w:rFonts w:ascii="Times New Roman" w:cs="Times New Roman" w:eastAsia="Times New Roman" w:hAnsi="Times New Roman"/>
          <w:i/>
          <w:iCs/>
          <w:color w:val="1A1A1A"/>
          <w:sz w:val="22"/>
          <w:szCs w:val="22"/>
        </w:rPr>
        <w:t xml:space="preserve">origin_nation_id</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i/>
          <w:iCs/>
          <w:color w:val="1A1A1A"/>
          <w:sz w:val="22"/>
          <w:szCs w:val="22"/>
        </w:rPr>
        <w:t xml:space="preserve">consent_ref</w:t>
      </w:r>
      <w:r>
        <w:rPr>
          <w:rFonts w:ascii="Times New Roman" w:cs="Times New Roman" w:eastAsia="Times New Roman" w:hAnsi="Times New Roman"/>
          <w:color w:val="1A1A1A"/>
          <w:sz w:val="22"/>
          <w:szCs w:val="22"/>
        </w:rPr>
        <w:t xml:space="preserve">, and </w:t>
      </w:r>
      <w:r>
        <w:rPr>
          <w:rFonts w:ascii="Times New Roman" w:cs="Times New Roman" w:eastAsia="Times New Roman" w:hAnsi="Times New Roman"/>
          <w:i/>
          <w:iCs/>
          <w:color w:val="1A1A1A"/>
          <w:sz w:val="22"/>
          <w:szCs w:val="22"/>
        </w:rPr>
        <w:t xml:space="preserve">originating_audit_ref</w:t>
      </w:r>
      <w:r>
        <w:rPr>
          <w:rFonts w:ascii="Times New Roman" w:cs="Times New Roman" w:eastAsia="Times New Roman" w:hAnsi="Times New Roman"/>
          <w:color w:val="1A1A1A"/>
          <w:sz w:val="22"/>
          <w:szCs w:val="22"/>
        </w:rPr>
        <w:t xml:space="preserve">. Personally identifiable information (PII) is prohibited from all federation signals at the schema level, enforced by a Pydantic validator that raises an exception if any prohibited field identifier appears in the signal payload.</w:t>
      </w:r>
    </w:p>
    <w:p>
      <w:pPr>
        <w:spacing w:after="100" w:before="80" w:line="276" w:lineRule="auto"/>
        <w:jc w:val="both"/>
      </w:pPr>
      <w:r>
        <w:rPr>
          <w:rFonts w:ascii="Times New Roman" w:cs="Times New Roman" w:eastAsia="Times New Roman" w:hAnsi="Times New Roman"/>
          <w:color w:val="1A1A1A"/>
          <w:sz w:val="22"/>
          <w:szCs w:val="22"/>
        </w:rPr>
        <w:t xml:space="preserve">Cross-border signals are subject to recalibration on receipt: freshness is recomputed using the receiving nation’s domain-specific λ, a base penalty of 0.08 is applied to reflect cross-border epistemic uncertainty, and source reliability defaults to 0.50 for unverified foreign sources. This ensures that a signal trusted in Ghana at 88% confidence is not automatically trusted in Burkina Faso at 88% — the receiving nation’s epistemic standards govern.</w:t>
      </w:r>
    </w:p>
    <w:p>
      <w:pPr>
        <w:spacing w:after="80" w:before="80"/>
      </w:pPr>
      <w:r>
        <w:rPr>
          <w:rFonts w:ascii="Times New Roman" w:cs="Times New Roman" w:eastAsia="Times New Roman" w:hAnsi="Times New Roman"/>
          <w:color w:val="1A1A1A"/>
          <w:sz w:val="22"/>
          <w:szCs w:val="22"/>
        </w:rPr>
        <w:t xml:space="preserve"/>
      </w:r>
    </w:p>
    <w:p>
      <w:pPr>
        <w:spacing w:after="100" w:before="240"/>
      </w:pPr>
      <w:r>
        <w:rPr>
          <w:rFonts w:ascii="Arial" w:cs="Arial" w:eastAsia="Arial" w:hAnsi="Arial"/>
          <w:b/>
          <w:bCs/>
          <w:color w:val="1B3A0F"/>
          <w:sz w:val="32"/>
          <w:szCs w:val="32"/>
        </w:rPr>
        <w:t xml:space="preserve">IV. Sector Intelligence Agents</w:t>
      </w:r>
    </w:p>
    <w:p>
      <w:pPr>
        <w:spacing w:after="100" w:before="80" w:line="276" w:lineRule="auto"/>
        <w:jc w:val="both"/>
      </w:pPr>
      <w:r>
        <w:rPr>
          <w:rFonts w:ascii="Times New Roman" w:cs="Times New Roman" w:eastAsia="Times New Roman" w:hAnsi="Times New Roman"/>
          <w:color w:val="1A1A1A"/>
          <w:sz w:val="22"/>
          <w:szCs w:val="22"/>
        </w:rPr>
        <w:t xml:space="preserve">Each of the eight active sectors is served by a dedicated intelligence agent that encodes deep domain expertise in its system prompt, activates the full AFRICA-OS Ω doctrine, and returns a standardised </w:t>
      </w:r>
    </w:p>
    <w:p>
      <w:pPr>
        <w:spacing w:after="100" w:before="80" w:line="276" w:lineRule="auto"/>
        <w:jc w:val="both"/>
      </w:pPr>
      <w:r>
        <w:rPr>
          <w:rFonts w:ascii="Times New Roman" w:cs="Times New Roman" w:eastAsia="Times New Roman" w:hAnsi="Times New Roman"/>
          <w:color w:val="1A1A1A"/>
          <w:sz w:val="22"/>
          <w:szCs w:val="22"/>
        </w:rPr>
        <w:t xml:space="preserve">Each of the eight active sectors is served by a dedicated intelligence agent that encodes deep domain expertise in its system prompt, activates the full AFRICA-OS Ω doctrine, and returns a standardised </w:t>
      </w:r>
      <w:r>
        <w:rPr>
          <w:rFonts w:ascii="Times New Roman" w:cs="Times New Roman" w:eastAsia="Times New Roman" w:hAnsi="Times New Roman"/>
          <w:i/>
          <w:iCs/>
          <w:color w:val="1A1A1A"/>
          <w:sz w:val="22"/>
          <w:szCs w:val="22"/>
        </w:rPr>
        <w:t xml:space="preserve">SectorIntelligenceResult</w:t>
      </w:r>
      <w:r>
        <w:rPr>
          <w:rFonts w:ascii="Times New Roman" w:cs="Times New Roman" w:eastAsia="Times New Roman" w:hAnsi="Times New Roman"/>
          <w:color w:val="1A1A1A"/>
          <w:sz w:val="22"/>
          <w:szCs w:val="22"/>
        </w:rPr>
        <w:t xml:space="preserve"> feeding the consolidated dashboard. Table II summarises the agent configuration.</w:t>
      </w:r>
    </w:p>
    <w:p>
      <w:pPr>
        <w:spacing w:after="60" w:before="60"/>
      </w:pPr>
      <w:r>
        <w:rPr>
          <w:rFonts w:ascii="Times New Roman" w:cs="Times New Roman" w:eastAsia="Times New Roman" w:hAnsi="Times New Roman"/>
          <w:color w:val="1A1A1A"/>
          <w:sz w:val="22"/>
          <w:szCs w:val="22"/>
        </w:rPr>
        <w:t xml:space="preserve"/>
      </w:r>
    </w:p>
    <w:p>
      <w:pPr>
        <w:spacing w:after="60" w:before="0"/>
        <w:jc w:val="center"/>
      </w:pPr>
      <w:r>
        <w:rPr>
          <w:rFonts w:ascii="Arial" w:cs="Arial" w:eastAsia="Arial" w:hAnsi="Arial"/>
          <w:b/>
          <w:bCs/>
          <w:color w:val="1B3A0F"/>
          <w:sz w:val="20"/>
          <w:szCs w:val="20"/>
        </w:rPr>
        <w:t xml:space="preserve">TABLE II: Sector Intelligence Agent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3326"/>
      </w:tblGrid>
      <w:tr>
        <w:tc>
          <w:tcPr>
            <w:tcW w:type="dxa" w:w="1800"/>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Sector</w:t>
            </w:r>
          </w:p>
        </w:tc>
        <w:tc>
          <w:tcPr>
            <w:tcW w:type="dxa" w:w="1300"/>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24HAE Priority</w:t>
            </w:r>
          </w:p>
        </w:tc>
        <w:tc>
          <w:tcPr>
            <w:tcW w:type="dxa" w:w="1300"/>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λ</w:t>
            </w:r>
          </w:p>
        </w:tc>
        <w:tc>
          <w:tcPr>
            <w:tcW w:type="dxa" w:w="1300"/>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Domain Modifier</w:t>
            </w:r>
          </w:p>
        </w:tc>
        <w:tc>
          <w:tcPr>
            <w:tcW w:type="dxa" w:w="3326"/>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Primary signal class</w:t>
            </w:r>
          </w:p>
        </w:tc>
      </w:tr>
      <w:tr>
        <w:tc>
          <w:tcPr>
            <w:tcW w:type="dxa" w:w="1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Health</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CRITICAL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0.693</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1.10</w:t>
            </w:r>
          </w:p>
        </w:tc>
        <w:tc>
          <w:tcPr>
            <w:tcW w:type="dxa" w:w="3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bed_capacity_signal, disease_outbreak_signal, drug_stock_level</w:t>
            </w:r>
          </w:p>
        </w:tc>
      </w:tr>
      <w:tr>
        <w:tc>
          <w:tcPr>
            <w:tcW w:type="dxa" w:w="1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Agriculture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CRITICAL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0.035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0.95</w:t>
            </w:r>
          </w:p>
        </w:tc>
        <w:tc>
          <w:tcPr>
            <w:tcW w:type="dxa" w:w="3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farmgate_price_signal, crop_yield_forecast, food_price_inflation_signal</w:t>
            </w:r>
          </w:p>
        </w:tc>
      </w:tr>
      <w:tr>
        <w:tc>
          <w:tcPr>
            <w:tcW w:type="dxa" w:w="1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Finance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CRITICAL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0.347</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1.20</w:t>
            </w:r>
          </w:p>
        </w:tc>
        <w:tc>
          <w:tcPr>
            <w:tcW w:type="dxa" w:w="3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liquidity_signal, mobile_money_transaction_signal, afcfta_payment_signal</w:t>
            </w:r>
          </w:p>
        </w:tc>
      </w:tr>
      <w:tr>
        <w:tc>
          <w:tcPr>
            <w:tcW w:type="dxa" w:w="1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Energy</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CRITICAL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0.231</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1.15</w:t>
            </w:r>
          </w:p>
        </w:tc>
        <w:tc>
          <w:tcPr>
            <w:tcW w:type="dxa" w:w="3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grid_load_signal, fuel_stock_signal, power_outage_signal</w:t>
            </w:r>
          </w:p>
        </w:tc>
      </w:tr>
      <w:tr>
        <w:tc>
          <w:tcPr>
            <w:tcW w:type="dxa" w:w="1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Transport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0.139</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1.00</w:t>
            </w:r>
          </w:p>
        </w:tc>
        <w:tc>
          <w:tcPr>
            <w:tcW w:type="dxa" w:w="3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corridor_status_signal, border_crossing_signal, fuel_availability_signal</w:t>
            </w:r>
          </w:p>
        </w:tc>
      </w:tr>
      <w:tr>
        <w:tc>
          <w:tcPr>
            <w:tcW w:type="dxa" w:w="1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Education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0.020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1.00</w:t>
            </w:r>
          </w:p>
        </w:tc>
        <w:tc>
          <w:tcPr>
            <w:tcW w:type="dxa" w:w="3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enrollment_signal, graduate_employment_signal, tvet_skills_signal</w:t>
            </w:r>
          </w:p>
        </w:tc>
      </w:tr>
      <w:tr>
        <w:tc>
          <w:tcPr>
            <w:tcW w:type="dxa" w:w="1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Governance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0.020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1.05</w:t>
            </w:r>
          </w:p>
        </w:tc>
        <w:tc>
          <w:tcPr>
            <w:tcW w:type="dxa" w:w="3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budget_execution_signal, corruption_risk_signal, policy_signal</w:t>
            </w:r>
          </w:p>
        </w:tc>
      </w:tr>
      <w:tr>
        <w:tc>
          <w:tcPr>
            <w:tcW w:type="dxa" w:w="18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Ports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0.099</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1.00</w:t>
            </w:r>
          </w:p>
        </w:tc>
        <w:tc>
          <w:tcPr>
            <w:tcW w:type="dxa" w:w="3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vessel_arrival_eta, customs_clearance_signal, container_manifest</w:t>
            </w:r>
          </w:p>
        </w:tc>
      </w:tr>
    </w:tbl>
    <w:p>
      <w:pPr>
        <w:spacing w:after="80" w:before="80"/>
      </w:pPr>
      <w:r>
        <w:rPr>
          <w:rFonts w:ascii="Times New Roman" w:cs="Times New Roman" w:eastAsia="Times New Roman" w:hAnsi="Times New Roman"/>
          <w:color w:val="1A1A1A"/>
          <w:sz w:val="22"/>
          <w:szCs w:val="22"/>
        </w:rPr>
        <w:t xml:space="preserve"/>
      </w:r>
    </w:p>
    <w:p>
      <w:pPr>
        <w:spacing w:after="100" w:before="80" w:line="276" w:lineRule="auto"/>
        <w:jc w:val="both"/>
      </w:pPr>
      <w:r>
        <w:rPr>
          <w:rFonts w:ascii="Times New Roman" w:cs="Times New Roman" w:eastAsia="Times New Roman" w:hAnsi="Times New Roman"/>
          <w:color w:val="1A1A1A"/>
          <w:sz w:val="22"/>
          <w:szCs w:val="22"/>
        </w:rPr>
        <w:t xml:space="preserve">All eight agents run concurrently in the Situation Room mode via Python asyncio.gather(), producing a consolidated SituationBrief within a single API call. The brief feeds the dashboard via a cached endpoint with a 120-second TTL, balancing real-time responsiveness against LLM API cost.</w:t>
      </w:r>
    </w:p>
    <w:p>
      <w:pPr>
        <w:spacing w:after="80" w:before="80"/>
      </w:pPr>
      <w:r>
        <w:rPr>
          <w:rFonts w:ascii="Times New Roman" w:cs="Times New Roman" w:eastAsia="Times New Roman" w:hAnsi="Times New Roman"/>
          <w:color w:val="1A1A1A"/>
          <w:sz w:val="22"/>
          <w:szCs w:val="22"/>
        </w:rPr>
        <w:t xml:space="preserve"/>
      </w:r>
    </w:p>
    <w:p>
      <w:pPr>
        <w:spacing w:after="100" w:before="240"/>
      </w:pPr>
      <w:r>
        <w:rPr>
          <w:rFonts w:ascii="Arial" w:cs="Arial" w:eastAsia="Arial" w:hAnsi="Arial"/>
          <w:b/>
          <w:bCs/>
          <w:color w:val="1B3A0F"/>
          <w:sz w:val="32"/>
          <w:szCs w:val="32"/>
        </w:rPr>
        <w:t xml:space="preserve">V. Governance Architecture</w:t>
      </w:r>
    </w:p>
    <w:p>
      <w:pPr>
        <w:spacing w:after="100" w:before="240"/>
      </w:pPr>
      <w:r>
        <w:rPr>
          <w:rFonts w:ascii="Arial" w:cs="Arial" w:eastAsia="Arial" w:hAnsi="Arial"/>
          <w:b/>
          <w:bCs/>
          <w:color w:val="1B3A0F"/>
          <w:sz w:val="26"/>
          <w:szCs w:val="26"/>
        </w:rPr>
        <w:t xml:space="preserve">A. Guardrail Stack</w:t>
      </w:r>
    </w:p>
    <w:p>
      <w:pPr>
        <w:spacing w:after="100" w:before="80" w:line="276" w:lineRule="auto"/>
        <w:jc w:val="both"/>
      </w:pPr>
      <w:r>
        <w:rPr>
          <w:rFonts w:ascii="Times New Roman" w:cs="Times New Roman" w:eastAsia="Times New Roman" w:hAnsi="Times New Roman"/>
          <w:color w:val="1A1A1A"/>
          <w:sz w:val="22"/>
          <w:szCs w:val="22"/>
        </w:rPr>
        <w:t xml:space="preserve">AFRICA-OS Ω implements twelve guardrails classified into three tiers by severity:</w:t>
      </w:r>
    </w:p>
    <w:p>
      <w:pPr>
        <w:spacing w:after="60" w:before="40" w:line="260" w:lineRule="auto"/>
        <w:ind w:left="720" w:hanging="280"/>
        <w:jc w:val="both"/>
      </w:pPr>
      <w:r>
        <w:rPr>
          <w:rFonts w:ascii="Times New Roman" w:cs="Times New Roman" w:eastAsia="Times New Roman" w:hAnsi="Times New Roman"/>
          <w:color w:val="1A1A1A"/>
          <w:sz w:val="22"/>
          <w:szCs w:val="22"/>
        </w:rPr>
        <w:t xml:space="preserve">•  ABSOLUTE (non-bypassable): truth guardrail (no fabrication), dignity guardrail (no harm to human dignity), sovereignty guardrail (thresholds remain with African institutions), technology subordination guardrail (LLM output subordinate to policy logic)</w:t>
      </w:r>
    </w:p>
    <w:p>
      <w:pPr>
        <w:spacing w:after="60" w:before="40" w:line="260" w:lineRule="auto"/>
        <w:ind w:left="720" w:hanging="280"/>
        <w:jc w:val="both"/>
      </w:pPr>
      <w:r>
        <w:rPr>
          <w:rFonts w:ascii="Times New Roman" w:cs="Times New Roman" w:eastAsia="Times New Roman" w:hAnsi="Times New Roman"/>
          <w:color w:val="1A1A1A"/>
          <w:sz w:val="22"/>
          <w:szCs w:val="22"/>
        </w:rPr>
        <w:t xml:space="preserve">•  HIGH: 24HAE alignment, inclusion, ecology, provenance, contradiction, anti-corruption, labour dignity</w:t>
      </w:r>
    </w:p>
    <w:p>
      <w:pPr>
        <w:spacing w:after="60" w:before="40" w:line="260" w:lineRule="auto"/>
        <w:ind w:left="720" w:hanging="280"/>
        <w:jc w:val="both"/>
      </w:pPr>
      <w:r>
        <w:rPr>
          <w:rFonts w:ascii="Times New Roman" w:cs="Times New Roman" w:eastAsia="Times New Roman" w:hAnsi="Times New Roman"/>
          <w:color w:val="1A1A1A"/>
          <w:sz w:val="22"/>
          <w:szCs w:val="22"/>
        </w:rPr>
        <w:t xml:space="preserve">•  MEDIUM: intra-African trade preference</w:t>
      </w:r>
    </w:p>
    <w:p>
      <w:pPr>
        <w:spacing w:after="100" w:before="80" w:line="276" w:lineRule="auto"/>
        <w:jc w:val="both"/>
      </w:pPr>
      <w:r>
        <w:rPr>
          <w:rFonts w:ascii="Times New Roman" w:cs="Times New Roman" w:eastAsia="Times New Roman" w:hAnsi="Times New Roman"/>
          <w:color w:val="1A1A1A"/>
          <w:sz w:val="22"/>
          <w:szCs w:val="22"/>
        </w:rPr>
        <w:t xml:space="preserve">The guardrail design reflects Coeckelbergh’s </w:t>
      </w:r>
      <w:r>
        <w:rPr>
          <w:rFonts w:ascii="Times New Roman" w:cs="Times New Roman" w:eastAsia="Times New Roman" w:hAnsi="Times New Roman"/>
          <w:color w:val="1A1A1A"/>
          <w:sz w:val="18"/>
          <w:szCs w:val="18"/>
          <w:vertAlign w:val="superscript"/>
        </w:rPr>
        <w:t xml:space="preserve">[11]</w:t>
      </w:r>
      <w:r>
        <w:rPr>
          <w:rFonts w:ascii="Times New Roman" w:cs="Times New Roman" w:eastAsia="Times New Roman" w:hAnsi="Times New Roman"/>
          <w:color w:val="1A1A1A"/>
          <w:sz w:val="22"/>
          <w:szCs w:val="22"/>
        </w:rPr>
        <w:t xml:space="preserve"> argument that AI ethics must be embedded in technical architecture rather than delegated to compliance processes. Guardrails in AFRICA-OS Ω are not policies that instruct the system; they are constraints that prevent certain classes of outputs from being produced regardless of the reasoning chain that precedes them.</w:t>
      </w:r>
    </w:p>
    <w:p>
      <w:pPr>
        <w:spacing w:after="100" w:before="240"/>
      </w:pPr>
      <w:r>
        <w:rPr>
          <w:rFonts w:ascii="Arial" w:cs="Arial" w:eastAsia="Arial" w:hAnsi="Arial"/>
          <w:b/>
          <w:bCs/>
          <w:color w:val="1B3A0F"/>
          <w:sz w:val="26"/>
          <w:szCs w:val="26"/>
        </w:rPr>
        <w:t xml:space="preserve">B. Audit Architecture</w:t>
      </w:r>
    </w:p>
    <w:p>
      <w:pPr>
        <w:spacing w:after="100" w:before="80" w:line="276" w:lineRule="auto"/>
        <w:jc w:val="both"/>
      </w:pPr>
      <w:r>
        <w:rPr>
          <w:rFonts w:ascii="Times New Roman" w:cs="Times New Roman" w:eastAsia="Times New Roman" w:hAnsi="Times New Roman"/>
          <w:color w:val="1A1A1A"/>
          <w:sz w:val="22"/>
          <w:szCs w:val="22"/>
        </w:rPr>
        <w:t xml:space="preserve">Every decision produces an immutable audit entry with reference format </w:t>
      </w:r>
      <w:r>
        <w:rPr>
          <w:rFonts w:ascii="Times New Roman" w:cs="Times New Roman" w:eastAsia="Times New Roman" w:hAnsi="Times New Roman"/>
          <w:i/>
          <w:iCs/>
          <w:color w:val="1A1A1A"/>
          <w:sz w:val="22"/>
          <w:szCs w:val="22"/>
        </w:rPr>
        <w:t xml:space="preserve">AUD-{12-char UUID}</w:t>
      </w:r>
      <w:r>
        <w:rPr>
          <w:rFonts w:ascii="Times New Roman" w:cs="Times New Roman" w:eastAsia="Times New Roman" w:hAnsi="Times New Roman"/>
          <w:color w:val="1A1A1A"/>
          <w:sz w:val="22"/>
          <w:szCs w:val="22"/>
        </w:rPr>
        <w:t xml:space="preserve">. The audit store implements append-only semantics enforced at the database level by revoking UPDATE and DELETE privileges on the audit_log table. This approach responds to Gebru et al.’s </w:t>
      </w:r>
      <w:r>
        <w:rPr>
          <w:rFonts w:ascii="Times New Roman" w:cs="Times New Roman" w:eastAsia="Times New Roman" w:hAnsi="Times New Roman"/>
          <w:color w:val="1A1A1A"/>
          <w:sz w:val="18"/>
          <w:szCs w:val="18"/>
          <w:vertAlign w:val="superscript"/>
        </w:rPr>
        <w:t xml:space="preserve">[17]</w:t>
      </w:r>
      <w:r>
        <w:rPr>
          <w:rFonts w:ascii="Times New Roman" w:cs="Times New Roman" w:eastAsia="Times New Roman" w:hAnsi="Times New Roman"/>
          <w:color w:val="1A1A1A"/>
          <w:sz w:val="22"/>
          <w:szCs w:val="22"/>
        </w:rPr>
        <w:t xml:space="preserve"> call for datasheets for datasets by extending the principle to decision systems: every decision object is a datasheet, every audit entry is its provenance record.</w:t>
      </w:r>
    </w:p>
    <w:p>
      <w:pPr>
        <w:spacing w:after="100" w:before="240"/>
      </w:pPr>
      <w:r>
        <w:rPr>
          <w:rFonts w:ascii="Arial" w:cs="Arial" w:eastAsia="Arial" w:hAnsi="Arial"/>
          <w:b/>
          <w:bCs/>
          <w:color w:val="1B3A0F"/>
          <w:sz w:val="26"/>
          <w:szCs w:val="26"/>
        </w:rPr>
        <w:t xml:space="preserve">C. Local Fit Test</w:t>
      </w:r>
    </w:p>
    <w:p>
      <w:pPr>
        <w:spacing w:after="100" w:before="80" w:line="276" w:lineRule="auto"/>
        <w:jc w:val="both"/>
      </w:pPr>
      <w:r>
        <w:rPr>
          <w:rFonts w:ascii="Times New Roman" w:cs="Times New Roman" w:eastAsia="Times New Roman" w:hAnsi="Times New Roman"/>
          <w:color w:val="1A1A1A"/>
          <w:sz w:val="22"/>
          <w:szCs w:val="22"/>
        </w:rPr>
        <w:t xml:space="preserve">The local fit test validates decisions against six dimensions of contextual appropriateness: institutional alignment, linguistic appropriateness, infrastructure feasibility, cultural safety, regulatory grounding, and resource realism. Two dimensions — institutional alignment and regulatory grounding — are hard-fail: a single failure on either triggers escalation regardless of overall score. This reflects the insight that technically correct AI outputs can be institutionally harmful when deployed without cultural and regulatory grounding, a problem documented extensively in the literature on AI in Global South contexts.</w:t>
      </w:r>
    </w:p>
    <w:p>
      <w:pPr>
        <w:spacing w:after="80" w:before="80"/>
      </w:pPr>
      <w:r>
        <w:rPr>
          <w:rFonts w:ascii="Times New Roman" w:cs="Times New Roman" w:eastAsia="Times New Roman" w:hAnsi="Times New Roman"/>
          <w:color w:val="1A1A1A"/>
          <w:sz w:val="22"/>
          <w:szCs w:val="22"/>
        </w:rPr>
        <w:t xml:space="preserve"/>
      </w:r>
    </w:p>
    <w:p>
      <w:pPr>
        <w:spacing w:after="100" w:before="240"/>
      </w:pPr>
      <w:r>
        <w:rPr>
          <w:rFonts w:ascii="Arial" w:cs="Arial" w:eastAsia="Arial" w:hAnsi="Arial"/>
          <w:b/>
          <w:bCs/>
          <w:color w:val="1B3A0F"/>
          <w:sz w:val="32"/>
          <w:szCs w:val="32"/>
        </w:rPr>
        <w:t xml:space="preserve">VI. Pilot Evaluation Design</w:t>
      </w:r>
    </w:p>
    <w:p>
      <w:pPr>
        <w:spacing w:after="100" w:before="240"/>
      </w:pPr>
      <w:r>
        <w:rPr>
          <w:rFonts w:ascii="Arial" w:cs="Arial" w:eastAsia="Arial" w:hAnsi="Arial"/>
          <w:b/>
          <w:bCs/>
          <w:color w:val="1B3A0F"/>
          <w:sz w:val="26"/>
          <w:szCs w:val="26"/>
        </w:rPr>
        <w:t xml:space="preserve">A. Pilot Context Selection Methodology</w:t>
      </w:r>
    </w:p>
    <w:p>
      <w:pPr>
        <w:spacing w:after="100" w:before="80" w:line="276" w:lineRule="auto"/>
        <w:jc w:val="both"/>
      </w:pPr>
      <w:r>
        <w:rPr>
          <w:rFonts w:ascii="Times New Roman" w:cs="Times New Roman" w:eastAsia="Times New Roman" w:hAnsi="Times New Roman"/>
          <w:color w:val="1A1A1A"/>
          <w:sz w:val="22"/>
          <w:szCs w:val="22"/>
        </w:rPr>
        <w:t xml:space="preserve">Pilot contexts were selected using a four-criteria weighted matrix: 24HAE criticality (30%), signal availability (25%), institutional readiness (25%), and transformative impact potential (20%). The Ghana Health Service (GHS) health sector scored 9.2/10 overall and is recommended as the primary 90-day pilot. The Bank of Ghana (BoG) financial sector scored 8.8/10 and is recommended as the concurrent secondary pilot.</w:t>
      </w:r>
    </w:p>
    <w:p>
      <w:pPr>
        <w:spacing w:after="100" w:before="80" w:line="276" w:lineRule="auto"/>
        <w:jc w:val="both"/>
      </w:pPr>
      <w:r>
        <w:rPr>
          <w:rFonts w:ascii="Times New Roman" w:cs="Times New Roman" w:eastAsia="Times New Roman" w:hAnsi="Times New Roman"/>
          <w:color w:val="1A1A1A"/>
          <w:sz w:val="22"/>
          <w:szCs w:val="22"/>
        </w:rPr>
        <w:t xml:space="preserve">The health sector selection reflects the operational reality that bed capacity, drug stock, and disease surveillance signals from DHIMS2 </w:t>
      </w:r>
      <w:r>
        <w:rPr>
          <w:rFonts w:ascii="Times New Roman" w:cs="Times New Roman" w:eastAsia="Times New Roman" w:hAnsi="Times New Roman"/>
          <w:color w:val="1A1A1A"/>
          <w:sz w:val="18"/>
          <w:szCs w:val="18"/>
          <w:vertAlign w:val="superscript"/>
        </w:rPr>
        <w:t xml:space="preserve">[16]</w:t>
      </w:r>
      <w:r>
        <w:rPr>
          <w:rFonts w:ascii="Times New Roman" w:cs="Times New Roman" w:eastAsia="Times New Roman" w:hAnsi="Times New Roman"/>
          <w:color w:val="1A1A1A"/>
          <w:sz w:val="22"/>
          <w:szCs w:val="22"/>
        </w:rPr>
        <w:t xml:space="preserve"> are immediately available and well-documented. The finance sector selection reflects the depth of Bank of Ghana’s existing data infrastructure, including GhIPSS real-time settlement data </w:t>
      </w:r>
      <w:r>
        <w:rPr>
          <w:rFonts w:ascii="Times New Roman" w:cs="Times New Roman" w:eastAsia="Times New Roman" w:hAnsi="Times New Roman"/>
          <w:color w:val="1A1A1A"/>
          <w:sz w:val="18"/>
          <w:szCs w:val="18"/>
          <w:vertAlign w:val="superscript"/>
        </w:rPr>
        <w:t xml:space="preserve">[15]</w:t>
      </w:r>
      <w:r>
        <w:rPr>
          <w:rFonts w:ascii="Times New Roman" w:cs="Times New Roman" w:eastAsia="Times New Roman" w:hAnsi="Times New Roman"/>
          <w:color w:val="1A1A1A"/>
          <w:sz w:val="22"/>
          <w:szCs w:val="22"/>
        </w:rPr>
        <w:t xml:space="preserve"> and mobile money reporting from the three major operators.</w:t>
      </w:r>
    </w:p>
    <w:p>
      <w:pPr>
        <w:spacing w:after="100" w:before="240"/>
      </w:pPr>
      <w:r>
        <w:rPr>
          <w:rFonts w:ascii="Arial" w:cs="Arial" w:eastAsia="Arial" w:hAnsi="Arial"/>
          <w:b/>
          <w:bCs/>
          <w:color w:val="1B3A0F"/>
          <w:sz w:val="26"/>
          <w:szCs w:val="26"/>
        </w:rPr>
        <w:t xml:space="preserve">B. Evaluation Metrics</w:t>
      </w:r>
    </w:p>
    <w:p>
      <w:pPr>
        <w:spacing w:after="60" w:before="0"/>
        <w:jc w:val="center"/>
      </w:pPr>
      <w:r>
        <w:rPr>
          <w:rFonts w:ascii="Arial" w:cs="Arial" w:eastAsia="Arial" w:hAnsi="Arial"/>
          <w:b/>
          <w:bCs/>
          <w:color w:val="1B3A0F"/>
          <w:sz w:val="20"/>
          <w:szCs w:val="20"/>
        </w:rPr>
        <w:t xml:space="preserve">TABLE III: Pilot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3513"/>
      </w:tblGrid>
      <w:tr>
        <w:tc>
          <w:tcPr>
            <w:tcW w:type="dxa" w:w="3000"/>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Metric</w:t>
            </w:r>
          </w:p>
        </w:tc>
        <w:tc>
          <w:tcPr>
            <w:tcW w:type="dxa" w:w="2513"/>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Target</w:t>
            </w:r>
          </w:p>
        </w:tc>
        <w:tc>
          <w:tcPr>
            <w:tcW w:type="dxa" w:w="3513"/>
            <w:tcBorders>
              <w:top w:val="single" w:color="CCCCCC" w:sz="1"/>
              <w:left w:val="single" w:color="CCCCCC" w:sz="1"/>
              <w:bottom w:val="single" w:color="CCCCCC" w:sz="1"/>
              <w:right w:val="single" w:color="CCCCCC" w:sz="1"/>
            </w:tcBorders>
            <w:shd w:fill="1B3A0F"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Measurement method</w:t>
            </w:r>
          </w:p>
        </w:tc>
      </w:tr>
      <w:tr>
        <w:tc>
          <w:tcPr>
            <w:tcW w:type="dxa" w:w="30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Average confidence score (day 60)</w:t>
            </w:r>
          </w:p>
        </w:tc>
        <w:tc>
          <w:tcPr>
            <w:tcW w:type="dxa" w:w="2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Health: ≥ 0.78 | Finance: ≥ 0.84</w:t>
            </w:r>
          </w:p>
        </w:tc>
        <w:tc>
          <w:tcPr>
            <w:tcW w:type="dxa" w:w="3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Mean of confidence field across all decisions in 30-day window</w:t>
            </w:r>
          </w:p>
        </w:tc>
      </w:tr>
      <w:tr>
        <w:tc>
          <w:tcPr>
            <w:tcW w:type="dxa" w:w="30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Trusted validation ratio</w:t>
            </w:r>
          </w:p>
        </w:tc>
        <w:tc>
          <w:tcPr>
            <w:tcW w:type="dxa" w:w="2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Health: ≥ 55% | Finance: ≥ 65%</w:t>
            </w:r>
          </w:p>
        </w:tc>
        <w:tc>
          <w:tcPr>
            <w:tcW w:type="dxa" w:w="3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Proportion of decisions with validation_state = trusted</w:t>
            </w:r>
          </w:p>
        </w:tc>
      </w:tr>
      <w:tr>
        <w:tc>
          <w:tcPr>
            <w:tcW w:type="dxa" w:w="30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Escalation SLA compliance</w:t>
            </w:r>
          </w:p>
        </w:tc>
        <w:tc>
          <w:tcPr>
            <w:tcW w:type="dxa" w:w="2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Both: ≥ 90% within SLA</w:t>
            </w:r>
          </w:p>
        </w:tc>
        <w:tc>
          <w:tcPr>
            <w:tcW w:type="dxa" w:w="3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Proportion of escalations resolved before sla_minutes deadline</w:t>
            </w:r>
          </w:p>
        </w:tc>
      </w:tr>
      <w:tr>
        <w:tc>
          <w:tcPr>
            <w:tcW w:type="dxa" w:w="30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Contradiction rate (daily average)</w:t>
            </w:r>
          </w:p>
        </w:tc>
        <w:tc>
          <w:tcPr>
            <w:tcW w:type="dxa" w:w="2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Health: &lt; 12% | Finance: &lt; 8%</w:t>
            </w:r>
          </w:p>
        </w:tc>
        <w:tc>
          <w:tcPr>
            <w:tcW w:type="dxa" w:w="3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contradiction_count &gt; 0 decisions as % of total daily decisions</w:t>
            </w:r>
          </w:p>
        </w:tc>
      </w:tr>
      <w:tr>
        <w:tc>
          <w:tcPr>
            <w:tcW w:type="dxa" w:w="30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Audit replay integrity</w:t>
            </w:r>
          </w:p>
        </w:tc>
        <w:tc>
          <w:tcPr>
            <w:tcW w:type="dxa" w:w="2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Both: 100%</w:t>
            </w:r>
          </w:p>
        </w:tc>
        <w:tc>
          <w:tcPr>
            <w:tcW w:type="dxa" w:w="3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Proportion of decisions fully reconstructable via /v1/audit/replay</w:t>
            </w:r>
          </w:p>
        </w:tc>
      </w:tr>
      <w:tr>
        <w:tc>
          <w:tcPr>
            <w:tcW w:type="dxa" w:w="30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Sector lead adoption</w:t>
            </w:r>
          </w:p>
        </w:tc>
        <w:tc>
          <w:tcPr>
            <w:tcW w:type="dxa" w:w="2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Health: ≥ 4/5 | Finance: ≥ 3/4</w:t>
            </w:r>
          </w:p>
        </w:tc>
        <w:tc>
          <w:tcPr>
            <w:tcW w:type="dxa" w:w="3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Daily active use of dashboard by role:sector_lead</w:t>
            </w:r>
          </w:p>
        </w:tc>
      </w:tr>
      <w:tr>
        <w:tc>
          <w:tcPr>
            <w:tcW w:type="dxa" w:w="3000"/>
            <w:tcBorders>
              <w:top w:val="single" w:color="CCCCCC" w:sz="1"/>
              <w:left w:val="single" w:color="CCCCCC" w:sz="1"/>
              <w:bottom w:val="single" w:color="CCCCCC" w:sz="1"/>
              <w:right w:val="single" w:color="CCCCCC" w:sz="1"/>
            </w:tcBorders>
            <w:shd w:fill="F5F3EE"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Qualitative outcome event</w:t>
            </w:r>
          </w:p>
        </w:tc>
        <w:tc>
          <w:tcPr>
            <w:tcW w:type="dxa" w:w="2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One documented early warning</w:t>
            </w:r>
          </w:p>
        </w:tc>
        <w:tc>
          <w:tcPr>
            <w:tcW w:type="dxa" w:w="35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b w:val="false"/>
                <w:bCs w:val="false"/>
                <w:color w:val="1A1A1A"/>
                <w:sz w:val="19"/>
                <w:szCs w:val="19"/>
              </w:rPr>
              <w:t xml:space="preserve">Decision documented where AFRICA-OS Ω identified risk before existing systems</w:t>
            </w:r>
          </w:p>
        </w:tc>
      </w:tr>
    </w:tbl>
    <w:p>
      <w:pPr>
        <w:spacing w:after="80" w:before="80"/>
      </w:pPr>
      <w:r>
        <w:rPr>
          <w:rFonts w:ascii="Times New Roman" w:cs="Times New Roman" w:eastAsia="Times New Roman" w:hAnsi="Times New Roman"/>
          <w:color w:val="1A1A1A"/>
          <w:sz w:val="22"/>
          <w:szCs w:val="22"/>
        </w:rPr>
        <w:t xml:space="preserve"/>
      </w:r>
    </w:p>
    <w:p>
      <w:pPr>
        <w:spacing w:after="100" w:before="240"/>
      </w:pPr>
      <w:r>
        <w:rPr>
          <w:rFonts w:ascii="Arial" w:cs="Arial" w:eastAsia="Arial" w:hAnsi="Arial"/>
          <w:b/>
          <w:bCs/>
          <w:color w:val="1B3A0F"/>
          <w:sz w:val="26"/>
          <w:szCs w:val="26"/>
        </w:rPr>
        <w:t xml:space="preserve">C. Ethical Considerations</w:t>
      </w:r>
    </w:p>
    <w:p>
      <w:pPr>
        <w:spacing w:after="100" w:before="80" w:line="276" w:lineRule="auto"/>
        <w:jc w:val="both"/>
      </w:pPr>
      <w:r>
        <w:rPr>
          <w:rFonts w:ascii="Times New Roman" w:cs="Times New Roman" w:eastAsia="Times New Roman" w:hAnsi="Times New Roman"/>
          <w:color w:val="1A1A1A"/>
          <w:sz w:val="22"/>
          <w:szCs w:val="22"/>
        </w:rPr>
        <w:t xml:space="preserve">The pilot raises four ethical considerations. First, </w:t>
      </w:r>
      <w:r>
        <w:rPr>
          <w:rFonts w:ascii="Times New Roman" w:cs="Times New Roman" w:eastAsia="Times New Roman" w:hAnsi="Times New Roman"/>
          <w:i/>
          <w:iCs/>
          <w:color w:val="1A1A1A"/>
          <w:sz w:val="22"/>
          <w:szCs w:val="22"/>
        </w:rPr>
        <w:t xml:space="preserve">algorithmic authority creep</w:t>
      </w:r>
      <w:r>
        <w:rPr>
          <w:rFonts w:ascii="Times New Roman" w:cs="Times New Roman" w:eastAsia="Times New Roman" w:hAnsi="Times New Roman"/>
          <w:color w:val="1A1A1A"/>
          <w:sz w:val="22"/>
          <w:szCs w:val="22"/>
        </w:rPr>
        <w:t xml:space="preserve">: the risk that institutional actors defer to AFRICA-OS Ω outputs rather than exercising independent judgment. This is mitigated by designing the system to produce recommendations with explicit uncertainty, not directives with false precision. Second, </w:t>
      </w:r>
      <w:r>
        <w:rPr>
          <w:rFonts w:ascii="Times New Roman" w:cs="Times New Roman" w:eastAsia="Times New Roman" w:hAnsi="Times New Roman"/>
          <w:i/>
          <w:iCs/>
          <w:color w:val="1A1A1A"/>
          <w:sz w:val="22"/>
          <w:szCs w:val="22"/>
        </w:rPr>
        <w:t xml:space="preserve">signal exclusion bias</w:t>
      </w:r>
      <w:r>
        <w:rPr>
          <w:rFonts w:ascii="Times New Roman" w:cs="Times New Roman" w:eastAsia="Times New Roman" w:hAnsi="Times New Roman"/>
          <w:color w:val="1A1A1A"/>
          <w:sz w:val="22"/>
          <w:szCs w:val="22"/>
        </w:rPr>
        <w:t xml:space="preserve">: the risk that informal, community, and CHW signals are systematically underweighted relative to formal institutional sources. This is mitigated by the inclusion engine and the source reliability default of 0.50 for all unverified sources, preventing prestige bias. Third, </w:t>
      </w:r>
      <w:r>
        <w:rPr>
          <w:rFonts w:ascii="Times New Roman" w:cs="Times New Roman" w:eastAsia="Times New Roman" w:hAnsi="Times New Roman"/>
          <w:i/>
          <w:iCs/>
          <w:color w:val="1A1A1A"/>
          <w:sz w:val="22"/>
          <w:szCs w:val="22"/>
        </w:rPr>
        <w:t xml:space="preserve">accountability diffusion</w:t>
      </w:r>
      <w:r>
        <w:rPr>
          <w:rFonts w:ascii="Times New Roman" w:cs="Times New Roman" w:eastAsia="Times New Roman" w:hAnsi="Times New Roman"/>
          <w:color w:val="1A1A1A"/>
          <w:sz w:val="22"/>
          <w:szCs w:val="22"/>
        </w:rPr>
        <w:t xml:space="preserve">: the risk that the existence of an AI reasoning system reduces human accountability for decisions. This is mitigated by the audit architecture and the mandatory human escalation pathway for high-consequence decisions. Fourth, </w:t>
      </w:r>
      <w:r>
        <w:rPr>
          <w:rFonts w:ascii="Times New Roman" w:cs="Times New Roman" w:eastAsia="Times New Roman" w:hAnsi="Times New Roman"/>
          <w:i/>
          <w:iCs/>
          <w:color w:val="1A1A1A"/>
          <w:sz w:val="22"/>
          <w:szCs w:val="22"/>
        </w:rPr>
        <w:t xml:space="preserve">data sovereignty in practice</w:t>
      </w:r>
      <w:r>
        <w:rPr>
          <w:rFonts w:ascii="Times New Roman" w:cs="Times New Roman" w:eastAsia="Times New Roman" w:hAnsi="Times New Roman"/>
          <w:color w:val="1A1A1A"/>
          <w:sz w:val="22"/>
          <w:szCs w:val="22"/>
        </w:rPr>
        <w:t xml:space="preserve">: the risk that the federation schema’s sovereignty commitments are not maintained under institutional pressure. This is mitigated by encoding sovereignty constraints at the database and schema level, not only in policy documentation. Institutions cannot share data beyond their configured consent level even if they wish to. </w:t>
      </w:r>
      <w:r>
        <w:rPr>
          <w:rFonts w:ascii="Times New Roman" w:cs="Times New Roman" w:eastAsia="Times New Roman" w:hAnsi="Times New Roman"/>
          <w:color w:val="1A1A1A"/>
          <w:sz w:val="18"/>
          <w:szCs w:val="18"/>
          <w:vertAlign w:val="superscript"/>
        </w:rPr>
        <w:t xml:space="preserve">[21]</w:t>
      </w:r>
    </w:p>
    <w:p>
      <w:pPr>
        <w:spacing w:after="80" w:before="80"/>
      </w:pPr>
      <w:r>
        <w:rPr>
          <w:rFonts w:ascii="Times New Roman" w:cs="Times New Roman" w:eastAsia="Times New Roman" w:hAnsi="Times New Roman"/>
          <w:color w:val="1A1A1A"/>
          <w:sz w:val="22"/>
          <w:szCs w:val="22"/>
        </w:rPr>
        <w:t xml:space="preserve"/>
      </w:r>
    </w:p>
    <w:p>
      <w:pPr>
        <w:spacing w:after="100" w:before="240"/>
      </w:pPr>
      <w:r>
        <w:rPr>
          <w:rFonts w:ascii="Arial" w:cs="Arial" w:eastAsia="Arial" w:hAnsi="Arial"/>
          <w:b/>
          <w:bCs/>
          <w:color w:val="1B3A0F"/>
          <w:sz w:val="32"/>
          <w:szCs w:val="32"/>
        </w:rPr>
        <w:t xml:space="preserve">VII. Related Work</w:t>
      </w:r>
    </w:p>
    <w:p>
      <w:pPr>
        <w:spacing w:after="100" w:before="80" w:line="276" w:lineRule="auto"/>
        <w:jc w:val="both"/>
      </w:pPr>
      <w:r>
        <w:rPr>
          <w:rFonts w:ascii="Times New Roman" w:cs="Times New Roman" w:eastAsia="Times New Roman" w:hAnsi="Times New Roman"/>
          <w:color w:val="1A1A1A"/>
          <w:sz w:val="22"/>
          <w:szCs w:val="22"/>
        </w:rPr>
        <w:t xml:space="preserve">AFRICA-OS Ω sits at the intersection of four research areas. </w:t>
      </w:r>
      <w:r>
        <w:rPr>
          <w:rFonts w:ascii="Times New Roman" w:cs="Times New Roman" w:eastAsia="Times New Roman" w:hAnsi="Times New Roman"/>
          <w:i/>
          <w:iCs/>
          <w:color w:val="1A1A1A"/>
          <w:sz w:val="22"/>
          <w:szCs w:val="22"/>
        </w:rPr>
        <w:t xml:space="preserve">Responsible AI governance</w:t>
      </w:r>
      <w:r>
        <w:rPr>
          <w:rFonts w:ascii="Times New Roman" w:cs="Times New Roman" w:eastAsia="Times New Roman" w:hAnsi="Times New Roman"/>
          <w:color w:val="1A1A1A"/>
          <w:sz w:val="22"/>
          <w:szCs w:val="22"/>
        </w:rPr>
        <w:t xml:space="preserve">: Floridi et al. </w:t>
      </w:r>
      <w:r>
        <w:rPr>
          <w:rFonts w:ascii="Times New Roman" w:cs="Times New Roman" w:eastAsia="Times New Roman" w:hAnsi="Times New Roman"/>
          <w:color w:val="1A1A1A"/>
          <w:sz w:val="18"/>
          <w:szCs w:val="18"/>
          <w:vertAlign w:val="superscript"/>
        </w:rPr>
        <w:t xml:space="preserve">[5]</w:t>
      </w:r>
      <w:r>
        <w:rPr>
          <w:rFonts w:ascii="Times New Roman" w:cs="Times New Roman" w:eastAsia="Times New Roman" w:hAnsi="Times New Roman"/>
          <w:color w:val="1A1A1A"/>
          <w:sz w:val="22"/>
          <w:szCs w:val="22"/>
        </w:rPr>
        <w:t xml:space="preserve"> establish a five-principle framework (beneficence, non-maleficence, autonomy, justice, explicability) that is operationalised in AFRICA-OS Ω through the guardrail stack, inclusion engine, audit architecture, confidence explainability, and human escalation mandate. Barocas et al. </w:t>
      </w:r>
      <w:r>
        <w:rPr>
          <w:rFonts w:ascii="Times New Roman" w:cs="Times New Roman" w:eastAsia="Times New Roman" w:hAnsi="Times New Roman"/>
          <w:color w:val="1A1A1A"/>
          <w:sz w:val="18"/>
          <w:szCs w:val="18"/>
          <w:vertAlign w:val="superscript"/>
        </w:rPr>
        <w:t xml:space="preserve">[18]</w:t>
      </w:r>
      <w:r>
        <w:rPr>
          <w:rFonts w:ascii="Times New Roman" w:cs="Times New Roman" w:eastAsia="Times New Roman" w:hAnsi="Times New Roman"/>
          <w:color w:val="1A1A1A"/>
          <w:sz w:val="22"/>
          <w:szCs w:val="22"/>
        </w:rPr>
        <w:t xml:space="preserve"> on fairness in machine learning inform the domain-specific calibration approach: the same confidence threshold is not applied equally across contexts because equal treatment of unequal contexts is itself a form of unfairness. </w:t>
      </w:r>
      <w:r>
        <w:rPr>
          <w:rFonts w:ascii="Times New Roman" w:cs="Times New Roman" w:eastAsia="Times New Roman" w:hAnsi="Times New Roman"/>
          <w:i/>
          <w:iCs/>
          <w:color w:val="1A1A1A"/>
          <w:sz w:val="22"/>
          <w:szCs w:val="22"/>
        </w:rPr>
        <w:t xml:space="preserve">Decolonial computing</w:t>
      </w:r>
      <w:r>
        <w:rPr>
          <w:rFonts w:ascii="Times New Roman" w:cs="Times New Roman" w:eastAsia="Times New Roman" w:hAnsi="Times New Roman"/>
          <w:color w:val="1A1A1A"/>
          <w:sz w:val="22"/>
          <w:szCs w:val="22"/>
        </w:rPr>
        <w:t xml:space="preserve">: Birhane </w:t>
      </w:r>
      <w:r>
        <w:rPr>
          <w:rFonts w:ascii="Times New Roman" w:cs="Times New Roman" w:eastAsia="Times New Roman" w:hAnsi="Times New Roman"/>
          <w:color w:val="1A1A1A"/>
          <w:sz w:val="18"/>
          <w:szCs w:val="18"/>
          <w:vertAlign w:val="superscript"/>
        </w:rPr>
        <w:t xml:space="preserve">[6]</w:t>
      </w:r>
      <w:r>
        <w:rPr>
          <w:rFonts w:ascii="Times New Roman" w:cs="Times New Roman" w:eastAsia="Times New Roman" w:hAnsi="Times New Roman"/>
          <w:color w:val="1A1A1A"/>
          <w:sz w:val="22"/>
          <w:szCs w:val="22"/>
        </w:rPr>
        <w:t xml:space="preserve"> and Rashid </w:t>
      </w:r>
      <w:r>
        <w:rPr>
          <w:rFonts w:ascii="Times New Roman" w:cs="Times New Roman" w:eastAsia="Times New Roman" w:hAnsi="Times New Roman"/>
          <w:color w:val="1A1A1A"/>
          <w:sz w:val="18"/>
          <w:szCs w:val="18"/>
          <w:vertAlign w:val="superscript"/>
        </w:rPr>
        <w:t xml:space="preserve">[22]</w:t>
      </w:r>
      <w:r>
        <w:rPr>
          <w:rFonts w:ascii="Times New Roman" w:cs="Times New Roman" w:eastAsia="Times New Roman" w:hAnsi="Times New Roman"/>
          <w:color w:val="1A1A1A"/>
          <w:sz w:val="22"/>
          <w:szCs w:val="22"/>
        </w:rPr>
        <w:t xml:space="preserve"> provide the theoretical basis for treating African epistemic authority as a design requirement rather than a post-deployment sensitivity. </w:t>
      </w:r>
      <w:r>
        <w:rPr>
          <w:rFonts w:ascii="Times New Roman" w:cs="Times New Roman" w:eastAsia="Times New Roman" w:hAnsi="Times New Roman"/>
          <w:i/>
          <w:iCs/>
          <w:color w:val="1A1A1A"/>
          <w:sz w:val="22"/>
          <w:szCs w:val="22"/>
        </w:rPr>
        <w:t xml:space="preserve">African AI policy</w:t>
      </w:r>
      <w:r>
        <w:rPr>
          <w:rFonts w:ascii="Times New Roman" w:cs="Times New Roman" w:eastAsia="Times New Roman" w:hAnsi="Times New Roman"/>
          <w:color w:val="1A1A1A"/>
          <w:sz w:val="22"/>
          <w:szCs w:val="22"/>
        </w:rPr>
        <w:t xml:space="preserve">: the AU Data Policy Framework </w:t>
      </w:r>
      <w:r>
        <w:rPr>
          <w:rFonts w:ascii="Times New Roman" w:cs="Times New Roman" w:eastAsia="Times New Roman" w:hAnsi="Times New Roman"/>
          <w:color w:val="1A1A1A"/>
          <w:sz w:val="18"/>
          <w:szCs w:val="18"/>
          <w:vertAlign w:val="superscript"/>
        </w:rPr>
        <w:t xml:space="preserve">[21]</w:t>
      </w:r>
      <w:r>
        <w:rPr>
          <w:rFonts w:ascii="Times New Roman" w:cs="Times New Roman" w:eastAsia="Times New Roman" w:hAnsi="Times New Roman"/>
          <w:color w:val="1A1A1A"/>
          <w:sz w:val="22"/>
          <w:szCs w:val="22"/>
        </w:rPr>
        <w:t xml:space="preserve"> and AU Agenda 2063 </w:t>
      </w:r>
      <w:r>
        <w:rPr>
          <w:rFonts w:ascii="Times New Roman" w:cs="Times New Roman" w:eastAsia="Times New Roman" w:hAnsi="Times New Roman"/>
          <w:color w:val="1A1A1A"/>
          <w:sz w:val="18"/>
          <w:szCs w:val="18"/>
          <w:vertAlign w:val="superscript"/>
        </w:rPr>
        <w:t xml:space="preserve">[3]</w:t>
      </w:r>
      <w:r>
        <w:rPr>
          <w:rFonts w:ascii="Times New Roman" w:cs="Times New Roman" w:eastAsia="Times New Roman" w:hAnsi="Times New Roman"/>
          <w:color w:val="1A1A1A"/>
          <w:sz w:val="22"/>
          <w:szCs w:val="22"/>
        </w:rPr>
        <w:t xml:space="preserve"> establish the continental policy context within which AFRICA-OS Ω operates. </w:t>
      </w:r>
      <w:r>
        <w:rPr>
          <w:rFonts w:ascii="Times New Roman" w:cs="Times New Roman" w:eastAsia="Times New Roman" w:hAnsi="Times New Roman"/>
          <w:i/>
          <w:iCs/>
          <w:color w:val="1A1A1A"/>
          <w:sz w:val="22"/>
          <w:szCs w:val="22"/>
        </w:rPr>
        <w:t xml:space="preserve">Economic development and digital infrastructure</w:t>
      </w:r>
      <w:r>
        <w:rPr>
          <w:rFonts w:ascii="Times New Roman" w:cs="Times New Roman" w:eastAsia="Times New Roman" w:hAnsi="Times New Roman"/>
          <w:color w:val="1A1A1A"/>
          <w:sz w:val="22"/>
          <w:szCs w:val="22"/>
        </w:rPr>
        <w:t xml:space="preserve">: World Bank </w:t>
      </w:r>
      <w:r>
        <w:rPr>
          <w:rFonts w:ascii="Times New Roman" w:cs="Times New Roman" w:eastAsia="Times New Roman" w:hAnsi="Times New Roman"/>
          <w:color w:val="1A1A1A"/>
          <w:sz w:val="18"/>
          <w:szCs w:val="18"/>
          <w:vertAlign w:val="superscript"/>
        </w:rPr>
        <w:t xml:space="preserve">[8]</w:t>
      </w:r>
      <w:r>
        <w:rPr>
          <w:rFonts w:ascii="Times New Roman" w:cs="Times New Roman" w:eastAsia="Times New Roman" w:hAnsi="Times New Roman"/>
          <w:color w:val="1A1A1A"/>
          <w:sz w:val="22"/>
          <w:szCs w:val="22"/>
        </w:rPr>
        <w:t xml:space="preserve"> and GSMA </w:t>
      </w:r>
      <w:r>
        <w:rPr>
          <w:rFonts w:ascii="Times New Roman" w:cs="Times New Roman" w:eastAsia="Times New Roman" w:hAnsi="Times New Roman"/>
          <w:color w:val="1A1A1A"/>
          <w:sz w:val="18"/>
          <w:szCs w:val="18"/>
          <w:vertAlign w:val="superscript"/>
        </w:rPr>
        <w:t xml:space="preserve">[9]</w:t>
      </w:r>
      <w:r>
        <w:rPr>
          <w:rFonts w:ascii="Times New Roman" w:cs="Times New Roman" w:eastAsia="Times New Roman" w:hAnsi="Times New Roman"/>
          <w:color w:val="1A1A1A"/>
          <w:sz w:val="22"/>
          <w:szCs w:val="22"/>
        </w:rPr>
        <w:t xml:space="preserve"> analyses of digital economic gaps in Africa provide the empirical basis for the 24HAE Policy’s productive continuity mandate.</w:t>
      </w:r>
    </w:p>
    <w:p>
      <w:pPr>
        <w:spacing w:after="100" w:before="80" w:line="276" w:lineRule="auto"/>
        <w:jc w:val="both"/>
      </w:pPr>
      <w:r>
        <w:rPr>
          <w:rFonts w:ascii="Times New Roman" w:cs="Times New Roman" w:eastAsia="Times New Roman" w:hAnsi="Times New Roman"/>
          <w:color w:val="1A1A1A"/>
          <w:sz w:val="22"/>
          <w:szCs w:val="22"/>
        </w:rPr>
        <w:t xml:space="preserve">To the authors’ knowledge, no prior work presents a production-specification sovereign reasoning operating system for African economic coordination. Existing systems are either sectoral (limited to one domain), advisory (without governance architecture), or externally controlled (without sovereignty design).</w:t>
      </w:r>
    </w:p>
    <w:p>
      <w:pPr>
        <w:spacing w:after="80" w:before="80"/>
      </w:pPr>
      <w:r>
        <w:rPr>
          <w:rFonts w:ascii="Times New Roman" w:cs="Times New Roman" w:eastAsia="Times New Roman" w:hAnsi="Times New Roman"/>
          <w:color w:val="1A1A1A"/>
          <w:sz w:val="22"/>
          <w:szCs w:val="22"/>
        </w:rPr>
        <w:t xml:space="preserve"/>
      </w:r>
    </w:p>
    <w:p>
      <w:pPr>
        <w:spacing w:after="100" w:before="240"/>
      </w:pPr>
      <w:r>
        <w:rPr>
          <w:rFonts w:ascii="Arial" w:cs="Arial" w:eastAsia="Arial" w:hAnsi="Arial"/>
          <w:b/>
          <w:bCs/>
          <w:color w:val="1B3A0F"/>
          <w:sz w:val="32"/>
          <w:szCs w:val="32"/>
        </w:rPr>
        <w:t xml:space="preserve">VIII. Discussion</w:t>
      </w:r>
    </w:p>
    <w:p>
      <w:pPr>
        <w:spacing w:after="100" w:before="240"/>
      </w:pPr>
      <w:r>
        <w:rPr>
          <w:rFonts w:ascii="Arial" w:cs="Arial" w:eastAsia="Arial" w:hAnsi="Arial"/>
          <w:b/>
          <w:bCs/>
          <w:color w:val="1B3A0F"/>
          <w:sz w:val="26"/>
          <w:szCs w:val="26"/>
        </w:rPr>
        <w:t xml:space="preserve">A. What AFRICA-OS Ω is and is not</w:t>
      </w:r>
    </w:p>
    <w:p>
      <w:pPr>
        <w:spacing w:after="100" w:before="80" w:line="276" w:lineRule="auto"/>
        <w:jc w:val="both"/>
      </w:pPr>
      <w:r>
        <w:rPr>
          <w:rFonts w:ascii="Times New Roman" w:cs="Times New Roman" w:eastAsia="Times New Roman" w:hAnsi="Times New Roman"/>
          <w:color w:val="1A1A1A"/>
          <w:sz w:val="22"/>
          <w:szCs w:val="22"/>
        </w:rPr>
        <w:t xml:space="preserve">AFRICA-OS Ω is a governance layer for AI-assisted economic coordination, not a replacement for human institutional decision-making. It is designed to produce governed recommendations that carry explicit confidence scores, validation states, and audit references — not to produce directives. The distinction matters because the risk of algorithmic authority creep is real, and the system’s design choices — mandatory human escalation for high-consequence decisions, the visibility of confidence and validation state in all outputs, the local fit test’s hard-fail on institutional and regulatory grounding — are all designed to resist that creep.</w:t>
      </w:r>
    </w:p>
    <w:p>
      <w:pPr>
        <w:spacing w:after="100" w:before="80" w:line="276" w:lineRule="auto"/>
        <w:jc w:val="both"/>
      </w:pPr>
      <w:r>
        <w:rPr>
          <w:rFonts w:ascii="Times New Roman" w:cs="Times New Roman" w:eastAsia="Times New Roman" w:hAnsi="Times New Roman"/>
          <w:color w:val="1A1A1A"/>
          <w:sz w:val="22"/>
          <w:szCs w:val="22"/>
        </w:rPr>
        <w:t xml:space="preserve">It is also not a surveillance system. The federation schema explicitly prohibits citizen-level data. The signals the system processes are sector-level operational signals — bed capacity at a facility, fuel stock at a plant, commodity prices at a market — not individual behavioural data. This design choice reflects both ethical principle and practical necessity: African institutions do not have and should not be building the citizen-level surveillance infrastructure that some AI systems assume.</w:t>
      </w:r>
    </w:p>
    <w:p>
      <w:pPr>
        <w:spacing w:after="100" w:before="240"/>
      </w:pPr>
      <w:r>
        <w:rPr>
          <w:rFonts w:ascii="Arial" w:cs="Arial" w:eastAsia="Arial" w:hAnsi="Arial"/>
          <w:b/>
          <w:bCs/>
          <w:color w:val="1B3A0F"/>
          <w:sz w:val="26"/>
          <w:szCs w:val="26"/>
        </w:rPr>
        <w:t xml:space="preserve">B. Limitations</w:t>
      </w:r>
    </w:p>
    <w:p>
      <w:pPr>
        <w:spacing w:after="100" w:before="80" w:line="276" w:lineRule="auto"/>
        <w:jc w:val="both"/>
      </w:pPr>
      <w:r>
        <w:rPr>
          <w:rFonts w:ascii="Times New Roman" w:cs="Times New Roman" w:eastAsia="Times New Roman" w:hAnsi="Times New Roman"/>
          <w:color w:val="1A1A1A"/>
          <w:sz w:val="22"/>
          <w:szCs w:val="22"/>
        </w:rPr>
        <w:t xml:space="preserve">The current implementation has four limitations that future work should address. First, the confidence weight calibration (W1–W6) is derived from operational priority analysis rather than empirical optimisation on historical data. A longitudinal study using 90-day pilot data should be used to validate and refine the weights using measured decision accuracy. Second, the domain-specific λ values are calibrated to Ghanaian operational contexts and may require recalibration for other AU member states with different infrastructure profiles, particularly in contexts with lower connectivity or different institutional reporting rhythms. Third, the sector intelligence agents currently use a single LLM (Anthropic Claude) as the reasoning backbone. Comparative evaluation of agent output quality across different LLMs, including open-source models deployable on sovereign infrastructure, is needed. Fourth, the inclusion engine’s five dimensions are scored heuristically in the reference implementation; a survey-based validation with community representatives in pilot regions would strengthen its claim to operationalise the Ubuntu principle empirically.</w:t>
      </w:r>
    </w:p>
    <w:p>
      <w:pPr>
        <w:spacing w:after="100" w:before="240"/>
      </w:pPr>
      <w:r>
        <w:rPr>
          <w:rFonts w:ascii="Arial" w:cs="Arial" w:eastAsia="Arial" w:hAnsi="Arial"/>
          <w:b/>
          <w:bCs/>
          <w:color w:val="1B3A0F"/>
          <w:sz w:val="26"/>
          <w:szCs w:val="26"/>
        </w:rPr>
        <w:t xml:space="preserve">C. Pathway to Continental Scale</w:t>
      </w:r>
    </w:p>
    <w:p>
      <w:pPr>
        <w:spacing w:after="100" w:before="80" w:line="276" w:lineRule="auto"/>
        <w:jc w:val="both"/>
      </w:pPr>
      <w:r>
        <w:rPr>
          <w:rFonts w:ascii="Times New Roman" w:cs="Times New Roman" w:eastAsia="Times New Roman" w:hAnsi="Times New Roman"/>
          <w:color w:val="1A1A1A"/>
          <w:sz w:val="22"/>
          <w:szCs w:val="22"/>
        </w:rPr>
        <w:t xml:space="preserve">The path from the Ghana pilot to continental scale follows four stages: national validation (90-day GHS and BoG pilots), ECOWAS regional federation (corridor treaty activation for Burkina Faso, Mali, and Niger landlocked corridors under AfCFTA </w:t>
      </w:r>
      <w:r>
        <w:rPr>
          <w:rFonts w:ascii="Times New Roman" w:cs="Times New Roman" w:eastAsia="Times New Roman" w:hAnsi="Times New Roman"/>
          <w:color w:val="1A1A1A"/>
          <w:sz w:val="18"/>
          <w:szCs w:val="18"/>
          <w:vertAlign w:val="superscript"/>
        </w:rPr>
        <w:t xml:space="preserve">[4]</w:t>
      </w:r>
      <w:r>
        <w:rPr>
          <w:rFonts w:ascii="Times New Roman" w:cs="Times New Roman" w:eastAsia="Times New Roman" w:hAnsi="Times New Roman"/>
          <w:color w:val="1A1A1A"/>
          <w:sz w:val="22"/>
          <w:szCs w:val="22"/>
        </w:rPr>
        <w:t xml:space="preserve">), AU Commission integration (anchor node recognition and APRM governance intelligence connection), and full 55-nation federation under the continental federation schema. The PAPSS cross-border payment infrastructure </w:t>
      </w:r>
      <w:r>
        <w:rPr>
          <w:rFonts w:ascii="Times New Roman" w:cs="Times New Roman" w:eastAsia="Times New Roman" w:hAnsi="Times New Roman"/>
          <w:color w:val="1A1A1A"/>
          <w:sz w:val="18"/>
          <w:szCs w:val="18"/>
          <w:vertAlign w:val="superscript"/>
        </w:rPr>
        <w:t xml:space="preserve">[25]</w:t>
      </w:r>
      <w:r>
        <w:rPr>
          <w:rFonts w:ascii="Times New Roman" w:cs="Times New Roman" w:eastAsia="Times New Roman" w:hAnsi="Times New Roman"/>
          <w:color w:val="1A1A1A"/>
          <w:sz w:val="22"/>
          <w:szCs w:val="22"/>
        </w:rPr>
        <w:t xml:space="preserve"> provides the financial sector federation backbone; the ECOWAS regional electricity system (WAPP) provides the energy sector backbone. Both are already operational and have documented API connectivity.</w:t>
      </w:r>
    </w:p>
    <w:p>
      <w:pPr>
        <w:spacing w:after="80" w:before="80"/>
      </w:pPr>
      <w:r>
        <w:rPr>
          <w:rFonts w:ascii="Times New Roman" w:cs="Times New Roman" w:eastAsia="Times New Roman" w:hAnsi="Times New Roman"/>
          <w:color w:val="1A1A1A"/>
          <w:sz w:val="22"/>
          <w:szCs w:val="22"/>
        </w:rPr>
        <w:t xml:space="preserve"/>
      </w:r>
    </w:p>
    <w:p>
      <w:pPr>
        <w:spacing w:after="100" w:before="240"/>
      </w:pPr>
      <w:r>
        <w:rPr>
          <w:rFonts w:ascii="Arial" w:cs="Arial" w:eastAsia="Arial" w:hAnsi="Arial"/>
          <w:b/>
          <w:bCs/>
          <w:color w:val="1B3A0F"/>
          <w:sz w:val="32"/>
          <w:szCs w:val="32"/>
        </w:rPr>
        <w:t xml:space="preserve">IX. Conclusion</w:t>
      </w:r>
    </w:p>
    <w:p>
      <w:pPr>
        <w:spacing w:after="100" w:before="80" w:line="276" w:lineRule="auto"/>
        <w:jc w:val="both"/>
      </w:pPr>
      <w:r>
        <w:rPr>
          <w:rFonts w:ascii="Times New Roman" w:cs="Times New Roman" w:eastAsia="Times New Roman" w:hAnsi="Times New Roman"/>
          <w:color w:val="1A1A1A"/>
          <w:sz w:val="22"/>
          <w:szCs w:val="22"/>
        </w:rPr>
        <w:t xml:space="preserve">This paper has presented AFRICA-OS Ω, a sovereign reasoning operating system for Africa’s 24-hour economy. The system addresses the structural absence of governed, continuous, validated intelligence coordination across African economic sectors by implementing a complete architecture: ten reasoning layers, a 19-step reasoning contract, six calibrated engines, eight sector intelligence agents, a continental federation schema, and a multi-surface interface accessible to governments, enterprises, universities, and entrepreneurs.</w:t>
      </w:r>
    </w:p>
    <w:p>
      <w:pPr>
        <w:spacing w:after="100" w:before="80" w:line="276" w:lineRule="auto"/>
        <w:jc w:val="both"/>
      </w:pPr>
      <w:r>
        <w:rPr>
          <w:rFonts w:ascii="Times New Roman" w:cs="Times New Roman" w:eastAsia="Times New Roman" w:hAnsi="Times New Roman"/>
          <w:color w:val="1A1A1A"/>
          <w:sz w:val="22"/>
          <w:szCs w:val="22"/>
        </w:rPr>
        <w:t xml:space="preserve">The system makes a specific claim that is worth stating plainly: that African economic institutions deserve intelligence infrastructure that is built from African foundations, calibrated to African realities, governed by African authorities, and anchored to an explicitly African economic policy mandate. This is not an aspirational claim. The 4,670-line production codebase, 50 passing automated tests, and complete deployment documentation presented alongside this paper constitute a deployable system, not a research prototype.</w:t>
      </w:r>
    </w:p>
    <w:p>
      <w:pPr>
        <w:spacing w:after="100" w:before="80" w:line="276" w:lineRule="auto"/>
        <w:jc w:val="both"/>
      </w:pPr>
      <w:r>
        <w:rPr>
          <w:rFonts w:ascii="Times New Roman" w:cs="Times New Roman" w:eastAsia="Times New Roman" w:hAnsi="Times New Roman"/>
          <w:color w:val="1A1A1A"/>
          <w:sz w:val="22"/>
          <w:szCs w:val="22"/>
        </w:rPr>
        <w:t xml:space="preserve">The 24-hour economy AFRICA-OS Ω is built to serve is not merely an economic aspiration. It is, as N’guessan </w:t>
      </w:r>
      <w:r>
        <w:rPr>
          <w:rFonts w:ascii="Times New Roman" w:cs="Times New Roman" w:eastAsia="Times New Roman" w:hAnsi="Times New Roman"/>
          <w:color w:val="1A1A1A"/>
          <w:sz w:val="18"/>
          <w:szCs w:val="18"/>
          <w:vertAlign w:val="superscript"/>
        </w:rPr>
        <w:t xml:space="preserve">[23]</w:t>
      </w:r>
      <w:r>
        <w:rPr>
          <w:rFonts w:ascii="Times New Roman" w:cs="Times New Roman" w:eastAsia="Times New Roman" w:hAnsi="Times New Roman"/>
          <w:color w:val="1A1A1A"/>
          <w:sz w:val="22"/>
          <w:szCs w:val="22"/>
        </w:rPr>
        <w:t xml:space="preserve"> argues of Ubuntu-grounded systems, a relational commitment: an assertion that Africa’s productive capacity, Africa’s data sovereignty, Africa’s institutional intelligence, and Africa’s economic dignity belong to Africa. The system is the technical operationalisation of that commitment.</w:t>
      </w:r>
    </w:p>
    <w:p>
      <w:pPr>
        <w:spacing w:after="80" w:before="80"/>
      </w:pPr>
      <w:r>
        <w:rPr>
          <w:rFonts w:ascii="Times New Roman" w:cs="Times New Roman" w:eastAsia="Times New Roman" w:hAnsi="Times New Roman"/>
          <w:color w:val="1A1A1A"/>
          <w:sz w:val="22"/>
          <w:szCs w:val="22"/>
        </w:rPr>
        <w:t xml:space="preserve"/>
      </w:r>
    </w:p>
    <w:p>
      <w:pPr>
        <w:spacing w:after="100" w:before="240"/>
      </w:pPr>
      <w:r>
        <w:rPr>
          <w:rFonts w:ascii="Arial" w:cs="Arial" w:eastAsia="Arial" w:hAnsi="Arial"/>
          <w:b/>
          <w:bCs/>
          <w:color w:val="1B3A0F"/>
          <w:sz w:val="32"/>
          <w:szCs w:val="32"/>
        </w:rPr>
        <w:t xml:space="preserve">Acknowledgements</w:t>
      </w:r>
    </w:p>
    <w:p>
      <w:pPr>
        <w:spacing w:after="100" w:before="80" w:line="276" w:lineRule="auto"/>
        <w:jc w:val="both"/>
      </w:pPr>
      <w:r>
        <w:rPr>
          <w:rFonts w:ascii="Times New Roman" w:cs="Times New Roman" w:eastAsia="Times New Roman" w:hAnsi="Times New Roman"/>
          <w:color w:val="1A1A1A"/>
          <w:sz w:val="22"/>
          <w:szCs w:val="22"/>
        </w:rPr>
        <w:t xml:space="preserve">The author acknowledges the intellectual contributions of the Visionary Prompt Framework (VPF) research programme and the Ubuntu philosophy tradition as foundational to the epistemic architecture of AFRICA-OS Ω. The 24-Hour Africa Economy Policy framework was developed by the author as an original contribution to African economic policy thinking. No external funding was received for this research.</w:t>
      </w:r>
    </w:p>
    <w:p>
      <w:pPr>
        <w:spacing w:after="80" w:before="80"/>
      </w:pPr>
      <w:r>
        <w:rPr>
          <w:rFonts w:ascii="Times New Roman" w:cs="Times New Roman" w:eastAsia="Times New Roman" w:hAnsi="Times New Roman"/>
          <w:color w:val="1A1A1A"/>
          <w:sz w:val="22"/>
          <w:szCs w:val="22"/>
        </w:rPr>
        <w:t xml:space="preserve"/>
      </w:r>
    </w:p>
    <w:p>
      <w:pPr>
        <w:spacing w:after="100" w:before="240"/>
      </w:pPr>
      <w:r>
        <w:rPr>
          <w:rFonts w:ascii="Arial" w:cs="Arial" w:eastAsia="Arial" w:hAnsi="Arial"/>
          <w:b/>
          <w:bCs/>
          <w:color w:val="1B3A0F"/>
          <w:sz w:val="32"/>
          <w:szCs w:val="32"/>
        </w:rPr>
        <w:t xml:space="preserve">References</w:t>
      </w:r>
    </w:p>
    <w:p>
      <w:pPr>
        <w:spacing w:after="60" w:before="40" w:line="260" w:lineRule="auto"/>
        <w:ind w:left="560" w:hanging="560"/>
      </w:pPr>
      <w:r>
        <w:rPr>
          <w:rFonts w:ascii="Times New Roman" w:cs="Times New Roman" w:eastAsia="Times New Roman" w:hAnsi="Times New Roman"/>
          <w:color w:val="444444"/>
          <w:sz w:val="19"/>
          <w:szCs w:val="19"/>
        </w:rPr>
        <w:t xml:space="preserve">[1] D. K. Boison, "AFRICA-OS Ω Master Manifest v1.2," Unpublished technical specification, April 2026.</w:t>
      </w:r>
    </w:p>
    <w:p>
      <w:pPr>
        <w:spacing w:after="60" w:before="40" w:line="260" w:lineRule="auto"/>
        <w:ind w:left="560" w:hanging="560"/>
      </w:pPr>
      <w:r>
        <w:rPr>
          <w:rFonts w:ascii="Times New Roman" w:cs="Times New Roman" w:eastAsia="Times New Roman" w:hAnsi="Times New Roman"/>
          <w:color w:val="444444"/>
          <w:sz w:val="19"/>
          <w:szCs w:val="19"/>
        </w:rPr>
        <w:t xml:space="preserve">[2] D. K. Boison, "AFRICA-OS Ω Continental Federation Schema v1.0," Unpublished technical specification, April 2026.</w:t>
      </w:r>
    </w:p>
    <w:p>
      <w:pPr>
        <w:spacing w:after="60" w:before="40" w:line="260" w:lineRule="auto"/>
        <w:ind w:left="560" w:hanging="560"/>
      </w:pPr>
      <w:r>
        <w:rPr>
          <w:rFonts w:ascii="Times New Roman" w:cs="Times New Roman" w:eastAsia="Times New Roman" w:hAnsi="Times New Roman"/>
          <w:color w:val="444444"/>
          <w:sz w:val="19"/>
          <w:szCs w:val="19"/>
        </w:rPr>
        <w:t xml:space="preserve">[3] African Union Commission, "Agenda 2063: The Africa We Want," AU Commission, Addis Ababa, 2015.</w:t>
      </w:r>
    </w:p>
    <w:p>
      <w:pPr>
        <w:spacing w:after="60" w:before="40" w:line="260" w:lineRule="auto"/>
        <w:ind w:left="560" w:hanging="560"/>
      </w:pPr>
      <w:r>
        <w:rPr>
          <w:rFonts w:ascii="Times New Roman" w:cs="Times New Roman" w:eastAsia="Times New Roman" w:hAnsi="Times New Roman"/>
          <w:color w:val="444444"/>
          <w:sz w:val="19"/>
          <w:szCs w:val="19"/>
        </w:rPr>
        <w:t xml:space="preserve">[4] African Union, "African Continental Free Trade Area (AfCFTA) Agreement," Kigali, 2018.</w:t>
      </w:r>
    </w:p>
    <w:p>
      <w:pPr>
        <w:spacing w:after="60" w:before="40" w:line="260" w:lineRule="auto"/>
        <w:ind w:left="560" w:hanging="560"/>
      </w:pPr>
      <w:r>
        <w:rPr>
          <w:rFonts w:ascii="Times New Roman" w:cs="Times New Roman" w:eastAsia="Times New Roman" w:hAnsi="Times New Roman"/>
          <w:color w:val="444444"/>
          <w:sz w:val="19"/>
          <w:szCs w:val="19"/>
        </w:rPr>
        <w:t xml:space="preserve">[5] B. Floridi et al., "An Ethical Framework for a Good AI Society," Minds and Machines, vol. 28, pp. 689–707, 2018.</w:t>
      </w:r>
    </w:p>
    <w:p>
      <w:pPr>
        <w:spacing w:after="60" w:before="40" w:line="260" w:lineRule="auto"/>
        <w:ind w:left="560" w:hanging="560"/>
      </w:pPr>
      <w:r>
        <w:rPr>
          <w:rFonts w:ascii="Times New Roman" w:cs="Times New Roman" w:eastAsia="Times New Roman" w:hAnsi="Times New Roman"/>
          <w:color w:val="444444"/>
          <w:sz w:val="19"/>
          <w:szCs w:val="19"/>
        </w:rPr>
        <w:t xml:space="preserve">[6] A. Birhane, "Algorithmic Colonization of Africa," SCRIPTed, vol. 17, no. 2, pp. 389–409, 2020.</w:t>
      </w:r>
    </w:p>
    <w:p>
      <w:pPr>
        <w:spacing w:after="60" w:before="40" w:line="260" w:lineRule="auto"/>
        <w:ind w:left="560" w:hanging="560"/>
      </w:pPr>
      <w:r>
        <w:rPr>
          <w:rFonts w:ascii="Times New Roman" w:cs="Times New Roman" w:eastAsia="Times New Roman" w:hAnsi="Times New Roman"/>
          <w:color w:val="444444"/>
          <w:sz w:val="19"/>
          <w:szCs w:val="19"/>
        </w:rPr>
        <w:t xml:space="preserve">[7] United Nations, "Sustainable Development Goals," UN General Assembly, New York, 2015.</w:t>
      </w:r>
    </w:p>
    <w:p>
      <w:pPr>
        <w:spacing w:after="60" w:before="40" w:line="260" w:lineRule="auto"/>
        <w:ind w:left="560" w:hanging="560"/>
      </w:pPr>
      <w:r>
        <w:rPr>
          <w:rFonts w:ascii="Times New Roman" w:cs="Times New Roman" w:eastAsia="Times New Roman" w:hAnsi="Times New Roman"/>
          <w:color w:val="444444"/>
          <w:sz w:val="19"/>
          <w:szCs w:val="19"/>
        </w:rPr>
        <w:t xml:space="preserve">[8] World Bank Group, "Digital Africa: Technological Transformation for Jobs," Washington DC, 2022.</w:t>
      </w:r>
    </w:p>
    <w:p>
      <w:pPr>
        <w:spacing w:after="60" w:before="40" w:line="260" w:lineRule="auto"/>
        <w:ind w:left="560" w:hanging="560"/>
      </w:pPr>
      <w:r>
        <w:rPr>
          <w:rFonts w:ascii="Times New Roman" w:cs="Times New Roman" w:eastAsia="Times New Roman" w:hAnsi="Times New Roman"/>
          <w:color w:val="444444"/>
          <w:sz w:val="19"/>
          <w:szCs w:val="19"/>
        </w:rPr>
        <w:t xml:space="preserve">[9] GSMA, "The Mobile Economy: Sub-Saharan Africa 2023," GSMA Intelligence, London, 2023.</w:t>
      </w:r>
    </w:p>
    <w:p>
      <w:pPr>
        <w:spacing w:after="60" w:before="40" w:line="260" w:lineRule="auto"/>
        <w:ind w:left="560" w:hanging="560"/>
      </w:pPr>
      <w:r>
        <w:rPr>
          <w:rFonts w:ascii="Times New Roman" w:cs="Times New Roman" w:eastAsia="Times New Roman" w:hAnsi="Times New Roman"/>
          <w:color w:val="444444"/>
          <w:sz w:val="19"/>
          <w:szCs w:val="19"/>
        </w:rPr>
        <w:t xml:space="preserve">[10] Abebe et al., "Roles for Computing in Social Change," ACM FAccT, Barcelona, 2020.</w:t>
      </w:r>
    </w:p>
    <w:p>
      <w:pPr>
        <w:spacing w:after="60" w:before="40" w:line="260" w:lineRule="auto"/>
        <w:ind w:left="560" w:hanging="560"/>
      </w:pPr>
      <w:r>
        <w:rPr>
          <w:rFonts w:ascii="Times New Roman" w:cs="Times New Roman" w:eastAsia="Times New Roman" w:hAnsi="Times New Roman"/>
          <w:color w:val="444444"/>
          <w:sz w:val="19"/>
          <w:szCs w:val="19"/>
        </w:rPr>
        <w:t xml:space="preserve">[11] M. Coeckelbergh, AI Ethics, MIT Press, Cambridge MA, 2020.</w:t>
      </w:r>
    </w:p>
    <w:p>
      <w:pPr>
        <w:spacing w:after="60" w:before="40" w:line="260" w:lineRule="auto"/>
        <w:ind w:left="560" w:hanging="560"/>
      </w:pPr>
      <w:r>
        <w:rPr>
          <w:rFonts w:ascii="Times New Roman" w:cs="Times New Roman" w:eastAsia="Times New Roman" w:hAnsi="Times New Roman"/>
          <w:color w:val="444444"/>
          <w:sz w:val="19"/>
          <w:szCs w:val="19"/>
        </w:rPr>
        <w:t xml:space="preserve">[12] A. Acheampong and S. Adams, "Do globalisation and renewable energy contribute to carbon emissions mitigation in Sub-Saharan Africa?," Science of the Total Environment, vol. 677, pp. 436–446, 2019.</w:t>
      </w:r>
    </w:p>
    <w:p>
      <w:pPr>
        <w:spacing w:after="60" w:before="40" w:line="260" w:lineRule="auto"/>
        <w:ind w:left="560" w:hanging="560"/>
      </w:pPr>
      <w:r>
        <w:rPr>
          <w:rFonts w:ascii="Times New Roman" w:cs="Times New Roman" w:eastAsia="Times New Roman" w:hAnsi="Times New Roman"/>
          <w:color w:val="444444"/>
          <w:sz w:val="19"/>
          <w:szCs w:val="19"/>
        </w:rPr>
        <w:t xml:space="preserve">[13] African Development Bank, "African Economic Outlook 2023: Mobilizing Private Finance for Climate and Green Growth," AfDB, Abidjan, 2023.</w:t>
      </w:r>
    </w:p>
    <w:p>
      <w:pPr>
        <w:spacing w:after="60" w:before="40" w:line="260" w:lineRule="auto"/>
        <w:ind w:left="560" w:hanging="560"/>
      </w:pPr>
      <w:r>
        <w:rPr>
          <w:rFonts w:ascii="Times New Roman" w:cs="Times New Roman" w:eastAsia="Times New Roman" w:hAnsi="Times New Roman"/>
          <w:color w:val="444444"/>
          <w:sz w:val="19"/>
          <w:szCs w:val="19"/>
        </w:rPr>
        <w:t xml:space="preserve">[14] ECOWAS Commission, "Regional Agricultural Policy for West Africa (ECOWAP)," ECOWAS, Abuja, 2005.</w:t>
      </w:r>
    </w:p>
    <w:p>
      <w:pPr>
        <w:spacing w:after="60" w:before="40" w:line="260" w:lineRule="auto"/>
        <w:ind w:left="560" w:hanging="560"/>
      </w:pPr>
      <w:r>
        <w:rPr>
          <w:rFonts w:ascii="Times New Roman" w:cs="Times New Roman" w:eastAsia="Times New Roman" w:hAnsi="Times New Roman"/>
          <w:color w:val="444444"/>
          <w:sz w:val="19"/>
          <w:szCs w:val="19"/>
        </w:rPr>
        <w:t xml:space="preserve">[15] Bank of Ghana, "Annual Report 2023," BoG, Accra, 2024.</w:t>
      </w:r>
    </w:p>
    <w:p>
      <w:pPr>
        <w:spacing w:after="60" w:before="40" w:line="260" w:lineRule="auto"/>
        <w:ind w:left="560" w:hanging="560"/>
      </w:pPr>
      <w:r>
        <w:rPr>
          <w:rFonts w:ascii="Times New Roman" w:cs="Times New Roman" w:eastAsia="Times New Roman" w:hAnsi="Times New Roman"/>
          <w:color w:val="444444"/>
          <w:sz w:val="19"/>
          <w:szCs w:val="19"/>
        </w:rPr>
        <w:t xml:space="preserve">[16] Ghana Health Service, "Annual Report 2022," GHS, Accra, 2023.</w:t>
      </w:r>
    </w:p>
    <w:p>
      <w:pPr>
        <w:spacing w:after="60" w:before="40" w:line="260" w:lineRule="auto"/>
        <w:ind w:left="560" w:hanging="560"/>
      </w:pPr>
      <w:r>
        <w:rPr>
          <w:rFonts w:ascii="Times New Roman" w:cs="Times New Roman" w:eastAsia="Times New Roman" w:hAnsi="Times New Roman"/>
          <w:color w:val="444444"/>
          <w:sz w:val="19"/>
          <w:szCs w:val="19"/>
        </w:rPr>
        <w:t xml:space="preserve">[17] T. Gebru et al., "Datasheets for Datasets," Communications of the ACM, vol. 64, pp. 86–92, 2021.</w:t>
      </w:r>
    </w:p>
    <w:p>
      <w:pPr>
        <w:spacing w:after="60" w:before="40" w:line="260" w:lineRule="auto"/>
        <w:ind w:left="560" w:hanging="560"/>
      </w:pPr>
      <w:r>
        <w:rPr>
          <w:rFonts w:ascii="Times New Roman" w:cs="Times New Roman" w:eastAsia="Times New Roman" w:hAnsi="Times New Roman"/>
          <w:color w:val="444444"/>
          <w:sz w:val="19"/>
          <w:szCs w:val="19"/>
        </w:rPr>
        <w:t xml:space="preserve">[18] S. Barocas, M. Hardt, and A. Moritz, Fairness and Machine Learning: Limitations and Opportunities, MIT Press, 2023.</w:t>
      </w:r>
    </w:p>
    <w:p>
      <w:pPr>
        <w:spacing w:after="60" w:before="40" w:line="260" w:lineRule="auto"/>
        <w:ind w:left="560" w:hanging="560"/>
      </w:pPr>
      <w:r>
        <w:rPr>
          <w:rFonts w:ascii="Times New Roman" w:cs="Times New Roman" w:eastAsia="Times New Roman" w:hAnsi="Times New Roman"/>
          <w:color w:val="444444"/>
          <w:sz w:val="19"/>
          <w:szCs w:val="19"/>
        </w:rPr>
        <w:t xml:space="preserve">[19] B. Christian, The Alignment Problem, W. W. Norton, New York, 2020.</w:t>
      </w:r>
    </w:p>
    <w:p>
      <w:pPr>
        <w:spacing w:after="60" w:before="40" w:line="260" w:lineRule="auto"/>
        <w:ind w:left="560" w:hanging="560"/>
      </w:pPr>
      <w:r>
        <w:rPr>
          <w:rFonts w:ascii="Times New Roman" w:cs="Times New Roman" w:eastAsia="Times New Roman" w:hAnsi="Times New Roman"/>
          <w:color w:val="444444"/>
          <w:sz w:val="19"/>
          <w:szCs w:val="19"/>
        </w:rPr>
        <w:t xml:space="preserve">[20] Mushquash et al., "Indigenous Data Sovereignty," The Lancet Regional Health–Americas, 2022.</w:t>
      </w:r>
    </w:p>
    <w:p>
      <w:pPr>
        <w:spacing w:after="60" w:before="40" w:line="260" w:lineRule="auto"/>
        <w:ind w:left="560" w:hanging="560"/>
      </w:pPr>
      <w:r>
        <w:rPr>
          <w:rFonts w:ascii="Times New Roman" w:cs="Times New Roman" w:eastAsia="Times New Roman" w:hAnsi="Times New Roman"/>
          <w:color w:val="444444"/>
          <w:sz w:val="19"/>
          <w:szCs w:val="19"/>
        </w:rPr>
        <w:t xml:space="preserve">[21] African Union, "AU Data Policy Framework," AU Commission, Addis Ababa, 2022.</w:t>
      </w:r>
    </w:p>
    <w:p>
      <w:pPr>
        <w:spacing w:after="60" w:before="40" w:line="260" w:lineRule="auto"/>
        <w:ind w:left="560" w:hanging="560"/>
      </w:pPr>
      <w:r>
        <w:rPr>
          <w:rFonts w:ascii="Times New Roman" w:cs="Times New Roman" w:eastAsia="Times New Roman" w:hAnsi="Times New Roman"/>
          <w:color w:val="444444"/>
          <w:sz w:val="19"/>
          <w:szCs w:val="19"/>
        </w:rPr>
        <w:t xml:space="preserve">[22] R. Rashid, "On the Decolonization of AI," Patterns, vol. 2, no. 12, 2021.</w:t>
      </w:r>
    </w:p>
    <w:p>
      <w:pPr>
        <w:spacing w:after="60" w:before="40" w:line="260" w:lineRule="auto"/>
        <w:ind w:left="560" w:hanging="560"/>
      </w:pPr>
      <w:r>
        <w:rPr>
          <w:rFonts w:ascii="Times New Roman" w:cs="Times New Roman" w:eastAsia="Times New Roman" w:hAnsi="Times New Roman"/>
          <w:color w:val="444444"/>
          <w:sz w:val="19"/>
          <w:szCs w:val="19"/>
        </w:rPr>
        <w:t xml:space="preserve">[23] P. M. N’guessan, "Ubuntu Philosophy as Foundation for African AI Ethics," AI &amp; Society, 2023.</w:t>
      </w:r>
    </w:p>
    <w:p>
      <w:pPr>
        <w:spacing w:after="60" w:before="40" w:line="260" w:lineRule="auto"/>
        <w:ind w:left="560" w:hanging="560"/>
      </w:pPr>
      <w:r>
        <w:rPr>
          <w:rFonts w:ascii="Times New Roman" w:cs="Times New Roman" w:eastAsia="Times New Roman" w:hAnsi="Times New Roman"/>
          <w:color w:val="444444"/>
          <w:sz w:val="19"/>
          <w:szCs w:val="19"/>
        </w:rPr>
        <w:t xml:space="preserve">[24] International Monetary Fund, "Regional Economic Outlook: Sub-Saharan Africa," IMF, Washington DC, Oct 2023.</w:t>
      </w:r>
    </w:p>
    <w:p>
      <w:pPr>
        <w:spacing w:after="60" w:before="40" w:line="260" w:lineRule="auto"/>
        <w:ind w:left="560" w:hanging="560"/>
      </w:pPr>
      <w:r>
        <w:rPr>
          <w:rFonts w:ascii="Times New Roman" w:cs="Times New Roman" w:eastAsia="Times New Roman" w:hAnsi="Times New Roman"/>
          <w:color w:val="444444"/>
          <w:sz w:val="19"/>
          <w:szCs w:val="19"/>
        </w:rPr>
        <w:t xml:space="preserve">[25] AFREXIMBANK, "Pan-African Payment and Settlement System (PAPSS): Operational Framework," Cairo, 2022.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pBdr>
      <w:tabs>
        <w:tab w:val="right" w:pos="9026"/>
      </w:tabs>
    </w:pPr>
    <w:r>
      <w:rPr>
        <w:rFonts w:ascii="Arial" w:cs="Arial" w:eastAsia="Arial" w:hAnsi="Arial"/>
        <w:color w:val="888888"/>
        <w:sz w:val="16"/>
        <w:szCs w:val="16"/>
      </w:rPr>
      <w:t xml:space="preserve">Manuscript submitted for peer review. All rights reserved. Creator: Dr. David King Boison.</w:t>
    </w:r>
    <w:r>
      <w:rPr>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pBdr>
      <w:jc w:val="right"/>
    </w:pPr>
    <w:r>
      <w:rPr>
        <w:rFonts w:ascii="Arial" w:cs="Arial" w:eastAsia="Arial" w:hAnsi="Arial"/>
        <w:color w:val="888888"/>
        <w:sz w:val="16"/>
        <w:szCs w:val="16"/>
      </w:rPr>
      <w:t xml:space="preserve">AFRICA-OS Ω: A Sovereign Reasoning OS for Africa  |  Boison, D.K.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B3A0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B3A0F"/>
      <w:sz w:val="24"/>
      <w:szCs w:val="24"/>
    </w:rPr>
  </w:style>
  <w:style w:type="paragraph" w:styleId="Heading3">
    <w:name w:val="Heading 3"/>
    <w:basedOn w:val="Normal"/>
    <w:next w:val="Normal"/>
    <w:qFormat/>
    <w:pPr>
      <w:spacing w:after="60" w:before="160"/>
      <w:outlineLvl w:val="2"/>
    </w:pPr>
    <w:rPr>
      <w:rFonts w:ascii="Arial" w:cs="Arial" w:eastAsia="Arial" w:hAnsi="Arial"/>
      <w:b/>
      <w:bCs/>
      <w:color w:val="7A5C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2026-04-13T09:17:19.718Z</dcterms:created>
  <dcterms:modified xsi:type="dcterms:W3CDTF">2026-04-13T09:17:19.718Z</dcterms:modified>
</cp:coreProperties>
</file>

<file path=docProps/custom.xml><?xml version="1.0" encoding="utf-8"?>
<Properties xmlns="http://schemas.openxmlformats.org/officeDocument/2006/custom-properties" xmlns:vt="http://schemas.openxmlformats.org/officeDocument/2006/docPropsVTypes"/>
</file>